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52870" w14:textId="594C0AC7" w:rsidR="007D4E14" w:rsidRPr="0032299D" w:rsidRDefault="00161ECD" w:rsidP="00161ECD">
      <w:pPr>
        <w:pStyle w:val="Default"/>
        <w:jc w:val="center"/>
        <w:rPr>
          <w:b/>
          <w:bCs/>
        </w:rPr>
      </w:pPr>
      <w:r w:rsidRPr="0032299D">
        <w:rPr>
          <w:b/>
          <w:bCs/>
        </w:rPr>
        <w:t>PERBANDINGAN KINERJA KEUANGAN BANK SYARIAH DAN BANK KONVENSIONAL DALAM ERA DIGITALISASI PERBANKAN</w:t>
      </w:r>
    </w:p>
    <w:p w14:paraId="0A9D44AE" w14:textId="77777777" w:rsidR="007D4E14" w:rsidRPr="0032299D" w:rsidRDefault="007D4E14" w:rsidP="00161ECD">
      <w:pPr>
        <w:pStyle w:val="Default"/>
        <w:jc w:val="center"/>
      </w:pPr>
    </w:p>
    <w:p w14:paraId="34C6DF01" w14:textId="725839D9" w:rsidR="007D4E14" w:rsidRPr="0032299D" w:rsidRDefault="00A64D30" w:rsidP="00161ECD">
      <w:pPr>
        <w:pStyle w:val="Default"/>
        <w:jc w:val="center"/>
        <w:rPr>
          <w:rFonts w:eastAsia="Times New Roman"/>
          <w:sz w:val="22"/>
          <w:szCs w:val="22"/>
        </w:rPr>
      </w:pPr>
      <w:r w:rsidRPr="0032299D">
        <w:rPr>
          <w:rFonts w:eastAsia="Times New Roman"/>
          <w:sz w:val="22"/>
          <w:szCs w:val="22"/>
        </w:rPr>
        <w:t>Febria Ningsih</w:t>
      </w:r>
      <w:r w:rsidR="00AC630D" w:rsidRPr="0032299D">
        <w:rPr>
          <w:rFonts w:eastAsia="Times New Roman"/>
          <w:sz w:val="22"/>
          <w:szCs w:val="22"/>
          <w:vertAlign w:val="superscript"/>
        </w:rPr>
        <w:t>1</w:t>
      </w:r>
      <w:r w:rsidRPr="0032299D">
        <w:rPr>
          <w:rFonts w:eastAsia="Times New Roman"/>
          <w:sz w:val="22"/>
          <w:szCs w:val="22"/>
          <w:vertAlign w:val="superscript"/>
        </w:rPr>
        <w:t>*</w:t>
      </w:r>
      <w:r w:rsidR="00AC630D" w:rsidRPr="0032299D">
        <w:rPr>
          <w:rFonts w:eastAsia="Times New Roman"/>
          <w:sz w:val="22"/>
          <w:szCs w:val="22"/>
          <w:vertAlign w:val="superscript"/>
        </w:rPr>
        <w:t>)</w:t>
      </w:r>
      <w:r w:rsidR="00AC630D" w:rsidRPr="0032299D">
        <w:rPr>
          <w:rFonts w:eastAsia="Times New Roman"/>
          <w:sz w:val="22"/>
          <w:szCs w:val="22"/>
        </w:rPr>
        <w:t xml:space="preserve">; </w:t>
      </w:r>
      <w:r w:rsidRPr="0032299D">
        <w:rPr>
          <w:rFonts w:eastAsia="Times New Roman"/>
          <w:sz w:val="22"/>
          <w:szCs w:val="22"/>
        </w:rPr>
        <w:t>Mayang Murni</w:t>
      </w:r>
      <w:r w:rsidR="00AC630D" w:rsidRPr="0032299D">
        <w:rPr>
          <w:rFonts w:eastAsia="Times New Roman"/>
          <w:sz w:val="22"/>
          <w:szCs w:val="22"/>
        </w:rPr>
        <w:t xml:space="preserve"> </w:t>
      </w:r>
      <w:r w:rsidR="00AC630D" w:rsidRPr="0032299D">
        <w:rPr>
          <w:rFonts w:eastAsia="Times New Roman"/>
          <w:sz w:val="22"/>
          <w:szCs w:val="22"/>
          <w:vertAlign w:val="superscript"/>
        </w:rPr>
        <w:t>2)</w:t>
      </w:r>
      <w:r w:rsidR="00AC630D" w:rsidRPr="0032299D">
        <w:rPr>
          <w:rFonts w:eastAsia="Times New Roman"/>
          <w:sz w:val="22"/>
          <w:szCs w:val="22"/>
        </w:rPr>
        <w:t xml:space="preserve">; </w:t>
      </w:r>
      <w:r w:rsidRPr="0032299D">
        <w:rPr>
          <w:rFonts w:eastAsia="Times New Roman"/>
          <w:sz w:val="22"/>
          <w:szCs w:val="22"/>
        </w:rPr>
        <w:t>Agustina Nurul Fajriah</w:t>
      </w:r>
      <w:r w:rsidR="00AC630D" w:rsidRPr="0032299D">
        <w:rPr>
          <w:rFonts w:eastAsia="Times New Roman"/>
          <w:sz w:val="22"/>
          <w:szCs w:val="22"/>
          <w:vertAlign w:val="superscript"/>
        </w:rPr>
        <w:t>3)</w:t>
      </w:r>
    </w:p>
    <w:p w14:paraId="2B05D028" w14:textId="77777777" w:rsidR="00161ECD" w:rsidRPr="0032299D" w:rsidRDefault="00161ECD" w:rsidP="00161ECD">
      <w:pPr>
        <w:pStyle w:val="Default"/>
        <w:jc w:val="center"/>
        <w:rPr>
          <w:rFonts w:eastAsia="Times New Roman"/>
        </w:rPr>
      </w:pPr>
    </w:p>
    <w:p w14:paraId="4C65F3B1" w14:textId="0BCAF73C" w:rsidR="007D4E14" w:rsidRPr="0032299D" w:rsidRDefault="00A64D30" w:rsidP="00A64D30">
      <w:pPr>
        <w:pStyle w:val="Default"/>
        <w:numPr>
          <w:ilvl w:val="0"/>
          <w:numId w:val="1"/>
        </w:numPr>
        <w:jc w:val="center"/>
        <w:rPr>
          <w:sz w:val="22"/>
          <w:szCs w:val="22"/>
        </w:rPr>
      </w:pPr>
      <w:r w:rsidRPr="0032299D">
        <w:rPr>
          <w:sz w:val="22"/>
          <w:szCs w:val="22"/>
        </w:rPr>
        <w:t>Fakultas Ekonomi dan Bisnis</w:t>
      </w:r>
      <w:r w:rsidR="007D4E14" w:rsidRPr="0032299D">
        <w:rPr>
          <w:sz w:val="22"/>
          <w:szCs w:val="22"/>
        </w:rPr>
        <w:t xml:space="preserve">, </w:t>
      </w:r>
      <w:r w:rsidRPr="0032299D">
        <w:rPr>
          <w:sz w:val="22"/>
          <w:szCs w:val="22"/>
        </w:rPr>
        <w:t>Universitas Samudra</w:t>
      </w:r>
    </w:p>
    <w:p w14:paraId="3407575F" w14:textId="3CA3EA42" w:rsidR="00A64D30" w:rsidRPr="0032299D" w:rsidRDefault="007D4E14" w:rsidP="00A64D30">
      <w:pPr>
        <w:pStyle w:val="Default"/>
        <w:jc w:val="center"/>
        <w:rPr>
          <w:sz w:val="22"/>
          <w:szCs w:val="22"/>
        </w:rPr>
      </w:pPr>
      <w:r w:rsidRPr="0032299D">
        <w:rPr>
          <w:sz w:val="22"/>
          <w:szCs w:val="22"/>
        </w:rPr>
        <w:t xml:space="preserve">email: </w:t>
      </w:r>
      <w:hyperlink r:id="rId8" w:history="1">
        <w:r w:rsidR="00A64D30" w:rsidRPr="0032299D">
          <w:rPr>
            <w:rStyle w:val="Hyperlink"/>
            <w:sz w:val="22"/>
            <w:szCs w:val="22"/>
          </w:rPr>
          <w:t>ningsihfebria6@gmail.com</w:t>
        </w:r>
      </w:hyperlink>
      <w:r w:rsidR="00A64D30" w:rsidRPr="0032299D">
        <w:rPr>
          <w:sz w:val="22"/>
          <w:szCs w:val="22"/>
        </w:rPr>
        <w:t xml:space="preserve"> </w:t>
      </w:r>
    </w:p>
    <w:p w14:paraId="5F26D555" w14:textId="1B0231E7" w:rsidR="007D4E14" w:rsidRPr="0032299D" w:rsidRDefault="00A64D30" w:rsidP="00A64D30">
      <w:pPr>
        <w:pStyle w:val="Default"/>
        <w:numPr>
          <w:ilvl w:val="0"/>
          <w:numId w:val="1"/>
        </w:numPr>
        <w:jc w:val="center"/>
        <w:rPr>
          <w:sz w:val="22"/>
          <w:szCs w:val="22"/>
        </w:rPr>
      </w:pPr>
      <w:r w:rsidRPr="0032299D">
        <w:rPr>
          <w:sz w:val="22"/>
          <w:szCs w:val="22"/>
        </w:rPr>
        <w:t>Fakultas Ekonomi dan Bisnis</w:t>
      </w:r>
      <w:r w:rsidR="001219DA" w:rsidRPr="0032299D">
        <w:rPr>
          <w:sz w:val="22"/>
          <w:szCs w:val="22"/>
        </w:rPr>
        <w:t xml:space="preserve">, </w:t>
      </w:r>
      <w:r w:rsidRPr="0032299D">
        <w:rPr>
          <w:sz w:val="22"/>
          <w:szCs w:val="22"/>
        </w:rPr>
        <w:t>Universitas Samudra</w:t>
      </w:r>
    </w:p>
    <w:p w14:paraId="6FD311CA" w14:textId="3CE9AB30" w:rsidR="007D4E14" w:rsidRPr="0032299D" w:rsidRDefault="007D4E14" w:rsidP="00B7701C">
      <w:pPr>
        <w:pStyle w:val="Default"/>
        <w:jc w:val="center"/>
        <w:rPr>
          <w:sz w:val="22"/>
          <w:szCs w:val="22"/>
        </w:rPr>
      </w:pPr>
      <w:r w:rsidRPr="0032299D">
        <w:rPr>
          <w:sz w:val="22"/>
          <w:szCs w:val="22"/>
        </w:rPr>
        <w:t xml:space="preserve">email: </w:t>
      </w:r>
      <w:hyperlink r:id="rId9" w:history="1">
        <w:r w:rsidR="00A64D30" w:rsidRPr="0032299D">
          <w:rPr>
            <w:rStyle w:val="Hyperlink"/>
            <w:sz w:val="22"/>
            <w:szCs w:val="22"/>
          </w:rPr>
          <w:t>mayangmurni@unsam.ac.id</w:t>
        </w:r>
      </w:hyperlink>
    </w:p>
    <w:p w14:paraId="6E8B7A6A" w14:textId="33019F9D" w:rsidR="00A64D30" w:rsidRPr="0032299D" w:rsidRDefault="00A64D30" w:rsidP="00A64D30">
      <w:pPr>
        <w:pStyle w:val="Default"/>
        <w:numPr>
          <w:ilvl w:val="0"/>
          <w:numId w:val="1"/>
        </w:numPr>
        <w:jc w:val="center"/>
        <w:rPr>
          <w:sz w:val="22"/>
          <w:szCs w:val="22"/>
        </w:rPr>
      </w:pPr>
      <w:r w:rsidRPr="0032299D">
        <w:rPr>
          <w:sz w:val="22"/>
          <w:szCs w:val="22"/>
        </w:rPr>
        <w:t>Fakultas Ekonomi dan Bisnis, Universitas Samudra</w:t>
      </w:r>
    </w:p>
    <w:p w14:paraId="64019C15" w14:textId="6B5914D8" w:rsidR="00161ECD" w:rsidRDefault="00A64D30" w:rsidP="00B7701C">
      <w:pPr>
        <w:pStyle w:val="Default"/>
        <w:ind w:left="360"/>
        <w:jc w:val="center"/>
      </w:pPr>
      <w:r w:rsidRPr="0032299D">
        <w:rPr>
          <w:sz w:val="22"/>
          <w:szCs w:val="22"/>
        </w:rPr>
        <w:t xml:space="preserve">email: </w:t>
      </w:r>
      <w:hyperlink r:id="rId10" w:history="1">
        <w:r w:rsidRPr="0032299D">
          <w:rPr>
            <w:rStyle w:val="Hyperlink"/>
            <w:sz w:val="22"/>
            <w:szCs w:val="22"/>
          </w:rPr>
          <w:t>agustina@unsam.ac.id</w:t>
        </w:r>
      </w:hyperlink>
    </w:p>
    <w:p w14:paraId="7D168917" w14:textId="77777777" w:rsidR="001D6438" w:rsidRPr="0032299D" w:rsidRDefault="001D6438" w:rsidP="00B7701C">
      <w:pPr>
        <w:pStyle w:val="Default"/>
        <w:ind w:left="360"/>
        <w:jc w:val="center"/>
        <w:rPr>
          <w:sz w:val="22"/>
          <w:szCs w:val="22"/>
        </w:rPr>
      </w:pPr>
    </w:p>
    <w:p w14:paraId="57F40B11" w14:textId="64962FC3" w:rsidR="00443D4B" w:rsidRPr="001D6438" w:rsidRDefault="00C9789D" w:rsidP="001D6438">
      <w:pPr>
        <w:pStyle w:val="Default"/>
        <w:jc w:val="center"/>
        <w:rPr>
          <w:sz w:val="22"/>
          <w:szCs w:val="22"/>
        </w:rPr>
      </w:pPr>
      <w:r w:rsidRPr="001D6438">
        <w:rPr>
          <w:sz w:val="22"/>
          <w:szCs w:val="22"/>
        </w:rPr>
        <w:t>*Correspon</w:t>
      </w:r>
      <w:r w:rsidR="00A64D30" w:rsidRPr="001D6438">
        <w:rPr>
          <w:sz w:val="22"/>
          <w:szCs w:val="22"/>
        </w:rPr>
        <w:t>d</w:t>
      </w:r>
      <w:r w:rsidRPr="001D6438">
        <w:rPr>
          <w:sz w:val="22"/>
          <w:szCs w:val="22"/>
        </w:rPr>
        <w:t xml:space="preserve">ing email: </w:t>
      </w:r>
      <w:hyperlink r:id="rId11" w:history="1">
        <w:r w:rsidR="00A64D30" w:rsidRPr="001D6438">
          <w:rPr>
            <w:rStyle w:val="Hyperlink"/>
            <w:sz w:val="22"/>
            <w:szCs w:val="22"/>
          </w:rPr>
          <w:t>ningsihfebria6@gmail.com</w:t>
        </w:r>
      </w:hyperlink>
      <w:r w:rsidR="00A64D30" w:rsidRPr="001D6438">
        <w:rPr>
          <w:sz w:val="22"/>
          <w:szCs w:val="22"/>
        </w:rPr>
        <w:t xml:space="preserve"> </w:t>
      </w:r>
      <w:r w:rsidR="00443D4B" w:rsidRPr="0032299D">
        <w:rPr>
          <w:noProof/>
          <w:color w:val="auto"/>
        </w:rPr>
        <mc:AlternateContent>
          <mc:Choice Requires="wps">
            <w:drawing>
              <wp:anchor distT="0" distB="0" distL="114300" distR="114300" simplePos="0" relativeHeight="251661312" behindDoc="0" locked="0" layoutInCell="1" allowOverlap="1" wp14:anchorId="20554A6F" wp14:editId="0D210007">
                <wp:simplePos x="0" y="0"/>
                <wp:positionH relativeFrom="margin">
                  <wp:posOffset>0</wp:posOffset>
                </wp:positionH>
                <wp:positionV relativeFrom="paragraph">
                  <wp:posOffset>146684</wp:posOffset>
                </wp:positionV>
                <wp:extent cx="5753100" cy="45719"/>
                <wp:effectExtent l="19050" t="19050" r="19050" b="31115"/>
                <wp:wrapNone/>
                <wp:docPr id="19493596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45719"/>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D79067" id="_x0000_t32" coordsize="21600,21600" o:spt="32" o:oned="t" path="m,l21600,21600e" filled="f">
                <v:path arrowok="t" fillok="f" o:connecttype="none"/>
                <o:lock v:ext="edit" shapetype="t"/>
              </v:shapetype>
              <v:shape id="AutoShape 7" o:spid="_x0000_s1026" type="#_x0000_t32" style="position:absolute;margin-left:0;margin-top:11.55pt;width:453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" strokeweight="2.25pt">
                <w10:wrap anchorx="margin"/>
              </v:shape>
            </w:pict>
          </mc:Fallback>
        </mc:AlternateContent>
      </w:r>
    </w:p>
    <w:p w14:paraId="355BD672" w14:textId="77777777" w:rsidR="00C9789D" w:rsidRPr="0032299D" w:rsidRDefault="00C9789D" w:rsidP="007D4E14">
      <w:pPr>
        <w:pStyle w:val="Default"/>
        <w:jc w:val="center"/>
      </w:pPr>
    </w:p>
    <w:p w14:paraId="0E4B80D6" w14:textId="019A478B" w:rsidR="00B7701C" w:rsidRPr="00B7701C" w:rsidRDefault="00443D4B" w:rsidP="00B7701C">
      <w:pPr>
        <w:pStyle w:val="Default"/>
        <w:jc w:val="center"/>
        <w:rPr>
          <w:b/>
          <w:bCs/>
          <w:i/>
        </w:rPr>
      </w:pPr>
      <w:r w:rsidRPr="0032299D">
        <w:rPr>
          <w:b/>
          <w:bCs/>
          <w:i/>
        </w:rPr>
        <w:t>Abstract</w:t>
      </w:r>
    </w:p>
    <w:p w14:paraId="5D9AE6D6" w14:textId="50D1C821" w:rsidR="00161ECD" w:rsidRPr="0032299D" w:rsidRDefault="00161ECD" w:rsidP="00921D9A">
      <w:pPr>
        <w:pStyle w:val="Default"/>
        <w:jc w:val="both"/>
        <w:rPr>
          <w:b/>
          <w:bCs/>
          <w:i/>
          <w:iCs/>
          <w:color w:val="000000" w:themeColor="text1"/>
          <w:sz w:val="22"/>
          <w:szCs w:val="22"/>
        </w:rPr>
      </w:pPr>
      <w:r w:rsidRPr="0032299D">
        <w:rPr>
          <w:i/>
          <w:iCs/>
          <w:color w:val="000000" w:themeColor="text1"/>
          <w:sz w:val="22"/>
          <w:szCs w:val="22"/>
        </w:rPr>
        <w:t>This study aims to determine the differences in financial performance between Islamic banks and conventional banks in the era of banking digitalization during the period 2017–2023. This study uses quantitative methods with secondary data obtained from the annual financial reports of Islamic banks and conventional banks in Indonesia. Financial performance is measured through the Return on Assets (ROA), Return on Equity (ROE), Non-Performing Loan/Financing (NPL/NPF), Loan to Deposit Ratio/Financing to Deposit Ratio (LDR/FDR), and Operating Expenses to Operating Income (BOPO). Data analysis was performed using descriptive statistics and the Mann-Whitney U test using statistical software. The results show that not all financial performance indicators show differences between Islamic banks and conventional banks. Significant differences were found only in the ROE, NPL/NPF, and BOPO ratios, while the ROA and LDR/FDR ratios showed relatively similar results. These findings suggest that banking digitalization has a greater impact on operational efficiency, financing quality, and capital management than on banks' ability to generate returns from assets. This research is expected to assist banking management and regulators in developing more appropriate strategies and policies to address the development of digital banking.</w:t>
      </w:r>
    </w:p>
    <w:p w14:paraId="5F4E6FDA" w14:textId="77777777" w:rsidR="006877E4" w:rsidRPr="0032299D" w:rsidRDefault="006877E4" w:rsidP="00921D9A">
      <w:pPr>
        <w:pStyle w:val="Default"/>
        <w:jc w:val="both"/>
        <w:rPr>
          <w:i/>
          <w:iCs/>
          <w:sz w:val="22"/>
          <w:szCs w:val="22"/>
        </w:rPr>
      </w:pPr>
    </w:p>
    <w:p w14:paraId="444E5633" w14:textId="14BEDCB8" w:rsidR="00747F03" w:rsidRPr="0032299D" w:rsidRDefault="007D56AF" w:rsidP="00921D9A">
      <w:pPr>
        <w:pStyle w:val="Default"/>
        <w:jc w:val="both"/>
        <w:rPr>
          <w:b/>
          <w:bCs/>
          <w:i/>
          <w:sz w:val="22"/>
          <w:szCs w:val="22"/>
        </w:rPr>
      </w:pPr>
      <w:r w:rsidRPr="0032299D">
        <w:rPr>
          <w:b/>
          <w:bCs/>
          <w:i/>
          <w:sz w:val="22"/>
          <w:szCs w:val="22"/>
        </w:rPr>
        <w:t>Keyword:</w:t>
      </w:r>
      <w:r w:rsidR="00161ECD" w:rsidRPr="0032299D">
        <w:rPr>
          <w:b/>
          <w:bCs/>
          <w:i/>
          <w:sz w:val="22"/>
          <w:szCs w:val="22"/>
        </w:rPr>
        <w:t xml:space="preserve"> </w:t>
      </w:r>
      <w:r w:rsidR="00161ECD" w:rsidRPr="00706FB9">
        <w:rPr>
          <w:b/>
          <w:bCs/>
          <w:i/>
          <w:iCs/>
          <w:sz w:val="22"/>
          <w:szCs w:val="22"/>
        </w:rPr>
        <w:t>banking digitalization, financial performance, Islamic banks, conventional banks</w:t>
      </w:r>
    </w:p>
    <w:p w14:paraId="49A13EC5" w14:textId="77777777" w:rsidR="00161ECD" w:rsidRPr="0032299D" w:rsidRDefault="00161ECD" w:rsidP="00921D9A">
      <w:pPr>
        <w:pStyle w:val="Default"/>
        <w:jc w:val="both"/>
        <w:rPr>
          <w:b/>
          <w:sz w:val="22"/>
          <w:szCs w:val="22"/>
        </w:rPr>
      </w:pPr>
    </w:p>
    <w:p w14:paraId="334EC4FE" w14:textId="2ABB35A1" w:rsidR="00747F03" w:rsidRPr="0032299D" w:rsidRDefault="00747F03" w:rsidP="00921D9A">
      <w:pPr>
        <w:pStyle w:val="Default"/>
        <w:jc w:val="both"/>
        <w:rPr>
          <w:b/>
          <w:sz w:val="22"/>
          <w:szCs w:val="22"/>
        </w:rPr>
        <w:sectPr w:rsidR="00747F03" w:rsidRPr="0032299D" w:rsidSect="002209F8">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cols w:space="708"/>
          <w:docGrid w:linePitch="360"/>
        </w:sectPr>
      </w:pPr>
    </w:p>
    <w:p w14:paraId="37F78346" w14:textId="29417ADF" w:rsidR="003C1298" w:rsidRPr="0032299D" w:rsidRDefault="007D4E14" w:rsidP="00921D9A">
      <w:pPr>
        <w:pStyle w:val="Default"/>
        <w:ind w:left="-1134" w:firstLine="1134"/>
        <w:jc w:val="both"/>
        <w:rPr>
          <w:color w:val="auto"/>
          <w:sz w:val="28"/>
          <w:szCs w:val="28"/>
        </w:rPr>
        <w:sectPr w:rsidR="003C1298" w:rsidRPr="0032299D" w:rsidSect="002209F8">
          <w:type w:val="continuous"/>
          <w:pgSz w:w="11906" w:h="16838" w:code="9"/>
          <w:pgMar w:top="1440" w:right="1440" w:bottom="1440" w:left="1440" w:header="708" w:footer="708" w:gutter="0"/>
          <w:cols w:space="708"/>
          <w:docGrid w:linePitch="360"/>
        </w:sectPr>
      </w:pPr>
      <w:r w:rsidRPr="0032299D">
        <w:rPr>
          <w:b/>
          <w:bCs/>
          <w:color w:val="auto"/>
          <w:sz w:val="28"/>
          <w:szCs w:val="28"/>
        </w:rPr>
        <w:t>PENDAH</w:t>
      </w:r>
      <w:r w:rsidR="003C1298" w:rsidRPr="0032299D">
        <w:rPr>
          <w:b/>
          <w:bCs/>
          <w:color w:val="auto"/>
          <w:sz w:val="28"/>
          <w:szCs w:val="28"/>
        </w:rPr>
        <w:t>ULUA</w:t>
      </w:r>
      <w:r w:rsidR="00761966" w:rsidRPr="0032299D">
        <w:rPr>
          <w:b/>
          <w:bCs/>
          <w:color w:val="auto"/>
          <w:sz w:val="28"/>
          <w:szCs w:val="28"/>
        </w:rPr>
        <w:t>N</w:t>
      </w:r>
    </w:p>
    <w:p w14:paraId="0D2CA80C" w14:textId="77777777" w:rsidR="00761966" w:rsidRPr="0032299D" w:rsidRDefault="007C3897" w:rsidP="009924E7">
      <w:pPr>
        <w:spacing w:after="0" w:line="240" w:lineRule="auto"/>
        <w:ind w:firstLine="360"/>
        <w:jc w:val="both"/>
        <w:rPr>
          <w:rFonts w:ascii="Times New Roman" w:hAnsi="Times New Roman" w:cs="Times New Roman"/>
          <w:sz w:val="24"/>
          <w:szCs w:val="24"/>
        </w:rPr>
      </w:pPr>
      <w:r w:rsidRPr="0032299D">
        <w:rPr>
          <w:rFonts w:ascii="Times New Roman" w:hAnsi="Times New Roman" w:cs="Times New Roman"/>
          <w:sz w:val="24"/>
          <w:szCs w:val="24"/>
        </w:rPr>
        <w:t xml:space="preserve">Digitalisasi perbankan dapat dipahami sebagai suatu proses transformasi menyeluruh terhadap layanan dan aktivitas operasional perbankan melalui pemanfaatan teknologi digital, seperti </w:t>
      </w:r>
      <w:r w:rsidRPr="0032299D">
        <w:rPr>
          <w:rFonts w:ascii="Times New Roman" w:hAnsi="Times New Roman" w:cs="Times New Roman"/>
          <w:i/>
          <w:iCs/>
          <w:sz w:val="24"/>
          <w:szCs w:val="24"/>
        </w:rPr>
        <w:t>mobile banking, internet banking, electronic know your customer (e-KYC)</w:t>
      </w:r>
      <w:r w:rsidRPr="0032299D">
        <w:rPr>
          <w:rFonts w:ascii="Times New Roman" w:hAnsi="Times New Roman" w:cs="Times New Roman"/>
          <w:sz w:val="24"/>
          <w:szCs w:val="24"/>
        </w:rPr>
        <w:t xml:space="preserve">, serta berbagai inovasi layanan berbasis teknologi lainnya. </w:t>
      </w:r>
      <w:r w:rsidRPr="0032299D">
        <w:rPr>
          <w:rFonts w:ascii="Times New Roman" w:hAnsi="Times New Roman" w:cs="Times New Roman"/>
          <w:sz w:val="24"/>
          <w:szCs w:val="24"/>
        </w:rPr>
        <w:fldChar w:fldCharType="begin" w:fldLock="1"/>
      </w:r>
      <w:r w:rsidRPr="0032299D">
        <w:rPr>
          <w:rFonts w:ascii="Times New Roman" w:hAnsi="Times New Roman" w:cs="Times New Roman"/>
          <w:sz w:val="24"/>
          <w:szCs w:val="24"/>
        </w:rPr>
        <w:instrText>ADDIN CSL_CITATION {"citationItems":[{"id":"ITEM-1","itemData":{"author":[{"dropping-particle":"","family":"Setiabudi","given":"Karet Kuningan","non-dropping-particle":"","parse-names":false,"suffix":""},{"dropping-particle":"","family":"Selatan","given":"Jakarta","non-dropping-particle":"","parse-names":false,"suffix":""},{"dropping-particle":"","family":"Medi","given":"Calvin Aldy","non-dropping-particle":"","parse-names":false,"suffix":""},{"dropping-particle":"","family":"Firdawati","given":"Eli","non-dropping-particle":"","parse-names":false,"suffix":""},{"dropping-particle":"","family":"Agustha","given":"Safiera Izzaty","non-dropping-particle":"","parse-names":false,"suffix":""},{"dropping-particle":"","family":"Sorongan","given":"Fangky A","non-dropping-particle":"","parse-names":false,"suffix":""}],"id":"ITEM-1","issued":{"date-parts":[["2025"]]},"page":"298-309","title":"ANALYSIS OF DIGITALIZATION TRENDS IN INDONESIA ' S BANKING SECTOR : A COMPARATIVE STUDY OF CONVENTIONAL","type":"article-journal"},"uris":["http://www.mendeley.com/documents/?uuid=fc183857-c541-41ac-9c94-4aad40c61067"]}],"mendeley":{"formattedCitation":"(Setiabudi et al., 2025)","plainTextFormattedCitation":"(Setiabudi et al., 2025)","previouslyFormattedCitation":"(Setiabudi et al., 2025)"},"properties":{"noteIndex":0},"schema":"https://github.com/citation-style-language/schema/raw/master/csl-citation.json"}</w:instrText>
      </w:r>
      <w:r w:rsidRPr="0032299D">
        <w:rPr>
          <w:rFonts w:ascii="Times New Roman" w:hAnsi="Times New Roman" w:cs="Times New Roman"/>
          <w:sz w:val="24"/>
          <w:szCs w:val="24"/>
        </w:rPr>
        <w:fldChar w:fldCharType="separate"/>
      </w:r>
      <w:r w:rsidRPr="0032299D">
        <w:rPr>
          <w:rFonts w:ascii="Times New Roman" w:hAnsi="Times New Roman" w:cs="Times New Roman"/>
          <w:noProof/>
          <w:sz w:val="24"/>
          <w:szCs w:val="24"/>
        </w:rPr>
        <w:t>(Setiabudi et al., 2025)</w:t>
      </w:r>
      <w:r w:rsidRPr="0032299D">
        <w:rPr>
          <w:rFonts w:ascii="Times New Roman" w:hAnsi="Times New Roman" w:cs="Times New Roman"/>
          <w:sz w:val="24"/>
          <w:szCs w:val="24"/>
        </w:rPr>
        <w:fldChar w:fldCharType="end"/>
      </w:r>
      <w:r w:rsidRPr="0032299D">
        <w:rPr>
          <w:rFonts w:ascii="Times New Roman" w:hAnsi="Times New Roman" w:cs="Times New Roman"/>
          <w:sz w:val="24"/>
          <w:szCs w:val="24"/>
        </w:rPr>
        <w:t xml:space="preserve">. Di Indonesia, penerapan digitalisasi perbankan mulai berkembang dan meluas sejak tahun 2017 dan mengalami percepatan paling pesat pada masa pandemi Covid-19. Situasi tersebut mendorong perbankan untuk semakin mengoptimalkan kanal digital guna memenuhi kebutuhan transaksi masyarakat yang terus meningkat. Data Otoritas Jasa Keuangan (OJK) menunjukkan bahwa nilai transaksi pembayaran elektronik mengalami peningkatan dari tahun ke tahun, yang mencerminkan semakin tingginya pemanfaatan layanan perbankan digital oleh masyarakat. </w:t>
      </w:r>
      <w:r w:rsidR="00641E89" w:rsidRPr="0032299D">
        <w:rPr>
          <w:rFonts w:ascii="Times New Roman" w:hAnsi="Times New Roman" w:cs="Times New Roman"/>
          <w:sz w:val="24"/>
          <w:szCs w:val="24"/>
        </w:rPr>
        <w:t xml:space="preserve">Artinya </w:t>
      </w:r>
      <w:r w:rsidRPr="0032299D">
        <w:rPr>
          <w:rFonts w:ascii="Times New Roman" w:hAnsi="Times New Roman" w:cs="Times New Roman"/>
          <w:sz w:val="24"/>
          <w:szCs w:val="24"/>
        </w:rPr>
        <w:t xml:space="preserve">digitalisasi telah menjadi bagian penting dalam operasional perbankan nasional </w:t>
      </w:r>
      <w:r w:rsidRPr="0032299D">
        <w:rPr>
          <w:rFonts w:ascii="Times New Roman" w:hAnsi="Times New Roman" w:cs="Times New Roman"/>
          <w:sz w:val="24"/>
          <w:szCs w:val="24"/>
        </w:rPr>
        <w:fldChar w:fldCharType="begin" w:fldLock="1"/>
      </w:r>
      <w:r w:rsidRPr="0032299D">
        <w:rPr>
          <w:rFonts w:ascii="Times New Roman" w:hAnsi="Times New Roman" w:cs="Times New Roman"/>
          <w:sz w:val="24"/>
          <w:szCs w:val="24"/>
        </w:rPr>
        <w:instrText>ADDIN CSL_CITATION {"citationItems":[{"id":"ITEM-1","itemData":{"author":[{"dropping-particle":"","family":"Ramadhan","given":"Syahril","non-dropping-particle":"","parse-names":false,"suffix":""},{"dropping-particle":"","family":"Ahmar","given":"Nurmala","non-dropping-particle":"","parse-names":false,"suffix":""}],"id":"ITEM-1","issue":"1","issued":{"date-parts":[["2025"]]},"page":"11-25","title":"Transformasi digital di sektor perbankan : sebuah kajian faktor-faktor kunci melalui systematic literature review","type":"article-journal","volume":"5"},"uris":["http://www.mendeley.com/documents/?uuid=af5c5912-f9ae-403d-bb6e-137c776b4850"]}],"mendeley":{"formattedCitation":"(S. Ramadhan &amp; Ahmar, 2025)","plainTextFormattedCitation":"(S. Ramadhan &amp; Ahmar, 2025)","previouslyFormattedCitation":"(S. Ramadhan &amp; Ahmar, 2025)"},"properties":{"noteIndex":0},"schema":"https://github.com/citation-style-language/schema/raw/master/csl-citation.json"}</w:instrText>
      </w:r>
      <w:r w:rsidRPr="0032299D">
        <w:rPr>
          <w:rFonts w:ascii="Times New Roman" w:hAnsi="Times New Roman" w:cs="Times New Roman"/>
          <w:sz w:val="24"/>
          <w:szCs w:val="24"/>
        </w:rPr>
        <w:fldChar w:fldCharType="separate"/>
      </w:r>
      <w:r w:rsidRPr="0032299D">
        <w:rPr>
          <w:rFonts w:ascii="Times New Roman" w:hAnsi="Times New Roman" w:cs="Times New Roman"/>
          <w:noProof/>
          <w:sz w:val="24"/>
          <w:szCs w:val="24"/>
        </w:rPr>
        <w:t>(S. Ramadhan &amp; Ahmar, 2025)</w:t>
      </w:r>
      <w:r w:rsidRPr="0032299D">
        <w:rPr>
          <w:rFonts w:ascii="Times New Roman" w:hAnsi="Times New Roman" w:cs="Times New Roman"/>
          <w:sz w:val="24"/>
          <w:szCs w:val="24"/>
        </w:rPr>
        <w:fldChar w:fldCharType="end"/>
      </w:r>
      <w:r w:rsidRPr="0032299D">
        <w:rPr>
          <w:rFonts w:ascii="Times New Roman" w:hAnsi="Times New Roman" w:cs="Times New Roman"/>
          <w:sz w:val="24"/>
          <w:szCs w:val="24"/>
        </w:rPr>
        <w:t>.</w:t>
      </w:r>
      <w:r w:rsidR="00761966" w:rsidRPr="0032299D">
        <w:rPr>
          <w:rFonts w:ascii="Times New Roman" w:hAnsi="Times New Roman" w:cs="Times New Roman"/>
          <w:sz w:val="24"/>
          <w:szCs w:val="24"/>
        </w:rPr>
        <w:t xml:space="preserve"> </w:t>
      </w:r>
      <w:r w:rsidR="00AC6193" w:rsidRPr="0032299D">
        <w:rPr>
          <w:rFonts w:ascii="Times New Roman" w:hAnsi="Times New Roman" w:cs="Times New Roman"/>
          <w:sz w:val="24"/>
          <w:szCs w:val="24"/>
        </w:rPr>
        <w:t xml:space="preserve">Dalam kondisi tersebut, kinerja keuangan perbankan menjadi salah satu indikator utama untuk menilai sejauh mana digitalisasi mampu meningkatkan efektivitas dan efisiensi operasional bank . </w:t>
      </w:r>
      <w:r w:rsidR="00641E89" w:rsidRPr="0032299D">
        <w:rPr>
          <w:rFonts w:ascii="Times New Roman" w:hAnsi="Times New Roman" w:cs="Times New Roman"/>
          <w:sz w:val="24"/>
          <w:szCs w:val="24"/>
        </w:rPr>
        <w:t xml:space="preserve">Kinerja keuangan menggambarkan kemampuan bank dalam mengelola aset, kewajiban, serta modal guna menghasilkan laba dan menjaga </w:t>
      </w:r>
      <w:r w:rsidR="00641E89" w:rsidRPr="0032299D">
        <w:rPr>
          <w:rFonts w:ascii="Times New Roman" w:hAnsi="Times New Roman" w:cs="Times New Roman"/>
          <w:sz w:val="24"/>
          <w:szCs w:val="24"/>
        </w:rPr>
        <w:lastRenderedPageBreak/>
        <w:t xml:space="preserve">stabilitas usaha. Oleh karena itu, perkembangan digitalisasi perbankan berpotensi memengaruhi berbagai aspek kinerja keuangan, seperti tingkat profitabilitas, efisiensi operasional, likuiditas, dan kualitas aset </w:t>
      </w:r>
      <w:r w:rsidR="00641E89" w:rsidRPr="0032299D">
        <w:rPr>
          <w:rFonts w:ascii="Times New Roman" w:hAnsi="Times New Roman" w:cs="Times New Roman"/>
          <w:sz w:val="24"/>
          <w:szCs w:val="24"/>
        </w:rPr>
        <w:fldChar w:fldCharType="begin" w:fldLock="1"/>
      </w:r>
      <w:r w:rsidR="00641E89" w:rsidRPr="0032299D">
        <w:rPr>
          <w:rFonts w:ascii="Times New Roman" w:hAnsi="Times New Roman" w:cs="Times New Roman"/>
          <w:sz w:val="24"/>
          <w:szCs w:val="24"/>
        </w:rPr>
        <w:instrText>ADDIN CSL_CITATION {"citationItems":[{"id":"ITEM-1","itemData":{"author":[{"dropping-particle":"","family":"Shanti","given":"Riris","non-dropping-particle":"","parse-names":false,"suffix":""},{"dropping-particle":"","family":"Avianto","given":"Wahyu","non-dropping-particle":"","parse-names":false,"suffix":""},{"dropping-particle":"","family":"Wibowo","given":"Wahyu Ari","non-dropping-particle":"","parse-names":false,"suffix":""}],"id":"ITEM-1","issue":"2","issued":{"date-parts":[["2022"]]},"page":"543-552","title":"A Systematic Review on Banking Digital Transformation","type":"article-journal","volume":"9"},"uris":["http://www.mendeley.com/documents/?uuid=7ec65235-1277-428e-9aa2-8035d0abb97a"]}],"mendeley":{"formattedCitation":"(Shanti et al., 2022)","plainTextFormattedCitation":"(Shanti et al., 2022)","previouslyFormattedCitation":"(Shanti et al., 2022)"},"properties":{"noteIndex":0},"schema":"https://github.com/citation-style-language/schema/raw/master/csl-citation.json"}</w:instrText>
      </w:r>
      <w:r w:rsidR="00641E89" w:rsidRPr="0032299D">
        <w:rPr>
          <w:rFonts w:ascii="Times New Roman" w:hAnsi="Times New Roman" w:cs="Times New Roman"/>
          <w:sz w:val="24"/>
          <w:szCs w:val="24"/>
        </w:rPr>
        <w:fldChar w:fldCharType="separate"/>
      </w:r>
      <w:r w:rsidR="00641E89" w:rsidRPr="0032299D">
        <w:rPr>
          <w:rFonts w:ascii="Times New Roman" w:hAnsi="Times New Roman" w:cs="Times New Roman"/>
          <w:noProof/>
          <w:sz w:val="24"/>
          <w:szCs w:val="24"/>
        </w:rPr>
        <w:t>(Shanti et al., 2022)</w:t>
      </w:r>
      <w:r w:rsidR="00641E89" w:rsidRPr="0032299D">
        <w:rPr>
          <w:rFonts w:ascii="Times New Roman" w:hAnsi="Times New Roman" w:cs="Times New Roman"/>
          <w:sz w:val="24"/>
          <w:szCs w:val="24"/>
        </w:rPr>
        <w:fldChar w:fldCharType="end"/>
      </w:r>
      <w:r w:rsidR="00641E89" w:rsidRPr="0032299D">
        <w:rPr>
          <w:rFonts w:ascii="Times New Roman" w:hAnsi="Times New Roman" w:cs="Times New Roman"/>
          <w:sz w:val="24"/>
          <w:szCs w:val="24"/>
        </w:rPr>
        <w:t xml:space="preserve">. </w:t>
      </w:r>
    </w:p>
    <w:p w14:paraId="5ED0E80D" w14:textId="77777777" w:rsidR="00761966" w:rsidRPr="0032299D" w:rsidRDefault="00641E89" w:rsidP="00761966">
      <w:pPr>
        <w:spacing w:after="0" w:line="240" w:lineRule="auto"/>
        <w:ind w:firstLine="360"/>
        <w:jc w:val="both"/>
        <w:rPr>
          <w:rFonts w:ascii="Times New Roman" w:hAnsi="Times New Roman" w:cs="Times New Roman"/>
          <w:sz w:val="24"/>
          <w:szCs w:val="24"/>
        </w:rPr>
      </w:pPr>
      <w:r w:rsidRPr="0032299D">
        <w:rPr>
          <w:rFonts w:ascii="Times New Roman" w:hAnsi="Times New Roman" w:cs="Times New Roman"/>
          <w:sz w:val="24"/>
          <w:szCs w:val="24"/>
        </w:rPr>
        <w:t xml:space="preserve">Sebagai lembaga keuangan yang berperan penting dalam perekonomian nasional, perbankan menjalankan fungsi intermediasi dengan menghimpun dana dari masyarakat dan menyalurkannya kembali dalam bentuk kredit atau pembiayaan. Namun, bank syariah dan bank konvensional memiliki karakteristik operasional yang berbeda, sehingga memungkinkan adanya perbedaan dalam merespon perkembangan digitalisasi serta dampaknya terhadap kinerja keuangan masing-masing bank. Bank konvensional beroperasi berdasarkan sistem bunga, dan bank syariah beroperasi berdasarkan sistem bagi hasil </w:t>
      </w:r>
      <w:r w:rsidRPr="0032299D">
        <w:rPr>
          <w:rFonts w:ascii="Times New Roman" w:hAnsi="Times New Roman" w:cs="Times New Roman"/>
          <w:sz w:val="24"/>
          <w:szCs w:val="24"/>
        </w:rPr>
        <w:fldChar w:fldCharType="begin" w:fldLock="1"/>
      </w:r>
      <w:r w:rsidRPr="0032299D">
        <w:rPr>
          <w:rFonts w:ascii="Times New Roman" w:hAnsi="Times New Roman" w:cs="Times New Roman"/>
          <w:sz w:val="24"/>
          <w:szCs w:val="24"/>
        </w:rPr>
        <w:instrText>ADDIN CSL_CITATION {"citationItems":[{"id":"ITEM-1","itemData":{"author":[{"dropping-particle":"","family":"Tiffani","given":"Ignasia","non-dropping-particle":"","parse-names":false,"suffix":""}],"container-title":"Journal , Business, and Accounting","id":"ITEM-1","issue":"1","issued":{"date-parts":[["2023"]]},"page":"152-167","title":"2039-Article Text-6906-2-10-20230605","type":"article-journal","volume":"22"},"uris":["http://www.mendeley.com/documents/?uuid=d72e101c-2e9c-4dfb-a4a5-a622c8fbb769"]}],"mendeley":{"formattedCitation":"(Tiffani, 2023)","plainTextFormattedCitation":"(Tiffani, 2023)"},"properties":{"noteIndex":0},"schema":"https://github.com/citation-style-language/schema/raw/master/csl-citation.json"}</w:instrText>
      </w:r>
      <w:r w:rsidRPr="0032299D">
        <w:rPr>
          <w:rFonts w:ascii="Times New Roman" w:hAnsi="Times New Roman" w:cs="Times New Roman"/>
          <w:sz w:val="24"/>
          <w:szCs w:val="24"/>
        </w:rPr>
        <w:fldChar w:fldCharType="separate"/>
      </w:r>
      <w:r w:rsidRPr="0032299D">
        <w:rPr>
          <w:rFonts w:ascii="Times New Roman" w:hAnsi="Times New Roman" w:cs="Times New Roman"/>
          <w:noProof/>
          <w:sz w:val="24"/>
          <w:szCs w:val="24"/>
        </w:rPr>
        <w:t>(Tiffani, 2023)</w:t>
      </w:r>
      <w:r w:rsidRPr="0032299D">
        <w:rPr>
          <w:rFonts w:ascii="Times New Roman" w:hAnsi="Times New Roman" w:cs="Times New Roman"/>
          <w:sz w:val="24"/>
          <w:szCs w:val="24"/>
        </w:rPr>
        <w:fldChar w:fldCharType="end"/>
      </w:r>
      <w:r w:rsidRPr="0032299D">
        <w:rPr>
          <w:rFonts w:ascii="Times New Roman" w:hAnsi="Times New Roman" w:cs="Times New Roman"/>
          <w:sz w:val="24"/>
          <w:szCs w:val="24"/>
        </w:rPr>
        <w:t>.</w:t>
      </w:r>
      <w:r w:rsidR="00AC6193" w:rsidRPr="0032299D">
        <w:rPr>
          <w:rFonts w:ascii="Times New Roman" w:hAnsi="Times New Roman" w:cs="Times New Roman"/>
          <w:sz w:val="24"/>
          <w:szCs w:val="24"/>
        </w:rPr>
        <w:t xml:space="preserve"> </w:t>
      </w:r>
    </w:p>
    <w:p w14:paraId="574D2298" w14:textId="0FB4EDA3" w:rsidR="009924E7" w:rsidRDefault="00AC6193" w:rsidP="00EB01A4">
      <w:pPr>
        <w:spacing w:after="0" w:line="240" w:lineRule="auto"/>
        <w:ind w:firstLine="360"/>
        <w:jc w:val="both"/>
        <w:rPr>
          <w:rFonts w:ascii="Times New Roman" w:hAnsi="Times New Roman" w:cs="Times New Roman"/>
          <w:sz w:val="24"/>
          <w:szCs w:val="24"/>
        </w:rPr>
      </w:pPr>
      <w:r w:rsidRPr="0032299D">
        <w:rPr>
          <w:rFonts w:ascii="Times New Roman" w:hAnsi="Times New Roman" w:cs="Times New Roman"/>
          <w:sz w:val="24"/>
          <w:szCs w:val="24"/>
        </w:rPr>
        <w:t xml:space="preserve">Seperti penelitian yang dilakukan Ulfi Rana Nurmala (2018) menunjukkan bahwa bank konvensional menunjukkan kinerja yang lebih unggul dalam hal risiko kredit, likuiditas, dan profitabilitas, meskipun tidak terdapat perbedaan yang signifikan dalam hal tata kelola perusahaan yang baik (GCG) dan kecukupan modal saat menganalisis periode 2013 hingga 2016. Di sisi lain, studi oleh Destria Sheren Simanungkalit (2022) mengungkapkan perbedaan signifikan dalam rasio ROA, ROE, dan BOPO antara bank syariah dan bank konvensional selama pandemi. Namun, tidak terdapat perbedaan yang signifikan dalam rasio CAR, NPF/NPL, dan LDR/FDR. Temuan studi tersebut menunjukkan bahwa bank konvensional secara umum menunjukkan kinerja keuangan yang lebih unggul dibandingkan dengan bank syariah. Perbedaan ini terutama terlihat pada metrik profitabilitas seperti </w:t>
      </w:r>
      <w:r w:rsidRPr="0032299D">
        <w:rPr>
          <w:rFonts w:ascii="Times New Roman" w:hAnsi="Times New Roman" w:cs="Times New Roman"/>
          <w:i/>
          <w:iCs/>
          <w:sz w:val="24"/>
          <w:szCs w:val="24"/>
        </w:rPr>
        <w:t>return on assets</w:t>
      </w:r>
      <w:r w:rsidRPr="0032299D">
        <w:rPr>
          <w:rFonts w:ascii="Times New Roman" w:hAnsi="Times New Roman" w:cs="Times New Roman"/>
          <w:sz w:val="24"/>
          <w:szCs w:val="24"/>
        </w:rPr>
        <w:t xml:space="preserve"> (ROA) dan </w:t>
      </w:r>
      <w:r w:rsidRPr="0032299D">
        <w:rPr>
          <w:rFonts w:ascii="Times New Roman" w:hAnsi="Times New Roman" w:cs="Times New Roman"/>
          <w:i/>
          <w:iCs/>
          <w:sz w:val="24"/>
          <w:szCs w:val="24"/>
        </w:rPr>
        <w:t>return on equity</w:t>
      </w:r>
      <w:r w:rsidRPr="0032299D">
        <w:rPr>
          <w:rFonts w:ascii="Times New Roman" w:hAnsi="Times New Roman" w:cs="Times New Roman"/>
          <w:sz w:val="24"/>
          <w:szCs w:val="24"/>
        </w:rPr>
        <w:t xml:space="preserve"> (ROE), serta rasio efisiensi aset operasional (BOPO). Namun demikian, sebagian besar penelitian tersebut masih menitikberatkan pada perbandingan kinerja keuangan secara umum dan belum secara khusus mengaitkannya dengan perkembangan digitalisasi perbankan.</w:t>
      </w:r>
    </w:p>
    <w:p w14:paraId="1681498F" w14:textId="77777777" w:rsidR="00B7701C" w:rsidRPr="0032299D" w:rsidRDefault="00B7701C" w:rsidP="00EB01A4">
      <w:pPr>
        <w:spacing w:after="0" w:line="240" w:lineRule="auto"/>
        <w:ind w:firstLine="360"/>
        <w:jc w:val="both"/>
        <w:rPr>
          <w:rFonts w:ascii="Times New Roman" w:hAnsi="Times New Roman" w:cs="Times New Roman"/>
          <w:sz w:val="24"/>
          <w:szCs w:val="24"/>
        </w:rPr>
      </w:pPr>
    </w:p>
    <w:p w14:paraId="65F47586" w14:textId="76AFCA8F" w:rsidR="00557114" w:rsidRPr="0032299D" w:rsidRDefault="009924E7" w:rsidP="00EB01A4">
      <w:pPr>
        <w:spacing w:after="0" w:line="240" w:lineRule="auto"/>
        <w:jc w:val="center"/>
        <w:rPr>
          <w:rFonts w:ascii="Times New Roman" w:hAnsi="Times New Roman" w:cs="Times New Roman"/>
          <w:b/>
          <w:bCs/>
          <w:sz w:val="24"/>
          <w:szCs w:val="24"/>
        </w:rPr>
      </w:pPr>
      <w:r w:rsidRPr="0032299D">
        <w:rPr>
          <w:rFonts w:ascii="Times New Roman" w:hAnsi="Times New Roman" w:cs="Times New Roman"/>
          <w:b/>
          <w:bCs/>
          <w:sz w:val="24"/>
          <w:szCs w:val="24"/>
        </w:rPr>
        <w:t xml:space="preserve">Tabel 1. </w:t>
      </w:r>
      <w:r w:rsidR="00557114" w:rsidRPr="0032299D">
        <w:rPr>
          <w:rFonts w:ascii="Times New Roman" w:hAnsi="Times New Roman" w:cs="Times New Roman"/>
          <w:b/>
          <w:bCs/>
          <w:sz w:val="24"/>
          <w:szCs w:val="24"/>
        </w:rPr>
        <w:t xml:space="preserve">Perbandingan </w:t>
      </w:r>
      <w:r w:rsidRPr="0032299D">
        <w:rPr>
          <w:rFonts w:ascii="Times New Roman" w:hAnsi="Times New Roman" w:cs="Times New Roman"/>
          <w:b/>
          <w:bCs/>
          <w:sz w:val="24"/>
          <w:szCs w:val="24"/>
        </w:rPr>
        <w:t>R</w:t>
      </w:r>
      <w:r w:rsidR="00557114" w:rsidRPr="0032299D">
        <w:rPr>
          <w:rFonts w:ascii="Times New Roman" w:hAnsi="Times New Roman" w:cs="Times New Roman"/>
          <w:b/>
          <w:bCs/>
          <w:sz w:val="24"/>
          <w:szCs w:val="24"/>
        </w:rPr>
        <w:t xml:space="preserve">asio </w:t>
      </w:r>
      <w:r w:rsidRPr="0032299D">
        <w:rPr>
          <w:rFonts w:ascii="Times New Roman" w:hAnsi="Times New Roman" w:cs="Times New Roman"/>
          <w:b/>
          <w:bCs/>
          <w:sz w:val="24"/>
          <w:szCs w:val="24"/>
        </w:rPr>
        <w:t>Ke</w:t>
      </w:r>
      <w:r w:rsidR="00557114" w:rsidRPr="0032299D">
        <w:rPr>
          <w:rFonts w:ascii="Times New Roman" w:hAnsi="Times New Roman" w:cs="Times New Roman"/>
          <w:b/>
          <w:bCs/>
          <w:sz w:val="24"/>
          <w:szCs w:val="24"/>
        </w:rPr>
        <w:t xml:space="preserve">uangan </w:t>
      </w:r>
      <w:r w:rsidR="00903585" w:rsidRPr="0032299D">
        <w:rPr>
          <w:rFonts w:ascii="Times New Roman" w:hAnsi="Times New Roman" w:cs="Times New Roman"/>
          <w:b/>
          <w:bCs/>
          <w:sz w:val="24"/>
          <w:szCs w:val="24"/>
        </w:rPr>
        <w:t>Ba</w:t>
      </w:r>
      <w:r w:rsidR="00557114" w:rsidRPr="0032299D">
        <w:rPr>
          <w:rFonts w:ascii="Times New Roman" w:hAnsi="Times New Roman" w:cs="Times New Roman"/>
          <w:b/>
          <w:bCs/>
          <w:sz w:val="24"/>
          <w:szCs w:val="24"/>
        </w:rPr>
        <w:t xml:space="preserve">nk </w:t>
      </w:r>
      <w:r w:rsidR="00903585" w:rsidRPr="0032299D">
        <w:rPr>
          <w:rFonts w:ascii="Times New Roman" w:hAnsi="Times New Roman" w:cs="Times New Roman"/>
          <w:b/>
          <w:bCs/>
          <w:sz w:val="24"/>
          <w:szCs w:val="24"/>
        </w:rPr>
        <w:t>S</w:t>
      </w:r>
      <w:r w:rsidR="00557114" w:rsidRPr="0032299D">
        <w:rPr>
          <w:rFonts w:ascii="Times New Roman" w:hAnsi="Times New Roman" w:cs="Times New Roman"/>
          <w:b/>
          <w:bCs/>
          <w:sz w:val="24"/>
          <w:szCs w:val="24"/>
        </w:rPr>
        <w:t xml:space="preserve">yariah dan </w:t>
      </w:r>
      <w:r w:rsidR="00903585" w:rsidRPr="0032299D">
        <w:rPr>
          <w:rFonts w:ascii="Times New Roman" w:hAnsi="Times New Roman" w:cs="Times New Roman"/>
          <w:b/>
          <w:bCs/>
          <w:sz w:val="24"/>
          <w:szCs w:val="24"/>
        </w:rPr>
        <w:t>B</w:t>
      </w:r>
      <w:r w:rsidR="00557114" w:rsidRPr="0032299D">
        <w:rPr>
          <w:rFonts w:ascii="Times New Roman" w:hAnsi="Times New Roman" w:cs="Times New Roman"/>
          <w:b/>
          <w:bCs/>
          <w:sz w:val="24"/>
          <w:szCs w:val="24"/>
        </w:rPr>
        <w:t xml:space="preserve">ank </w:t>
      </w:r>
      <w:r w:rsidR="00903585" w:rsidRPr="0032299D">
        <w:rPr>
          <w:rFonts w:ascii="Times New Roman" w:hAnsi="Times New Roman" w:cs="Times New Roman"/>
          <w:b/>
          <w:bCs/>
          <w:sz w:val="24"/>
          <w:szCs w:val="24"/>
        </w:rPr>
        <w:t>K</w:t>
      </w:r>
      <w:r w:rsidR="00557114" w:rsidRPr="0032299D">
        <w:rPr>
          <w:rFonts w:ascii="Times New Roman" w:hAnsi="Times New Roman" w:cs="Times New Roman"/>
          <w:b/>
          <w:bCs/>
          <w:sz w:val="24"/>
          <w:szCs w:val="24"/>
        </w:rPr>
        <w:t>onvensional</w:t>
      </w:r>
    </w:p>
    <w:tbl>
      <w:tblPr>
        <w:tblStyle w:val="GridTable1Light"/>
        <w:tblpPr w:leftFromText="180" w:rightFromText="180" w:vertAnchor="text" w:horzAnchor="page" w:tblpXSpec="center" w:tblpY="57"/>
        <w:tblW w:w="0" w:type="auto"/>
        <w:tblLook w:val="04A0" w:firstRow="1" w:lastRow="0" w:firstColumn="1" w:lastColumn="0" w:noHBand="0" w:noVBand="1"/>
      </w:tblPr>
      <w:tblGrid>
        <w:gridCol w:w="913"/>
        <w:gridCol w:w="821"/>
        <w:gridCol w:w="821"/>
        <w:gridCol w:w="821"/>
        <w:gridCol w:w="821"/>
        <w:gridCol w:w="821"/>
        <w:gridCol w:w="821"/>
        <w:gridCol w:w="821"/>
      </w:tblGrid>
      <w:tr w:rsidR="009924E7" w:rsidRPr="0032299D" w14:paraId="3C6D1819" w14:textId="77777777" w:rsidTr="00706FB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7B464E16" w14:textId="77777777" w:rsidR="009924E7" w:rsidRPr="0032299D" w:rsidRDefault="009924E7" w:rsidP="009924E7">
            <w:pPr>
              <w:jc w:val="cente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RASIO</w:t>
            </w:r>
          </w:p>
          <w:p w14:paraId="532E8ABE" w14:textId="77777777" w:rsidR="009924E7" w:rsidRPr="0032299D" w:rsidRDefault="009924E7" w:rsidP="009924E7">
            <w:pPr>
              <w:jc w:val="cente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w:t>
            </w:r>
          </w:p>
        </w:tc>
        <w:tc>
          <w:tcPr>
            <w:tcW w:w="0" w:type="auto"/>
            <w:gridSpan w:val="7"/>
            <w:noWrap/>
            <w:hideMark/>
          </w:tcPr>
          <w:p w14:paraId="3B8D7277" w14:textId="77777777" w:rsidR="009924E7" w:rsidRPr="0032299D" w:rsidRDefault="009924E7" w:rsidP="009924E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BANK SYARIAH</w:t>
            </w:r>
          </w:p>
        </w:tc>
      </w:tr>
      <w:tr w:rsidR="009924E7" w:rsidRPr="0032299D" w14:paraId="0762E04A" w14:textId="77777777" w:rsidTr="00706FB9">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40423AE4" w14:textId="77777777" w:rsidR="009924E7" w:rsidRPr="0032299D" w:rsidRDefault="009924E7" w:rsidP="009924E7">
            <w:pPr>
              <w:jc w:val="center"/>
              <w:rPr>
                <w:rFonts w:ascii="Times New Roman" w:eastAsia="Times New Roman" w:hAnsi="Times New Roman" w:cs="Times New Roman"/>
                <w:color w:val="000000"/>
                <w:lang w:eastAsia="en-ID"/>
              </w:rPr>
            </w:pPr>
          </w:p>
        </w:tc>
        <w:tc>
          <w:tcPr>
            <w:tcW w:w="0" w:type="auto"/>
            <w:noWrap/>
            <w:hideMark/>
          </w:tcPr>
          <w:p w14:paraId="47DA256E"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2017</w:t>
            </w:r>
          </w:p>
        </w:tc>
        <w:tc>
          <w:tcPr>
            <w:tcW w:w="0" w:type="auto"/>
            <w:noWrap/>
            <w:hideMark/>
          </w:tcPr>
          <w:p w14:paraId="16DAB652"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2018</w:t>
            </w:r>
          </w:p>
        </w:tc>
        <w:tc>
          <w:tcPr>
            <w:tcW w:w="0" w:type="auto"/>
            <w:noWrap/>
            <w:hideMark/>
          </w:tcPr>
          <w:p w14:paraId="5F911498"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2019</w:t>
            </w:r>
          </w:p>
        </w:tc>
        <w:tc>
          <w:tcPr>
            <w:tcW w:w="0" w:type="auto"/>
            <w:noWrap/>
            <w:hideMark/>
          </w:tcPr>
          <w:p w14:paraId="5BCFFCE2"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2020</w:t>
            </w:r>
          </w:p>
        </w:tc>
        <w:tc>
          <w:tcPr>
            <w:tcW w:w="0" w:type="auto"/>
            <w:noWrap/>
            <w:hideMark/>
          </w:tcPr>
          <w:p w14:paraId="552558FF"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2021</w:t>
            </w:r>
          </w:p>
        </w:tc>
        <w:tc>
          <w:tcPr>
            <w:tcW w:w="0" w:type="auto"/>
            <w:noWrap/>
            <w:hideMark/>
          </w:tcPr>
          <w:p w14:paraId="14D401E3"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2022</w:t>
            </w:r>
          </w:p>
        </w:tc>
        <w:tc>
          <w:tcPr>
            <w:tcW w:w="0" w:type="auto"/>
            <w:noWrap/>
            <w:hideMark/>
          </w:tcPr>
          <w:p w14:paraId="24590D60"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2023</w:t>
            </w:r>
          </w:p>
        </w:tc>
      </w:tr>
      <w:tr w:rsidR="009924E7" w:rsidRPr="0032299D" w14:paraId="0DF84739" w14:textId="77777777" w:rsidTr="00706FB9">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77432423" w14:textId="77777777" w:rsidR="009924E7" w:rsidRPr="0032299D" w:rsidRDefault="009924E7" w:rsidP="009924E7">
            <w:pP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ROA</w:t>
            </w:r>
          </w:p>
        </w:tc>
        <w:tc>
          <w:tcPr>
            <w:tcW w:w="0" w:type="auto"/>
            <w:noWrap/>
            <w:hideMark/>
          </w:tcPr>
          <w:p w14:paraId="65CE47D3"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3,29</w:t>
            </w:r>
          </w:p>
        </w:tc>
        <w:tc>
          <w:tcPr>
            <w:tcW w:w="0" w:type="auto"/>
            <w:noWrap/>
            <w:hideMark/>
          </w:tcPr>
          <w:p w14:paraId="35A66642"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14,84</w:t>
            </w:r>
          </w:p>
        </w:tc>
        <w:tc>
          <w:tcPr>
            <w:tcW w:w="0" w:type="auto"/>
            <w:noWrap/>
            <w:hideMark/>
          </w:tcPr>
          <w:p w14:paraId="4BADCE70"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15,97</w:t>
            </w:r>
          </w:p>
        </w:tc>
        <w:tc>
          <w:tcPr>
            <w:tcW w:w="0" w:type="auto"/>
            <w:noWrap/>
            <w:hideMark/>
          </w:tcPr>
          <w:p w14:paraId="65D57E12"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10,09</w:t>
            </w:r>
          </w:p>
        </w:tc>
        <w:tc>
          <w:tcPr>
            <w:tcW w:w="0" w:type="auto"/>
            <w:noWrap/>
            <w:hideMark/>
          </w:tcPr>
          <w:p w14:paraId="4A525B25"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9,2</w:t>
            </w:r>
          </w:p>
        </w:tc>
        <w:tc>
          <w:tcPr>
            <w:tcW w:w="0" w:type="auto"/>
            <w:noWrap/>
            <w:hideMark/>
          </w:tcPr>
          <w:p w14:paraId="547F75C7"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17,2</w:t>
            </w:r>
          </w:p>
        </w:tc>
        <w:tc>
          <w:tcPr>
            <w:tcW w:w="0" w:type="auto"/>
            <w:noWrap/>
            <w:hideMark/>
          </w:tcPr>
          <w:p w14:paraId="38D63D3E"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39,63</w:t>
            </w:r>
          </w:p>
        </w:tc>
      </w:tr>
      <w:tr w:rsidR="009924E7" w:rsidRPr="0032299D" w14:paraId="7FA2D419" w14:textId="77777777" w:rsidTr="00706FB9">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08D10511" w14:textId="77777777" w:rsidR="009924E7" w:rsidRPr="0032299D" w:rsidRDefault="009924E7" w:rsidP="009924E7">
            <w:pP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ROE</w:t>
            </w:r>
          </w:p>
        </w:tc>
        <w:tc>
          <w:tcPr>
            <w:tcW w:w="0" w:type="auto"/>
            <w:noWrap/>
            <w:hideMark/>
          </w:tcPr>
          <w:p w14:paraId="55BC08DC"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-45,59</w:t>
            </w:r>
          </w:p>
        </w:tc>
        <w:tc>
          <w:tcPr>
            <w:tcW w:w="0" w:type="auto"/>
            <w:noWrap/>
            <w:hideMark/>
          </w:tcPr>
          <w:p w14:paraId="29ACB5CB"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42,51</w:t>
            </w:r>
          </w:p>
        </w:tc>
        <w:tc>
          <w:tcPr>
            <w:tcW w:w="0" w:type="auto"/>
            <w:noWrap/>
            <w:hideMark/>
          </w:tcPr>
          <w:p w14:paraId="61C6E65D"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41</w:t>
            </w:r>
          </w:p>
        </w:tc>
        <w:tc>
          <w:tcPr>
            <w:tcW w:w="0" w:type="auto"/>
            <w:noWrap/>
            <w:hideMark/>
          </w:tcPr>
          <w:p w14:paraId="268071C7"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29,24</w:t>
            </w:r>
          </w:p>
        </w:tc>
        <w:tc>
          <w:tcPr>
            <w:tcW w:w="0" w:type="auto"/>
            <w:noWrap/>
            <w:hideMark/>
          </w:tcPr>
          <w:p w14:paraId="289999AA"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19,79</w:t>
            </w:r>
          </w:p>
        </w:tc>
        <w:tc>
          <w:tcPr>
            <w:tcW w:w="0" w:type="auto"/>
            <w:noWrap/>
            <w:hideMark/>
          </w:tcPr>
          <w:p w14:paraId="27A8D558"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52,08</w:t>
            </w:r>
          </w:p>
        </w:tc>
        <w:tc>
          <w:tcPr>
            <w:tcW w:w="0" w:type="auto"/>
            <w:noWrap/>
            <w:hideMark/>
          </w:tcPr>
          <w:p w14:paraId="130D487E"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60,35</w:t>
            </w:r>
          </w:p>
        </w:tc>
      </w:tr>
      <w:tr w:rsidR="009924E7" w:rsidRPr="0032299D" w14:paraId="76A106D9" w14:textId="77777777" w:rsidTr="00706FB9">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24AFCA7B" w14:textId="77777777" w:rsidR="009924E7" w:rsidRPr="0032299D" w:rsidRDefault="009924E7" w:rsidP="009924E7">
            <w:pP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NPF</w:t>
            </w:r>
          </w:p>
        </w:tc>
        <w:tc>
          <w:tcPr>
            <w:tcW w:w="0" w:type="auto"/>
            <w:noWrap/>
            <w:hideMark/>
          </w:tcPr>
          <w:p w14:paraId="06F78CDB"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12,52</w:t>
            </w:r>
          </w:p>
        </w:tc>
        <w:tc>
          <w:tcPr>
            <w:tcW w:w="0" w:type="auto"/>
            <w:noWrap/>
            <w:hideMark/>
          </w:tcPr>
          <w:p w14:paraId="61E35B90"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10,31</w:t>
            </w:r>
          </w:p>
        </w:tc>
        <w:tc>
          <w:tcPr>
            <w:tcW w:w="0" w:type="auto"/>
            <w:noWrap/>
            <w:hideMark/>
          </w:tcPr>
          <w:p w14:paraId="6A3C9161"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10,76</w:t>
            </w:r>
          </w:p>
        </w:tc>
        <w:tc>
          <w:tcPr>
            <w:tcW w:w="0" w:type="auto"/>
            <w:noWrap/>
            <w:hideMark/>
          </w:tcPr>
          <w:p w14:paraId="30A22FEC"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10,5</w:t>
            </w:r>
          </w:p>
        </w:tc>
        <w:tc>
          <w:tcPr>
            <w:tcW w:w="0" w:type="auto"/>
            <w:noWrap/>
            <w:hideMark/>
          </w:tcPr>
          <w:p w14:paraId="591549F9"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5,67</w:t>
            </w:r>
          </w:p>
        </w:tc>
        <w:tc>
          <w:tcPr>
            <w:tcW w:w="0" w:type="auto"/>
            <w:noWrap/>
            <w:hideMark/>
          </w:tcPr>
          <w:p w14:paraId="20C3BC1C"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7,93</w:t>
            </w:r>
          </w:p>
        </w:tc>
        <w:tc>
          <w:tcPr>
            <w:tcW w:w="0" w:type="auto"/>
            <w:noWrap/>
            <w:hideMark/>
          </w:tcPr>
          <w:p w14:paraId="1014522B"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9,44</w:t>
            </w:r>
          </w:p>
        </w:tc>
      </w:tr>
      <w:tr w:rsidR="009924E7" w:rsidRPr="0032299D" w14:paraId="04B8CB84" w14:textId="77777777" w:rsidTr="00706FB9">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1A909AC3" w14:textId="77777777" w:rsidR="009924E7" w:rsidRPr="0032299D" w:rsidRDefault="009924E7" w:rsidP="009924E7">
            <w:pP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FDR</w:t>
            </w:r>
          </w:p>
        </w:tc>
        <w:tc>
          <w:tcPr>
            <w:tcW w:w="0" w:type="auto"/>
            <w:noWrap/>
            <w:hideMark/>
          </w:tcPr>
          <w:p w14:paraId="388DDBEB"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443,38</w:t>
            </w:r>
          </w:p>
        </w:tc>
        <w:tc>
          <w:tcPr>
            <w:tcW w:w="0" w:type="auto"/>
            <w:noWrap/>
            <w:hideMark/>
          </w:tcPr>
          <w:p w14:paraId="353A9F3D"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437,48</w:t>
            </w:r>
          </w:p>
        </w:tc>
        <w:tc>
          <w:tcPr>
            <w:tcW w:w="0" w:type="auto"/>
            <w:noWrap/>
            <w:hideMark/>
          </w:tcPr>
          <w:p w14:paraId="24FBAAF9"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450,03</w:t>
            </w:r>
          </w:p>
        </w:tc>
        <w:tc>
          <w:tcPr>
            <w:tcW w:w="0" w:type="auto"/>
            <w:noWrap/>
            <w:hideMark/>
          </w:tcPr>
          <w:p w14:paraId="65DAD4B1"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424,16</w:t>
            </w:r>
          </w:p>
        </w:tc>
        <w:tc>
          <w:tcPr>
            <w:tcW w:w="0" w:type="auto"/>
            <w:noWrap/>
            <w:hideMark/>
          </w:tcPr>
          <w:p w14:paraId="171E7A06"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385,3</w:t>
            </w:r>
          </w:p>
        </w:tc>
        <w:tc>
          <w:tcPr>
            <w:tcW w:w="0" w:type="auto"/>
            <w:noWrap/>
            <w:hideMark/>
          </w:tcPr>
          <w:p w14:paraId="073BE4FE"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368,16</w:t>
            </w:r>
          </w:p>
        </w:tc>
        <w:tc>
          <w:tcPr>
            <w:tcW w:w="0" w:type="auto"/>
            <w:noWrap/>
            <w:hideMark/>
          </w:tcPr>
          <w:p w14:paraId="1FCC8937"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386,91</w:t>
            </w:r>
          </w:p>
        </w:tc>
      </w:tr>
      <w:tr w:rsidR="009924E7" w:rsidRPr="0032299D" w14:paraId="40AF5565" w14:textId="77777777" w:rsidTr="00706FB9">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406433D6" w14:textId="77777777" w:rsidR="009924E7" w:rsidRPr="0032299D" w:rsidRDefault="009924E7" w:rsidP="009924E7">
            <w:pP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BOPO</w:t>
            </w:r>
          </w:p>
        </w:tc>
        <w:tc>
          <w:tcPr>
            <w:tcW w:w="0" w:type="auto"/>
            <w:noWrap/>
            <w:hideMark/>
          </w:tcPr>
          <w:p w14:paraId="5F256B03"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559,25</w:t>
            </w:r>
          </w:p>
        </w:tc>
        <w:tc>
          <w:tcPr>
            <w:tcW w:w="0" w:type="auto"/>
            <w:noWrap/>
            <w:hideMark/>
          </w:tcPr>
          <w:p w14:paraId="39873CDD"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441,41</w:t>
            </w:r>
          </w:p>
        </w:tc>
        <w:tc>
          <w:tcPr>
            <w:tcW w:w="0" w:type="auto"/>
            <w:noWrap/>
            <w:hideMark/>
          </w:tcPr>
          <w:p w14:paraId="1436BDE8"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436,63</w:t>
            </w:r>
          </w:p>
        </w:tc>
        <w:tc>
          <w:tcPr>
            <w:tcW w:w="0" w:type="auto"/>
            <w:noWrap/>
            <w:hideMark/>
          </w:tcPr>
          <w:p w14:paraId="13203C09"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443,11</w:t>
            </w:r>
          </w:p>
        </w:tc>
        <w:tc>
          <w:tcPr>
            <w:tcW w:w="0" w:type="auto"/>
            <w:noWrap/>
            <w:hideMark/>
          </w:tcPr>
          <w:p w14:paraId="56ABD513"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511,44</w:t>
            </w:r>
          </w:p>
        </w:tc>
        <w:tc>
          <w:tcPr>
            <w:tcW w:w="0" w:type="auto"/>
            <w:noWrap/>
            <w:hideMark/>
          </w:tcPr>
          <w:p w14:paraId="191A0F66"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380,66</w:t>
            </w:r>
          </w:p>
        </w:tc>
        <w:tc>
          <w:tcPr>
            <w:tcW w:w="0" w:type="auto"/>
            <w:noWrap/>
            <w:hideMark/>
          </w:tcPr>
          <w:p w14:paraId="17CD7933" w14:textId="77777777" w:rsidR="009924E7" w:rsidRPr="0032299D" w:rsidRDefault="009924E7" w:rsidP="009924E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371,4</w:t>
            </w:r>
          </w:p>
        </w:tc>
      </w:tr>
    </w:tbl>
    <w:tbl>
      <w:tblPr>
        <w:tblStyle w:val="GridTable1Light"/>
        <w:tblpPr w:leftFromText="180" w:rightFromText="180" w:vertAnchor="page" w:horzAnchor="margin" w:tblpXSpec="center" w:tblpY="12044"/>
        <w:tblW w:w="0" w:type="auto"/>
        <w:tblLook w:val="04A0" w:firstRow="1" w:lastRow="0" w:firstColumn="1" w:lastColumn="0" w:noHBand="0" w:noVBand="1"/>
      </w:tblPr>
      <w:tblGrid>
        <w:gridCol w:w="1335"/>
        <w:gridCol w:w="821"/>
        <w:gridCol w:w="821"/>
        <w:gridCol w:w="821"/>
        <w:gridCol w:w="821"/>
        <w:gridCol w:w="821"/>
        <w:gridCol w:w="821"/>
        <w:gridCol w:w="821"/>
      </w:tblGrid>
      <w:tr w:rsidR="00EB01A4" w:rsidRPr="0032299D" w14:paraId="7B6EA2D3" w14:textId="77777777" w:rsidTr="00B7701C">
        <w:trPr>
          <w:cnfStyle w:val="100000000000" w:firstRow="1" w:lastRow="0" w:firstColumn="0" w:lastColumn="0" w:oddVBand="0" w:evenVBand="0" w:oddHBand="0"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4B2EA119" w14:textId="77777777" w:rsidR="00EB01A4" w:rsidRPr="0032299D" w:rsidRDefault="00EB01A4" w:rsidP="00B7701C">
            <w:pPr>
              <w:jc w:val="cente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RASIO (%)</w:t>
            </w:r>
          </w:p>
        </w:tc>
        <w:tc>
          <w:tcPr>
            <w:tcW w:w="0" w:type="auto"/>
            <w:gridSpan w:val="7"/>
            <w:noWrap/>
            <w:hideMark/>
          </w:tcPr>
          <w:p w14:paraId="56E71DCA" w14:textId="77777777" w:rsidR="00EB01A4" w:rsidRPr="0032299D" w:rsidRDefault="00EB01A4" w:rsidP="00B7701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BANK KONVENSIONAL</w:t>
            </w:r>
          </w:p>
        </w:tc>
      </w:tr>
      <w:tr w:rsidR="00EB01A4" w:rsidRPr="0032299D" w14:paraId="3D892820" w14:textId="77777777" w:rsidTr="00B7701C">
        <w:trPr>
          <w:trHeight w:val="60"/>
        </w:trPr>
        <w:tc>
          <w:tcPr>
            <w:cnfStyle w:val="001000000000" w:firstRow="0" w:lastRow="0" w:firstColumn="1" w:lastColumn="0" w:oddVBand="0" w:evenVBand="0" w:oddHBand="0" w:evenHBand="0" w:firstRowFirstColumn="0" w:firstRowLastColumn="0" w:lastRowFirstColumn="0" w:lastRowLastColumn="0"/>
            <w:tcW w:w="0" w:type="auto"/>
            <w:vMerge/>
            <w:hideMark/>
          </w:tcPr>
          <w:p w14:paraId="5E696DB0" w14:textId="77777777" w:rsidR="00EB01A4" w:rsidRPr="0032299D" w:rsidRDefault="00EB01A4" w:rsidP="00B7701C">
            <w:pPr>
              <w:jc w:val="both"/>
              <w:rPr>
                <w:rFonts w:ascii="Times New Roman" w:eastAsia="Times New Roman" w:hAnsi="Times New Roman" w:cs="Times New Roman"/>
                <w:color w:val="000000"/>
                <w:lang w:eastAsia="en-ID"/>
              </w:rPr>
            </w:pPr>
          </w:p>
        </w:tc>
        <w:tc>
          <w:tcPr>
            <w:tcW w:w="0" w:type="auto"/>
            <w:noWrap/>
            <w:hideMark/>
          </w:tcPr>
          <w:p w14:paraId="0DA1EEA7"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2017</w:t>
            </w:r>
          </w:p>
        </w:tc>
        <w:tc>
          <w:tcPr>
            <w:tcW w:w="0" w:type="auto"/>
            <w:noWrap/>
            <w:hideMark/>
          </w:tcPr>
          <w:p w14:paraId="184D3DDC"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2018</w:t>
            </w:r>
          </w:p>
        </w:tc>
        <w:tc>
          <w:tcPr>
            <w:tcW w:w="0" w:type="auto"/>
            <w:noWrap/>
            <w:hideMark/>
          </w:tcPr>
          <w:p w14:paraId="664AD572"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2019</w:t>
            </w:r>
          </w:p>
        </w:tc>
        <w:tc>
          <w:tcPr>
            <w:tcW w:w="0" w:type="auto"/>
            <w:noWrap/>
            <w:hideMark/>
          </w:tcPr>
          <w:p w14:paraId="5FEB5CEA"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2020</w:t>
            </w:r>
          </w:p>
        </w:tc>
        <w:tc>
          <w:tcPr>
            <w:tcW w:w="0" w:type="auto"/>
            <w:noWrap/>
            <w:hideMark/>
          </w:tcPr>
          <w:p w14:paraId="6358696D"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2021</w:t>
            </w:r>
          </w:p>
        </w:tc>
        <w:tc>
          <w:tcPr>
            <w:tcW w:w="0" w:type="auto"/>
            <w:noWrap/>
            <w:hideMark/>
          </w:tcPr>
          <w:p w14:paraId="51D1746E"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2022</w:t>
            </w:r>
          </w:p>
        </w:tc>
        <w:tc>
          <w:tcPr>
            <w:tcW w:w="0" w:type="auto"/>
            <w:noWrap/>
            <w:hideMark/>
          </w:tcPr>
          <w:p w14:paraId="6B6C8723"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n-ID"/>
              </w:rPr>
            </w:pPr>
            <w:r w:rsidRPr="0032299D">
              <w:rPr>
                <w:rFonts w:ascii="Times New Roman" w:eastAsia="Times New Roman" w:hAnsi="Times New Roman" w:cs="Times New Roman"/>
                <w:b/>
                <w:bCs/>
                <w:color w:val="000000"/>
                <w:lang w:eastAsia="en-ID"/>
              </w:rPr>
              <w:t>2023</w:t>
            </w:r>
          </w:p>
        </w:tc>
      </w:tr>
      <w:tr w:rsidR="00EB01A4" w:rsidRPr="0032299D" w14:paraId="5134B428" w14:textId="77777777" w:rsidTr="00B7701C">
        <w:trPr>
          <w:trHeight w:val="185"/>
        </w:trPr>
        <w:tc>
          <w:tcPr>
            <w:cnfStyle w:val="001000000000" w:firstRow="0" w:lastRow="0" w:firstColumn="1" w:lastColumn="0" w:oddVBand="0" w:evenVBand="0" w:oddHBand="0" w:evenHBand="0" w:firstRowFirstColumn="0" w:firstRowLastColumn="0" w:lastRowFirstColumn="0" w:lastRowLastColumn="0"/>
            <w:tcW w:w="0" w:type="auto"/>
            <w:noWrap/>
            <w:hideMark/>
          </w:tcPr>
          <w:p w14:paraId="51D5285E" w14:textId="77777777" w:rsidR="00EB01A4" w:rsidRPr="0032299D" w:rsidRDefault="00EB01A4" w:rsidP="00B7701C">
            <w:pP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ROA</w:t>
            </w:r>
          </w:p>
        </w:tc>
        <w:tc>
          <w:tcPr>
            <w:tcW w:w="0" w:type="auto"/>
            <w:noWrap/>
            <w:hideMark/>
          </w:tcPr>
          <w:p w14:paraId="797A88B1"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16,11</w:t>
            </w:r>
          </w:p>
        </w:tc>
        <w:tc>
          <w:tcPr>
            <w:tcW w:w="0" w:type="auto"/>
            <w:noWrap/>
            <w:hideMark/>
          </w:tcPr>
          <w:p w14:paraId="6CDAF9BD"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16,75</w:t>
            </w:r>
          </w:p>
        </w:tc>
        <w:tc>
          <w:tcPr>
            <w:tcW w:w="0" w:type="auto"/>
            <w:noWrap/>
            <w:hideMark/>
          </w:tcPr>
          <w:p w14:paraId="27ABC937"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15,93</w:t>
            </w:r>
          </w:p>
        </w:tc>
        <w:tc>
          <w:tcPr>
            <w:tcW w:w="0" w:type="auto"/>
            <w:noWrap/>
            <w:hideMark/>
          </w:tcPr>
          <w:p w14:paraId="0452F8B5"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7,82</w:t>
            </w:r>
          </w:p>
        </w:tc>
        <w:tc>
          <w:tcPr>
            <w:tcW w:w="0" w:type="auto"/>
            <w:noWrap/>
            <w:hideMark/>
          </w:tcPr>
          <w:p w14:paraId="7E1BF44B"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10,65</w:t>
            </w:r>
          </w:p>
        </w:tc>
        <w:tc>
          <w:tcPr>
            <w:tcW w:w="0" w:type="auto"/>
            <w:noWrap/>
            <w:hideMark/>
          </w:tcPr>
          <w:p w14:paraId="1177D876"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15,06</w:t>
            </w:r>
          </w:p>
        </w:tc>
        <w:tc>
          <w:tcPr>
            <w:tcW w:w="0" w:type="auto"/>
            <w:noWrap/>
            <w:hideMark/>
          </w:tcPr>
          <w:p w14:paraId="3DB7DA0B"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16,46</w:t>
            </w:r>
          </w:p>
        </w:tc>
      </w:tr>
      <w:tr w:rsidR="00EB01A4" w:rsidRPr="0032299D" w14:paraId="20BFFCE8" w14:textId="77777777" w:rsidTr="00B7701C">
        <w:trPr>
          <w:trHeight w:val="83"/>
        </w:trPr>
        <w:tc>
          <w:tcPr>
            <w:cnfStyle w:val="001000000000" w:firstRow="0" w:lastRow="0" w:firstColumn="1" w:lastColumn="0" w:oddVBand="0" w:evenVBand="0" w:oddHBand="0" w:evenHBand="0" w:firstRowFirstColumn="0" w:firstRowLastColumn="0" w:lastRowFirstColumn="0" w:lastRowLastColumn="0"/>
            <w:tcW w:w="0" w:type="auto"/>
            <w:noWrap/>
            <w:hideMark/>
          </w:tcPr>
          <w:p w14:paraId="6DF04C67" w14:textId="77777777" w:rsidR="00EB01A4" w:rsidRPr="0032299D" w:rsidRDefault="00EB01A4" w:rsidP="00B7701C">
            <w:pP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ROE</w:t>
            </w:r>
          </w:p>
        </w:tc>
        <w:tc>
          <w:tcPr>
            <w:tcW w:w="0" w:type="auto"/>
            <w:noWrap/>
            <w:hideMark/>
          </w:tcPr>
          <w:p w14:paraId="36AFFE82"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79,86</w:t>
            </w:r>
          </w:p>
        </w:tc>
        <w:tc>
          <w:tcPr>
            <w:tcW w:w="0" w:type="auto"/>
            <w:noWrap/>
            <w:hideMark/>
          </w:tcPr>
          <w:p w14:paraId="18C39B11"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82,22</w:t>
            </w:r>
          </w:p>
        </w:tc>
        <w:tc>
          <w:tcPr>
            <w:tcW w:w="0" w:type="auto"/>
            <w:noWrap/>
            <w:hideMark/>
          </w:tcPr>
          <w:p w14:paraId="2320ACDA"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76,79</w:t>
            </w:r>
          </w:p>
        </w:tc>
        <w:tc>
          <w:tcPr>
            <w:tcW w:w="0" w:type="auto"/>
            <w:noWrap/>
            <w:hideMark/>
          </w:tcPr>
          <w:p w14:paraId="3793DA39"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42,41</w:t>
            </w:r>
          </w:p>
        </w:tc>
        <w:tc>
          <w:tcPr>
            <w:tcW w:w="0" w:type="auto"/>
            <w:noWrap/>
            <w:hideMark/>
          </w:tcPr>
          <w:p w14:paraId="3E278AEF"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65,91</w:t>
            </w:r>
          </w:p>
        </w:tc>
        <w:tc>
          <w:tcPr>
            <w:tcW w:w="0" w:type="auto"/>
            <w:noWrap/>
            <w:hideMark/>
          </w:tcPr>
          <w:p w14:paraId="0E09BE95"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89,95</w:t>
            </w:r>
          </w:p>
        </w:tc>
        <w:tc>
          <w:tcPr>
            <w:tcW w:w="0" w:type="auto"/>
            <w:noWrap/>
            <w:hideMark/>
          </w:tcPr>
          <w:p w14:paraId="26E0FFBF"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98,84</w:t>
            </w:r>
          </w:p>
        </w:tc>
      </w:tr>
      <w:tr w:rsidR="00EB01A4" w:rsidRPr="0032299D" w14:paraId="5C26AA47" w14:textId="77777777" w:rsidTr="00B7701C">
        <w:trPr>
          <w:trHeight w:val="274"/>
        </w:trPr>
        <w:tc>
          <w:tcPr>
            <w:cnfStyle w:val="001000000000" w:firstRow="0" w:lastRow="0" w:firstColumn="1" w:lastColumn="0" w:oddVBand="0" w:evenVBand="0" w:oddHBand="0" w:evenHBand="0" w:firstRowFirstColumn="0" w:firstRowLastColumn="0" w:lastRowFirstColumn="0" w:lastRowLastColumn="0"/>
            <w:tcW w:w="0" w:type="auto"/>
            <w:noWrap/>
            <w:hideMark/>
          </w:tcPr>
          <w:p w14:paraId="005624CE" w14:textId="77777777" w:rsidR="00EB01A4" w:rsidRPr="0032299D" w:rsidRDefault="00EB01A4" w:rsidP="00B7701C">
            <w:pP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NPL</w:t>
            </w:r>
          </w:p>
        </w:tc>
        <w:tc>
          <w:tcPr>
            <w:tcW w:w="0" w:type="auto"/>
            <w:noWrap/>
            <w:hideMark/>
          </w:tcPr>
          <w:p w14:paraId="03CEA21F"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12,15</w:t>
            </w:r>
          </w:p>
        </w:tc>
        <w:tc>
          <w:tcPr>
            <w:tcW w:w="0" w:type="auto"/>
            <w:noWrap/>
            <w:hideMark/>
          </w:tcPr>
          <w:p w14:paraId="292E23FB"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10,95</w:t>
            </w:r>
          </w:p>
        </w:tc>
        <w:tc>
          <w:tcPr>
            <w:tcW w:w="0" w:type="auto"/>
            <w:noWrap/>
            <w:hideMark/>
          </w:tcPr>
          <w:p w14:paraId="6A27162E"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11,61</w:t>
            </w:r>
          </w:p>
        </w:tc>
        <w:tc>
          <w:tcPr>
            <w:tcW w:w="0" w:type="auto"/>
            <w:noWrap/>
            <w:hideMark/>
          </w:tcPr>
          <w:p w14:paraId="788ACCFE"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15,13</w:t>
            </w:r>
          </w:p>
        </w:tc>
        <w:tc>
          <w:tcPr>
            <w:tcW w:w="0" w:type="auto"/>
            <w:noWrap/>
            <w:hideMark/>
          </w:tcPr>
          <w:p w14:paraId="7FE7328B"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14,49</w:t>
            </w:r>
          </w:p>
        </w:tc>
        <w:tc>
          <w:tcPr>
            <w:tcW w:w="0" w:type="auto"/>
            <w:noWrap/>
            <w:hideMark/>
          </w:tcPr>
          <w:p w14:paraId="638AEB84"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11,8</w:t>
            </w:r>
          </w:p>
        </w:tc>
        <w:tc>
          <w:tcPr>
            <w:tcW w:w="0" w:type="auto"/>
            <w:noWrap/>
            <w:hideMark/>
          </w:tcPr>
          <w:p w14:paraId="637A0BE1"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10,34</w:t>
            </w:r>
          </w:p>
        </w:tc>
      </w:tr>
      <w:tr w:rsidR="00EB01A4" w:rsidRPr="0032299D" w14:paraId="3AF21436" w14:textId="77777777" w:rsidTr="00B7701C">
        <w:trPr>
          <w:trHeight w:val="68"/>
        </w:trPr>
        <w:tc>
          <w:tcPr>
            <w:cnfStyle w:val="001000000000" w:firstRow="0" w:lastRow="0" w:firstColumn="1" w:lastColumn="0" w:oddVBand="0" w:evenVBand="0" w:oddHBand="0" w:evenHBand="0" w:firstRowFirstColumn="0" w:firstRowLastColumn="0" w:lastRowFirstColumn="0" w:lastRowLastColumn="0"/>
            <w:tcW w:w="0" w:type="auto"/>
            <w:noWrap/>
            <w:hideMark/>
          </w:tcPr>
          <w:p w14:paraId="525F4314" w14:textId="77777777" w:rsidR="00EB01A4" w:rsidRPr="0032299D" w:rsidRDefault="00EB01A4" w:rsidP="00B7701C">
            <w:pP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LDR</w:t>
            </w:r>
          </w:p>
        </w:tc>
        <w:tc>
          <w:tcPr>
            <w:tcW w:w="0" w:type="auto"/>
            <w:noWrap/>
            <w:hideMark/>
          </w:tcPr>
          <w:p w14:paraId="2B9D3593"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367,72</w:t>
            </w:r>
          </w:p>
        </w:tc>
        <w:tc>
          <w:tcPr>
            <w:tcW w:w="0" w:type="auto"/>
            <w:noWrap/>
            <w:hideMark/>
          </w:tcPr>
          <w:p w14:paraId="491D240A"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388,85</w:t>
            </w:r>
          </w:p>
        </w:tc>
        <w:tc>
          <w:tcPr>
            <w:tcW w:w="0" w:type="auto"/>
            <w:noWrap/>
            <w:hideMark/>
          </w:tcPr>
          <w:p w14:paraId="7DFC7317"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391,43</w:t>
            </w:r>
          </w:p>
        </w:tc>
        <w:tc>
          <w:tcPr>
            <w:tcW w:w="0" w:type="auto"/>
            <w:noWrap/>
            <w:hideMark/>
          </w:tcPr>
          <w:p w14:paraId="58D822EE"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403,71</w:t>
            </w:r>
          </w:p>
        </w:tc>
        <w:tc>
          <w:tcPr>
            <w:tcW w:w="0" w:type="auto"/>
            <w:noWrap/>
            <w:hideMark/>
          </w:tcPr>
          <w:p w14:paraId="76C0DBC0"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390,01</w:t>
            </w:r>
          </w:p>
        </w:tc>
        <w:tc>
          <w:tcPr>
            <w:tcW w:w="0" w:type="auto"/>
            <w:noWrap/>
            <w:hideMark/>
          </w:tcPr>
          <w:p w14:paraId="5FBB460A"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397,18</w:t>
            </w:r>
          </w:p>
        </w:tc>
        <w:tc>
          <w:tcPr>
            <w:tcW w:w="0" w:type="auto"/>
            <w:noWrap/>
            <w:hideMark/>
          </w:tcPr>
          <w:p w14:paraId="2E7AE00D"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424,08</w:t>
            </w:r>
          </w:p>
        </w:tc>
      </w:tr>
      <w:tr w:rsidR="00EB01A4" w:rsidRPr="0032299D" w14:paraId="70001AC1" w14:textId="77777777" w:rsidTr="00B7701C">
        <w:trPr>
          <w:trHeight w:val="359"/>
        </w:trPr>
        <w:tc>
          <w:tcPr>
            <w:cnfStyle w:val="001000000000" w:firstRow="0" w:lastRow="0" w:firstColumn="1" w:lastColumn="0" w:oddVBand="0" w:evenVBand="0" w:oddHBand="0" w:evenHBand="0" w:firstRowFirstColumn="0" w:firstRowLastColumn="0" w:lastRowFirstColumn="0" w:lastRowLastColumn="0"/>
            <w:tcW w:w="0" w:type="auto"/>
            <w:noWrap/>
            <w:hideMark/>
          </w:tcPr>
          <w:p w14:paraId="73FE2C03" w14:textId="77777777" w:rsidR="00EB01A4" w:rsidRPr="0032299D" w:rsidRDefault="00EB01A4" w:rsidP="00B7701C">
            <w:pPr>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BOPO</w:t>
            </w:r>
          </w:p>
        </w:tc>
        <w:tc>
          <w:tcPr>
            <w:tcW w:w="0" w:type="auto"/>
            <w:noWrap/>
            <w:hideMark/>
          </w:tcPr>
          <w:p w14:paraId="78EB6B78"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342,01</w:t>
            </w:r>
          </w:p>
        </w:tc>
        <w:tc>
          <w:tcPr>
            <w:tcW w:w="0" w:type="auto"/>
            <w:noWrap/>
            <w:hideMark/>
          </w:tcPr>
          <w:p w14:paraId="7A86C883"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334,18</w:t>
            </w:r>
          </w:p>
        </w:tc>
        <w:tc>
          <w:tcPr>
            <w:tcW w:w="0" w:type="auto"/>
            <w:noWrap/>
            <w:hideMark/>
          </w:tcPr>
          <w:p w14:paraId="1FC7356A"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352,54</w:t>
            </w:r>
          </w:p>
        </w:tc>
        <w:tc>
          <w:tcPr>
            <w:tcW w:w="0" w:type="auto"/>
            <w:noWrap/>
            <w:hideMark/>
          </w:tcPr>
          <w:p w14:paraId="3858E5AC"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406,95</w:t>
            </w:r>
          </w:p>
        </w:tc>
        <w:tc>
          <w:tcPr>
            <w:tcW w:w="0" w:type="auto"/>
            <w:noWrap/>
            <w:hideMark/>
          </w:tcPr>
          <w:p w14:paraId="456FB9DF"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363,56</w:t>
            </w:r>
          </w:p>
        </w:tc>
        <w:tc>
          <w:tcPr>
            <w:tcW w:w="0" w:type="auto"/>
            <w:noWrap/>
            <w:hideMark/>
          </w:tcPr>
          <w:p w14:paraId="6A3A774D"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309,55</w:t>
            </w:r>
          </w:p>
        </w:tc>
        <w:tc>
          <w:tcPr>
            <w:tcW w:w="0" w:type="auto"/>
            <w:noWrap/>
            <w:hideMark/>
          </w:tcPr>
          <w:p w14:paraId="5FFFB643" w14:textId="77777777" w:rsidR="00EB01A4" w:rsidRPr="0032299D" w:rsidRDefault="00EB01A4" w:rsidP="00B7701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D"/>
              </w:rPr>
            </w:pPr>
            <w:r w:rsidRPr="0032299D">
              <w:rPr>
                <w:rFonts w:ascii="Times New Roman" w:eastAsia="Times New Roman" w:hAnsi="Times New Roman" w:cs="Times New Roman"/>
                <w:color w:val="000000"/>
                <w:lang w:eastAsia="en-ID"/>
              </w:rPr>
              <w:t>304,13</w:t>
            </w:r>
          </w:p>
        </w:tc>
      </w:tr>
    </w:tbl>
    <w:p w14:paraId="6F502DEB" w14:textId="77777777" w:rsidR="00557114" w:rsidRPr="0032299D" w:rsidRDefault="00557114" w:rsidP="009924E7">
      <w:pPr>
        <w:spacing w:after="0" w:line="240" w:lineRule="auto"/>
        <w:jc w:val="both"/>
        <w:rPr>
          <w:rFonts w:ascii="Times New Roman" w:hAnsi="Times New Roman" w:cs="Times New Roman"/>
        </w:rPr>
      </w:pPr>
    </w:p>
    <w:p w14:paraId="013F9839" w14:textId="77777777" w:rsidR="00557114" w:rsidRPr="0032299D" w:rsidRDefault="00557114" w:rsidP="00921D9A">
      <w:pPr>
        <w:spacing w:after="0" w:line="240" w:lineRule="auto"/>
        <w:jc w:val="both"/>
        <w:rPr>
          <w:rFonts w:ascii="Times New Roman" w:hAnsi="Times New Roman" w:cs="Times New Roman"/>
        </w:rPr>
      </w:pPr>
    </w:p>
    <w:p w14:paraId="65B34C7D" w14:textId="77777777" w:rsidR="00557114" w:rsidRPr="0032299D" w:rsidRDefault="00557114" w:rsidP="00761966">
      <w:pPr>
        <w:spacing w:after="0" w:line="240" w:lineRule="auto"/>
        <w:jc w:val="both"/>
        <w:rPr>
          <w:rFonts w:ascii="Times New Roman" w:hAnsi="Times New Roman" w:cs="Times New Roman"/>
        </w:rPr>
      </w:pPr>
    </w:p>
    <w:p w14:paraId="09FABA68" w14:textId="77777777" w:rsidR="00641E89" w:rsidRPr="0032299D" w:rsidRDefault="00641E89" w:rsidP="00921D9A">
      <w:pPr>
        <w:spacing w:after="0" w:line="240" w:lineRule="auto"/>
        <w:ind w:firstLine="360"/>
        <w:jc w:val="both"/>
        <w:rPr>
          <w:rFonts w:ascii="Times New Roman" w:hAnsi="Times New Roman" w:cs="Times New Roman"/>
        </w:rPr>
      </w:pPr>
    </w:p>
    <w:p w14:paraId="02C484E0" w14:textId="77777777" w:rsidR="00641E89" w:rsidRPr="0032299D" w:rsidRDefault="00641E89" w:rsidP="00921D9A">
      <w:pPr>
        <w:spacing w:after="0" w:line="240" w:lineRule="auto"/>
        <w:ind w:firstLine="360"/>
        <w:jc w:val="both"/>
        <w:rPr>
          <w:rFonts w:ascii="Times New Roman" w:hAnsi="Times New Roman" w:cs="Times New Roman"/>
        </w:rPr>
      </w:pPr>
    </w:p>
    <w:p w14:paraId="5BED31F9" w14:textId="4B481E4D" w:rsidR="007C3897" w:rsidRPr="0032299D" w:rsidRDefault="007C3897" w:rsidP="00921D9A">
      <w:pPr>
        <w:pStyle w:val="Default"/>
        <w:jc w:val="both"/>
        <w:rPr>
          <w:sz w:val="22"/>
          <w:szCs w:val="22"/>
        </w:rPr>
      </w:pPr>
    </w:p>
    <w:p w14:paraId="610F99CC" w14:textId="77777777" w:rsidR="007C3897" w:rsidRPr="0032299D" w:rsidRDefault="007C3897" w:rsidP="00921D9A">
      <w:pPr>
        <w:pStyle w:val="Default"/>
        <w:jc w:val="both"/>
        <w:rPr>
          <w:color w:val="auto"/>
          <w:sz w:val="22"/>
          <w:szCs w:val="22"/>
        </w:rPr>
      </w:pPr>
    </w:p>
    <w:p w14:paraId="4D800B44" w14:textId="77777777" w:rsidR="007C3897" w:rsidRPr="0032299D" w:rsidRDefault="007C3897" w:rsidP="00921D9A">
      <w:pPr>
        <w:pStyle w:val="Default"/>
        <w:jc w:val="both"/>
        <w:rPr>
          <w:color w:val="auto"/>
          <w:sz w:val="22"/>
          <w:szCs w:val="22"/>
        </w:rPr>
      </w:pPr>
    </w:p>
    <w:p w14:paraId="4B1373B1" w14:textId="77777777" w:rsidR="00761966" w:rsidRPr="0032299D" w:rsidRDefault="00761966" w:rsidP="00921D9A">
      <w:pPr>
        <w:pStyle w:val="Default"/>
        <w:jc w:val="both"/>
        <w:rPr>
          <w:color w:val="auto"/>
          <w:sz w:val="22"/>
          <w:szCs w:val="22"/>
        </w:rPr>
      </w:pPr>
    </w:p>
    <w:p w14:paraId="75648280" w14:textId="77777777" w:rsidR="007C3897" w:rsidRPr="0032299D" w:rsidRDefault="007C3897" w:rsidP="00921D9A">
      <w:pPr>
        <w:pStyle w:val="Default"/>
        <w:jc w:val="both"/>
        <w:rPr>
          <w:color w:val="auto"/>
          <w:sz w:val="22"/>
          <w:szCs w:val="22"/>
        </w:rPr>
      </w:pPr>
    </w:p>
    <w:p w14:paraId="59499A66" w14:textId="77777777" w:rsidR="00A84DAF" w:rsidRDefault="00A84DAF" w:rsidP="00921D9A">
      <w:pPr>
        <w:pStyle w:val="Default"/>
        <w:jc w:val="both"/>
        <w:rPr>
          <w:color w:val="auto"/>
          <w:sz w:val="22"/>
          <w:szCs w:val="22"/>
        </w:rPr>
      </w:pPr>
    </w:p>
    <w:p w14:paraId="1B7A64A9" w14:textId="77777777" w:rsidR="00B7701C" w:rsidRDefault="00B7701C" w:rsidP="00921D9A">
      <w:pPr>
        <w:pStyle w:val="Default"/>
        <w:jc w:val="both"/>
        <w:rPr>
          <w:color w:val="auto"/>
          <w:sz w:val="22"/>
          <w:szCs w:val="22"/>
        </w:rPr>
      </w:pPr>
    </w:p>
    <w:p w14:paraId="2C413B79" w14:textId="77777777" w:rsidR="00B7701C" w:rsidRDefault="00B7701C" w:rsidP="00921D9A">
      <w:pPr>
        <w:pStyle w:val="Default"/>
        <w:jc w:val="both"/>
        <w:rPr>
          <w:color w:val="auto"/>
          <w:sz w:val="22"/>
          <w:szCs w:val="22"/>
        </w:rPr>
      </w:pPr>
    </w:p>
    <w:p w14:paraId="784A4A3F" w14:textId="77777777" w:rsidR="00B7701C" w:rsidRDefault="00B7701C" w:rsidP="00921D9A">
      <w:pPr>
        <w:pStyle w:val="Default"/>
        <w:jc w:val="both"/>
        <w:rPr>
          <w:color w:val="auto"/>
          <w:sz w:val="22"/>
          <w:szCs w:val="22"/>
        </w:rPr>
      </w:pPr>
    </w:p>
    <w:p w14:paraId="4991587B" w14:textId="77777777" w:rsidR="00B7701C" w:rsidRDefault="00B7701C" w:rsidP="00921D9A">
      <w:pPr>
        <w:pStyle w:val="Default"/>
        <w:jc w:val="both"/>
        <w:rPr>
          <w:color w:val="auto"/>
          <w:sz w:val="22"/>
          <w:szCs w:val="22"/>
        </w:rPr>
      </w:pPr>
    </w:p>
    <w:p w14:paraId="518C5A23" w14:textId="77777777" w:rsidR="00B7701C" w:rsidRPr="0032299D" w:rsidRDefault="00B7701C" w:rsidP="00921D9A">
      <w:pPr>
        <w:pStyle w:val="Default"/>
        <w:jc w:val="both"/>
        <w:rPr>
          <w:color w:val="auto"/>
          <w:sz w:val="22"/>
          <w:szCs w:val="22"/>
        </w:rPr>
      </w:pPr>
    </w:p>
    <w:p w14:paraId="1751984D" w14:textId="586EDEB7" w:rsidR="00765121" w:rsidRPr="0032299D" w:rsidRDefault="00761966" w:rsidP="00761966">
      <w:pPr>
        <w:tabs>
          <w:tab w:val="left" w:pos="426"/>
        </w:tabs>
        <w:spacing w:after="0" w:line="240" w:lineRule="auto"/>
        <w:jc w:val="both"/>
        <w:rPr>
          <w:rFonts w:ascii="Times New Roman" w:hAnsi="Times New Roman" w:cs="Times New Roman"/>
        </w:rPr>
      </w:pPr>
      <w:r w:rsidRPr="0032299D">
        <w:rPr>
          <w:rFonts w:ascii="Times New Roman" w:hAnsi="Times New Roman" w:cs="Times New Roman"/>
        </w:rPr>
        <w:tab/>
      </w:r>
      <w:r w:rsidR="00765121" w:rsidRPr="0032299D">
        <w:rPr>
          <w:rFonts w:ascii="Times New Roman" w:hAnsi="Times New Roman" w:cs="Times New Roman"/>
          <w:sz w:val="24"/>
          <w:szCs w:val="24"/>
        </w:rPr>
        <w:t xml:space="preserve">Berdasarkan data rasio keuangan bank syariah dan bank konvensional selama periode 2017-2023, terlihat adanya perbedaan kecenderungan kinerja keuangan antara kedua jeni bank. Rasio ROA bank konvensional menunjukkan stabilitas, berfluktuasi dalam rentang 7,82% hingga 16,75%. Sebaliknya, rasio ROA bank syariah menunjukkan variabilitas, dengan </w:t>
      </w:r>
      <w:r w:rsidR="00765121" w:rsidRPr="0032299D">
        <w:rPr>
          <w:rFonts w:ascii="Times New Roman" w:hAnsi="Times New Roman" w:cs="Times New Roman"/>
          <w:sz w:val="24"/>
          <w:szCs w:val="24"/>
        </w:rPr>
        <w:lastRenderedPageBreak/>
        <w:t>peningkatan signifikan menjadi 39,63% pada tahun 2023. Dari perspektif laba atas ekuitas (ROE), bank konvensional menunjukkan kinerja yang konsisten lebih unggul dibandingkan dengan bank syariah. Pada tahun 2017, bank syariah mengalami penurunan signifikan sebesar -45,59%, diikuti oleh pemulihan yang substansial dengan pertumbuhan 60,35% pada tahun 2023. Dalam hal risiko kredit, rasio NPL bank konvensional berkisar antara 10,34% hingga 15,13%, sementara rasio NPL bank syariah relatif lebih tinggi, berkisar antara 5,67% hingga 12,52%. Dari perspektif efisiensi, rasio BOPO bank syariah tetap jauh lebih tinggi (371–559%), menunjukkan biaya operasional yang jauh lebih tinggi dibandingkan bank konvensional (304–406%). Perbedaan kecenderungan tersebut mengindikasikan bahwa karakteristik operasional serta tingkat kesiapan digital masing-masing bank berpotensi memengaruhi kinerja keuangan secara berbeda.</w:t>
      </w:r>
    </w:p>
    <w:p w14:paraId="304C8B2E" w14:textId="04FB04A7" w:rsidR="00765121" w:rsidRPr="0032299D" w:rsidRDefault="00761966" w:rsidP="00761966">
      <w:pPr>
        <w:tabs>
          <w:tab w:val="left" w:pos="426"/>
        </w:tabs>
        <w:spacing w:after="0" w:line="240" w:lineRule="auto"/>
        <w:jc w:val="both"/>
        <w:rPr>
          <w:rFonts w:ascii="Times New Roman" w:hAnsi="Times New Roman" w:cs="Times New Roman"/>
          <w:sz w:val="24"/>
          <w:szCs w:val="24"/>
        </w:rPr>
      </w:pPr>
      <w:r w:rsidRPr="0032299D">
        <w:rPr>
          <w:rFonts w:ascii="Times New Roman" w:hAnsi="Times New Roman" w:cs="Times New Roman"/>
          <w:sz w:val="24"/>
          <w:szCs w:val="24"/>
        </w:rPr>
        <w:tab/>
      </w:r>
      <w:r w:rsidR="00765121" w:rsidRPr="0032299D">
        <w:rPr>
          <w:rFonts w:ascii="Times New Roman" w:hAnsi="Times New Roman" w:cs="Times New Roman"/>
          <w:sz w:val="24"/>
          <w:szCs w:val="24"/>
        </w:rPr>
        <w:t>Perbedaan kecenderungan kinerja keuangan tersebut menunjukkan bahwa digitalisasi perbankan tidak selalu memberikan dampak yang sama terhadap bank syariah dan bank konvensional. Variasi hasil pada masing-masing rasio keuangan mengindikasikan adanya faktor-faktor tertentu, baik yang berkaitan dengan karakteristik operasional, prinsip pengelolaan dana, maupun tingkat kesiapan digital, yang memengaruhi kinerja keuangan kedua jenis bank secara berbeda. Oleh karena itu, diperlukan kajian yang lebih mendalam dan sistematis untuk menguji apakah perbedaan kinerja keuangan tersebut signifikan secara statistik dalam konteks era digitalisasi perbankan.</w:t>
      </w:r>
      <w:r w:rsidR="00AC6193" w:rsidRPr="0032299D">
        <w:rPr>
          <w:rFonts w:ascii="Times New Roman" w:hAnsi="Times New Roman" w:cs="Times New Roman"/>
          <w:sz w:val="24"/>
          <w:szCs w:val="24"/>
        </w:rPr>
        <w:t xml:space="preserve"> Penelitian ini didukung oleh </w:t>
      </w:r>
      <w:r w:rsidR="00AC6193" w:rsidRPr="0032299D">
        <w:rPr>
          <w:rFonts w:ascii="Times New Roman" w:hAnsi="Times New Roman" w:cs="Times New Roman"/>
          <w:i/>
          <w:iCs/>
          <w:sz w:val="24"/>
          <w:szCs w:val="24"/>
        </w:rPr>
        <w:t>Technology Acceptance Model</w:t>
      </w:r>
      <w:r w:rsidR="00AC6193" w:rsidRPr="0032299D">
        <w:rPr>
          <w:rFonts w:ascii="Times New Roman" w:hAnsi="Times New Roman" w:cs="Times New Roman"/>
          <w:sz w:val="24"/>
          <w:szCs w:val="24"/>
        </w:rPr>
        <w:t xml:space="preserve"> (TAM) yang menjelaskan bahwa penerimaan teknologi dipengaruhi oleh persepsi kegunaan dan kemudahan penggunaan, yang pada akhirnya berdampak pada peningkatan kinerja organisasi. Selain itu, teori komparatif digunakan untuk menganalisis perbedaan kinerja antara dua sistem perbankan yang memiliki karakteristik berbeda. Kedua pendekatan ini relevan dalam menjelaskan bagaimana digitalisasi memengaruhi kinerja keuangan bank syariah dan bank konvensional.</w:t>
      </w:r>
    </w:p>
    <w:p w14:paraId="0FE2BFA3" w14:textId="2B0D465B" w:rsidR="009924E7" w:rsidRPr="0032299D" w:rsidRDefault="00765121" w:rsidP="00921D9A">
      <w:pPr>
        <w:spacing w:after="0" w:line="240" w:lineRule="auto"/>
        <w:jc w:val="both"/>
        <w:rPr>
          <w:rFonts w:ascii="Times New Roman" w:hAnsi="Times New Roman" w:cs="Times New Roman"/>
          <w:sz w:val="24"/>
          <w:szCs w:val="24"/>
        </w:rPr>
      </w:pPr>
      <w:r w:rsidRPr="0032299D">
        <w:rPr>
          <w:rFonts w:ascii="Times New Roman" w:hAnsi="Times New Roman" w:cs="Times New Roman"/>
          <w:sz w:val="24"/>
          <w:szCs w:val="24"/>
        </w:rPr>
        <w:t xml:space="preserve">      Berdasarkan uraian tersebut, penelitian yang membandingkan kinerja keuangan bank syariah dan bank konvensional dalam era digitalisasi perbankan menjadi penting untuk dilakukan. Penelitian ini diharapkan dapat memberikan bukti empiris mengenai pengaruh digitalisasi terhadap kinerja keuangan kedua jenis bank, khususnya pada periode 2017–2023. Selain itu, hasil penelitian diharapkan dapat memberikan kontribusi bagi pengembangan ilmu pengetahuan di bidang akuntansi dan perbankan, serta menjadi bahan pertimbangan bagi praktisi dan regulator dalam meningkatkan daya saing serta stabilitas industri perbankan nasional.</w:t>
      </w:r>
    </w:p>
    <w:p w14:paraId="33596D5F" w14:textId="77777777" w:rsidR="00EB01A4" w:rsidRPr="0032299D" w:rsidRDefault="00EB01A4" w:rsidP="00921D9A">
      <w:pPr>
        <w:spacing w:after="0" w:line="240" w:lineRule="auto"/>
        <w:jc w:val="both"/>
        <w:rPr>
          <w:rFonts w:ascii="Times New Roman" w:hAnsi="Times New Roman" w:cs="Times New Roman"/>
          <w:sz w:val="24"/>
          <w:szCs w:val="24"/>
        </w:rPr>
      </w:pPr>
    </w:p>
    <w:p w14:paraId="6B7719D1" w14:textId="77777777" w:rsidR="009924E7" w:rsidRPr="0032299D" w:rsidRDefault="00AC6193" w:rsidP="00921D9A">
      <w:pPr>
        <w:spacing w:after="0" w:line="240" w:lineRule="auto"/>
        <w:jc w:val="both"/>
        <w:rPr>
          <w:rFonts w:ascii="Times New Roman" w:hAnsi="Times New Roman" w:cs="Times New Roman"/>
          <w:sz w:val="24"/>
          <w:szCs w:val="24"/>
        </w:rPr>
      </w:pPr>
      <w:r w:rsidRPr="0032299D">
        <w:rPr>
          <w:rFonts w:ascii="Times New Roman" w:hAnsi="Times New Roman" w:cs="Times New Roman"/>
          <w:sz w:val="24"/>
          <w:szCs w:val="24"/>
        </w:rPr>
        <w:t>Hipotesis penelitian ini adalah :</w:t>
      </w:r>
    </w:p>
    <w:p w14:paraId="7E718233" w14:textId="355EFF0E" w:rsidR="00AC6193" w:rsidRPr="0032299D" w:rsidRDefault="00EB01A4" w:rsidP="00921D9A">
      <w:pPr>
        <w:spacing w:after="0" w:line="240" w:lineRule="auto"/>
        <w:jc w:val="both"/>
        <w:rPr>
          <w:rFonts w:ascii="Times New Roman" w:hAnsi="Times New Roman" w:cs="Times New Roman"/>
          <w:sz w:val="24"/>
          <w:szCs w:val="24"/>
        </w:rPr>
      </w:pPr>
      <w:r w:rsidRPr="0032299D">
        <w:rPr>
          <w:rFonts w:ascii="Times New Roman" w:hAnsi="Times New Roman" w:cs="Times New Roman"/>
          <w:sz w:val="24"/>
          <w:szCs w:val="24"/>
        </w:rPr>
        <w:t>H</w:t>
      </w:r>
      <w:r w:rsidRPr="0032299D">
        <w:rPr>
          <w:rFonts w:ascii="Times New Roman" w:hAnsi="Times New Roman" w:cs="Times New Roman"/>
          <w:sz w:val="24"/>
          <w:szCs w:val="24"/>
          <w:vertAlign w:val="subscript"/>
        </w:rPr>
        <w:t>1</w:t>
      </w:r>
      <w:r w:rsidR="001902F3" w:rsidRPr="0032299D">
        <w:rPr>
          <w:rFonts w:ascii="Times New Roman" w:hAnsi="Times New Roman" w:cs="Times New Roman"/>
          <w:sz w:val="24"/>
          <w:szCs w:val="24"/>
        </w:rPr>
        <w:t xml:space="preserve">:  </w:t>
      </w:r>
      <w:r w:rsidRPr="0032299D">
        <w:rPr>
          <w:rFonts w:ascii="Times New Roman" w:hAnsi="Times New Roman" w:cs="Times New Roman"/>
          <w:sz w:val="24"/>
          <w:szCs w:val="24"/>
        </w:rPr>
        <w:t xml:space="preserve">Kinerja </w:t>
      </w:r>
      <w:r w:rsidR="00AC6193" w:rsidRPr="0032299D">
        <w:rPr>
          <w:rFonts w:ascii="Times New Roman" w:hAnsi="Times New Roman" w:cs="Times New Roman"/>
          <w:sz w:val="24"/>
          <w:szCs w:val="24"/>
        </w:rPr>
        <w:t>keuangan bank syariah dalam era digitalisasi perbankan</w:t>
      </w:r>
    </w:p>
    <w:p w14:paraId="22E8C10E" w14:textId="289B05C7" w:rsidR="00AC6193" w:rsidRPr="0032299D" w:rsidRDefault="00EB01A4" w:rsidP="00921D9A">
      <w:pPr>
        <w:spacing w:after="0" w:line="240" w:lineRule="auto"/>
        <w:jc w:val="both"/>
        <w:rPr>
          <w:rFonts w:ascii="Times New Roman" w:hAnsi="Times New Roman" w:cs="Times New Roman"/>
          <w:sz w:val="24"/>
          <w:szCs w:val="24"/>
        </w:rPr>
      </w:pPr>
      <w:r w:rsidRPr="0032299D">
        <w:rPr>
          <w:rFonts w:ascii="Times New Roman" w:hAnsi="Times New Roman" w:cs="Times New Roman"/>
          <w:sz w:val="24"/>
          <w:szCs w:val="24"/>
        </w:rPr>
        <w:t>H</w:t>
      </w:r>
      <w:r w:rsidRPr="0032299D">
        <w:rPr>
          <w:rFonts w:ascii="Times New Roman" w:hAnsi="Times New Roman" w:cs="Times New Roman"/>
          <w:sz w:val="24"/>
          <w:szCs w:val="24"/>
          <w:vertAlign w:val="subscript"/>
        </w:rPr>
        <w:t>2</w:t>
      </w:r>
      <w:r w:rsidR="001902F3" w:rsidRPr="0032299D">
        <w:rPr>
          <w:rFonts w:ascii="Times New Roman" w:hAnsi="Times New Roman" w:cs="Times New Roman"/>
          <w:sz w:val="24"/>
          <w:szCs w:val="24"/>
        </w:rPr>
        <w:t xml:space="preserve">:  </w:t>
      </w:r>
      <w:r w:rsidR="00AC6193" w:rsidRPr="0032299D">
        <w:rPr>
          <w:rFonts w:ascii="Times New Roman" w:hAnsi="Times New Roman" w:cs="Times New Roman"/>
          <w:sz w:val="24"/>
          <w:szCs w:val="24"/>
        </w:rPr>
        <w:t>Kinerja keuangan bank konvensional dalam era digitalisasi perbankan</w:t>
      </w:r>
    </w:p>
    <w:p w14:paraId="4181846C" w14:textId="18FE3DB9" w:rsidR="00761966" w:rsidRPr="0032299D" w:rsidRDefault="00EB01A4" w:rsidP="001902F3">
      <w:pPr>
        <w:spacing w:after="0" w:line="240" w:lineRule="auto"/>
        <w:ind w:left="426" w:hanging="426"/>
        <w:jc w:val="both"/>
        <w:rPr>
          <w:rFonts w:ascii="Times New Roman" w:hAnsi="Times New Roman" w:cs="Times New Roman"/>
          <w:sz w:val="24"/>
          <w:szCs w:val="24"/>
        </w:rPr>
      </w:pPr>
      <w:r w:rsidRPr="0032299D">
        <w:rPr>
          <w:rFonts w:ascii="Times New Roman" w:hAnsi="Times New Roman" w:cs="Times New Roman"/>
          <w:sz w:val="24"/>
          <w:szCs w:val="24"/>
        </w:rPr>
        <w:t>H</w:t>
      </w:r>
      <w:r w:rsidRPr="0032299D">
        <w:rPr>
          <w:rFonts w:ascii="Times New Roman" w:hAnsi="Times New Roman" w:cs="Times New Roman"/>
          <w:sz w:val="24"/>
          <w:szCs w:val="24"/>
          <w:vertAlign w:val="subscript"/>
        </w:rPr>
        <w:t>3</w:t>
      </w:r>
      <w:r w:rsidRPr="0032299D">
        <w:rPr>
          <w:rFonts w:ascii="Times New Roman" w:hAnsi="Times New Roman" w:cs="Times New Roman"/>
          <w:sz w:val="24"/>
          <w:szCs w:val="24"/>
        </w:rPr>
        <w:t xml:space="preserve">: </w:t>
      </w:r>
      <w:r w:rsidR="001902F3" w:rsidRPr="0032299D">
        <w:rPr>
          <w:rFonts w:ascii="Times New Roman" w:hAnsi="Times New Roman" w:cs="Times New Roman"/>
          <w:sz w:val="24"/>
          <w:szCs w:val="24"/>
        </w:rPr>
        <w:t xml:space="preserve"> </w:t>
      </w:r>
      <w:r w:rsidR="00AC6193" w:rsidRPr="0032299D">
        <w:rPr>
          <w:rFonts w:ascii="Times New Roman" w:hAnsi="Times New Roman" w:cs="Times New Roman"/>
          <w:sz w:val="24"/>
          <w:szCs w:val="24"/>
        </w:rPr>
        <w:t>Perbandingan kinerja keuangan bank syariah dan bank konvensional dalam era digitalisasi perbankan</w:t>
      </w:r>
      <w:r w:rsidR="00761966" w:rsidRPr="0032299D">
        <w:rPr>
          <w:rFonts w:ascii="Times New Roman" w:hAnsi="Times New Roman" w:cs="Times New Roman"/>
          <w:sz w:val="24"/>
          <w:szCs w:val="24"/>
        </w:rPr>
        <w:t>.</w:t>
      </w:r>
    </w:p>
    <w:p w14:paraId="33D0D4AC" w14:textId="77777777" w:rsidR="009924E7" w:rsidRPr="0032299D" w:rsidRDefault="009924E7" w:rsidP="00761966">
      <w:pPr>
        <w:spacing w:after="0" w:line="240" w:lineRule="auto"/>
        <w:jc w:val="both"/>
        <w:rPr>
          <w:rFonts w:ascii="Times New Roman" w:hAnsi="Times New Roman" w:cs="Times New Roman"/>
          <w:sz w:val="24"/>
          <w:szCs w:val="24"/>
        </w:rPr>
      </w:pPr>
    </w:p>
    <w:p w14:paraId="6959699E" w14:textId="0732C378" w:rsidR="00761966" w:rsidRPr="0032299D" w:rsidRDefault="00761966" w:rsidP="00761966">
      <w:pPr>
        <w:spacing w:after="0" w:line="240" w:lineRule="auto"/>
        <w:jc w:val="both"/>
        <w:rPr>
          <w:rFonts w:ascii="Times New Roman" w:hAnsi="Times New Roman" w:cs="Times New Roman"/>
          <w:b/>
          <w:bCs/>
          <w:sz w:val="24"/>
          <w:szCs w:val="24"/>
        </w:rPr>
      </w:pPr>
      <w:r w:rsidRPr="0032299D">
        <w:rPr>
          <w:rFonts w:ascii="Times New Roman" w:hAnsi="Times New Roman" w:cs="Times New Roman"/>
          <w:b/>
          <w:bCs/>
          <w:sz w:val="24"/>
          <w:szCs w:val="24"/>
        </w:rPr>
        <w:t>METODE PENELITIAN</w:t>
      </w:r>
    </w:p>
    <w:p w14:paraId="4C102166" w14:textId="77777777" w:rsidR="001902F3" w:rsidRPr="0032299D" w:rsidRDefault="009924E7" w:rsidP="001902F3">
      <w:pPr>
        <w:pStyle w:val="Default"/>
        <w:tabs>
          <w:tab w:val="left" w:pos="426"/>
        </w:tabs>
        <w:jc w:val="both"/>
        <w:rPr>
          <w:color w:val="auto"/>
        </w:rPr>
      </w:pPr>
      <w:r w:rsidRPr="0032299D">
        <w:rPr>
          <w:color w:val="auto"/>
        </w:rPr>
        <w:tab/>
      </w:r>
      <w:r w:rsidR="00761966" w:rsidRPr="0032299D">
        <w:rPr>
          <w:color w:val="auto"/>
        </w:rPr>
        <w:t>Penelitian ini menggunakan pendekatan kuantitatif dengan metode komparatif untuk menganalisis perbedaan kinerja keuangan antara bank syariah dan bank konvensional dalam era digitalisasi perbankan periode 2017–2023. Pendekatan ini digunakan karena data yang dianalisis berupa angka-angka dari laporan keuangan serta bertujuan untuk menguji perbedaan antar kelompok objek penelitian.</w:t>
      </w:r>
      <w:r w:rsidR="001902F3" w:rsidRPr="0032299D">
        <w:rPr>
          <w:color w:val="auto"/>
        </w:rPr>
        <w:t xml:space="preserve"> </w:t>
      </w:r>
    </w:p>
    <w:p w14:paraId="06C465D7" w14:textId="27DA49AA" w:rsidR="009924E7" w:rsidRPr="0032299D" w:rsidRDefault="00706FB9" w:rsidP="001902F3">
      <w:pPr>
        <w:pStyle w:val="Default"/>
        <w:tabs>
          <w:tab w:val="left" w:pos="426"/>
        </w:tabs>
        <w:jc w:val="both"/>
        <w:rPr>
          <w:color w:val="auto"/>
        </w:rPr>
      </w:pPr>
      <w:r>
        <w:rPr>
          <w:color w:val="auto"/>
        </w:rPr>
        <w:lastRenderedPageBreak/>
        <w:tab/>
      </w:r>
      <w:r w:rsidR="00761966" w:rsidRPr="0032299D">
        <w:rPr>
          <w:color w:val="auto"/>
        </w:rPr>
        <w:t>Jenis data yang digunakan merupakan data kuantitatif yang bersumber dari data sekunder, yaitu laporan keuangan tahunan (</w:t>
      </w:r>
      <w:r w:rsidR="00761966" w:rsidRPr="0032299D">
        <w:rPr>
          <w:i/>
          <w:iCs/>
          <w:color w:val="auto"/>
        </w:rPr>
        <w:t>annual report</w:t>
      </w:r>
      <w:r w:rsidR="00761966" w:rsidRPr="0032299D">
        <w:rPr>
          <w:color w:val="auto"/>
        </w:rPr>
        <w:t>) bank syariah dan bank konvensional yang diperoleh melalui website resmi masing-masing bank yang terdaftar di Otoritas Jasa Keuangan (OJK). Teknik pengumpulan data dilakukan dengan metode dokumentasi, yaitu mengumpulkan dan mencatat data rasio keuangan yang dibutuhkan dalam penelitian.</w:t>
      </w:r>
    </w:p>
    <w:p w14:paraId="3313197C" w14:textId="77777777" w:rsidR="001902F3" w:rsidRPr="0032299D" w:rsidRDefault="001902F3" w:rsidP="001902F3">
      <w:pPr>
        <w:pStyle w:val="Default"/>
        <w:tabs>
          <w:tab w:val="left" w:pos="426"/>
        </w:tabs>
        <w:jc w:val="both"/>
        <w:rPr>
          <w:color w:val="auto"/>
        </w:rPr>
      </w:pPr>
    </w:p>
    <w:p w14:paraId="10023C0A" w14:textId="3375295A" w:rsidR="00761966" w:rsidRPr="0032299D" w:rsidRDefault="009924E7" w:rsidP="001902F3">
      <w:pPr>
        <w:pStyle w:val="Default"/>
        <w:jc w:val="center"/>
        <w:rPr>
          <w:b/>
          <w:bCs/>
          <w:color w:val="auto"/>
        </w:rPr>
      </w:pPr>
      <w:r w:rsidRPr="0032299D">
        <w:rPr>
          <w:b/>
          <w:bCs/>
          <w:color w:val="auto"/>
        </w:rPr>
        <w:t>Tabel 2. Definisi Operasional Variabel</w:t>
      </w:r>
    </w:p>
    <w:tbl>
      <w:tblPr>
        <w:tblStyle w:val="TableGrid"/>
        <w:tblW w:w="5000" w:type="pct"/>
        <w:tblLook w:val="04A0" w:firstRow="1" w:lastRow="0" w:firstColumn="1" w:lastColumn="0" w:noHBand="0" w:noVBand="1"/>
      </w:tblPr>
      <w:tblGrid>
        <w:gridCol w:w="485"/>
        <w:gridCol w:w="1807"/>
        <w:gridCol w:w="2607"/>
        <w:gridCol w:w="3042"/>
        <w:gridCol w:w="1075"/>
      </w:tblGrid>
      <w:tr w:rsidR="009924E7" w:rsidRPr="0032299D" w14:paraId="7E261E05" w14:textId="77777777" w:rsidTr="001902F3">
        <w:trPr>
          <w:tblHeader/>
        </w:trPr>
        <w:tc>
          <w:tcPr>
            <w:tcW w:w="269" w:type="pct"/>
            <w:vAlign w:val="center"/>
          </w:tcPr>
          <w:p w14:paraId="139E33FF" w14:textId="77777777" w:rsidR="009924E7" w:rsidRPr="0032299D" w:rsidRDefault="009924E7" w:rsidP="001902F3">
            <w:pPr>
              <w:jc w:val="center"/>
              <w:rPr>
                <w:rFonts w:ascii="Times New Roman" w:hAnsi="Times New Roman" w:cs="Times New Roman"/>
                <w:b/>
                <w:bCs/>
              </w:rPr>
            </w:pPr>
            <w:r w:rsidRPr="0032299D">
              <w:rPr>
                <w:rFonts w:ascii="Times New Roman" w:hAnsi="Times New Roman" w:cs="Times New Roman"/>
                <w:b/>
                <w:bCs/>
              </w:rPr>
              <w:t>No</w:t>
            </w:r>
          </w:p>
        </w:tc>
        <w:tc>
          <w:tcPr>
            <w:tcW w:w="1002" w:type="pct"/>
            <w:vAlign w:val="center"/>
          </w:tcPr>
          <w:p w14:paraId="373D7A2E" w14:textId="77777777" w:rsidR="009924E7" w:rsidRPr="0032299D" w:rsidRDefault="009924E7" w:rsidP="001902F3">
            <w:pPr>
              <w:jc w:val="center"/>
              <w:rPr>
                <w:rFonts w:ascii="Times New Roman" w:hAnsi="Times New Roman" w:cs="Times New Roman"/>
                <w:b/>
                <w:bCs/>
              </w:rPr>
            </w:pPr>
            <w:r w:rsidRPr="0032299D">
              <w:rPr>
                <w:rFonts w:ascii="Times New Roman" w:hAnsi="Times New Roman" w:cs="Times New Roman"/>
                <w:b/>
                <w:bCs/>
              </w:rPr>
              <w:t>Variabel</w:t>
            </w:r>
          </w:p>
        </w:tc>
        <w:tc>
          <w:tcPr>
            <w:tcW w:w="1446" w:type="pct"/>
            <w:vAlign w:val="center"/>
          </w:tcPr>
          <w:p w14:paraId="4C85078F" w14:textId="77777777" w:rsidR="009924E7" w:rsidRPr="0032299D" w:rsidRDefault="009924E7" w:rsidP="001902F3">
            <w:pPr>
              <w:jc w:val="center"/>
              <w:rPr>
                <w:rFonts w:ascii="Times New Roman" w:hAnsi="Times New Roman" w:cs="Times New Roman"/>
                <w:b/>
                <w:bCs/>
              </w:rPr>
            </w:pPr>
            <w:r w:rsidRPr="0032299D">
              <w:rPr>
                <w:rFonts w:ascii="Times New Roman" w:hAnsi="Times New Roman" w:cs="Times New Roman"/>
                <w:b/>
                <w:bCs/>
              </w:rPr>
              <w:t>Definisi</w:t>
            </w:r>
          </w:p>
        </w:tc>
        <w:tc>
          <w:tcPr>
            <w:tcW w:w="1687" w:type="pct"/>
            <w:vAlign w:val="center"/>
          </w:tcPr>
          <w:p w14:paraId="267FD26A" w14:textId="77777777" w:rsidR="009924E7" w:rsidRPr="0032299D" w:rsidRDefault="009924E7" w:rsidP="001902F3">
            <w:pPr>
              <w:jc w:val="center"/>
              <w:rPr>
                <w:rFonts w:ascii="Times New Roman" w:hAnsi="Times New Roman" w:cs="Times New Roman"/>
                <w:b/>
                <w:bCs/>
              </w:rPr>
            </w:pPr>
            <w:r w:rsidRPr="0032299D">
              <w:rPr>
                <w:rFonts w:ascii="Times New Roman" w:hAnsi="Times New Roman" w:cs="Times New Roman"/>
                <w:b/>
                <w:bCs/>
              </w:rPr>
              <w:t>Rumus Perhitungan</w:t>
            </w:r>
          </w:p>
        </w:tc>
        <w:tc>
          <w:tcPr>
            <w:tcW w:w="596" w:type="pct"/>
            <w:vAlign w:val="center"/>
          </w:tcPr>
          <w:p w14:paraId="10B801B4" w14:textId="77777777" w:rsidR="009924E7" w:rsidRPr="0032299D" w:rsidRDefault="009924E7" w:rsidP="001902F3">
            <w:pPr>
              <w:jc w:val="center"/>
              <w:rPr>
                <w:rFonts w:ascii="Times New Roman" w:hAnsi="Times New Roman" w:cs="Times New Roman"/>
                <w:b/>
                <w:bCs/>
              </w:rPr>
            </w:pPr>
            <w:r w:rsidRPr="0032299D">
              <w:rPr>
                <w:rFonts w:ascii="Times New Roman" w:hAnsi="Times New Roman" w:cs="Times New Roman"/>
                <w:b/>
                <w:bCs/>
              </w:rPr>
              <w:t>Standar BI/OJK</w:t>
            </w:r>
          </w:p>
        </w:tc>
      </w:tr>
      <w:tr w:rsidR="009924E7" w:rsidRPr="0032299D" w14:paraId="49531FD8" w14:textId="77777777" w:rsidTr="001902F3">
        <w:tc>
          <w:tcPr>
            <w:tcW w:w="269" w:type="pct"/>
            <w:vAlign w:val="center"/>
          </w:tcPr>
          <w:p w14:paraId="175A9889"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1</w:t>
            </w:r>
          </w:p>
        </w:tc>
        <w:tc>
          <w:tcPr>
            <w:tcW w:w="1002" w:type="pct"/>
            <w:vAlign w:val="center"/>
          </w:tcPr>
          <w:p w14:paraId="099A76D8"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ROA (</w:t>
            </w:r>
            <w:r w:rsidRPr="0032299D">
              <w:rPr>
                <w:rFonts w:ascii="Times New Roman" w:hAnsi="Times New Roman" w:cs="Times New Roman"/>
                <w:i/>
                <w:iCs/>
              </w:rPr>
              <w:t>Return on Assets</w:t>
            </w:r>
            <w:r w:rsidRPr="0032299D">
              <w:rPr>
                <w:rFonts w:ascii="Times New Roman" w:hAnsi="Times New Roman" w:cs="Times New Roman"/>
              </w:rPr>
              <w:t>)</w:t>
            </w:r>
          </w:p>
        </w:tc>
        <w:tc>
          <w:tcPr>
            <w:tcW w:w="1446" w:type="pct"/>
            <w:vAlign w:val="center"/>
          </w:tcPr>
          <w:p w14:paraId="05CE035B"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Mengukur kemampuan bank dalam menghasilkan laba bersih dari total aset yang dimiliki.</w:t>
            </w:r>
          </w:p>
        </w:tc>
        <w:tc>
          <w:tcPr>
            <w:tcW w:w="1687" w:type="pct"/>
            <w:vAlign w:val="center"/>
          </w:tcPr>
          <w:p w14:paraId="4B636717" w14:textId="77777777" w:rsidR="009924E7" w:rsidRPr="00B7701C" w:rsidRDefault="009924E7" w:rsidP="003A691C">
            <w:pPr>
              <w:jc w:val="both"/>
              <w:rPr>
                <w:rFonts w:ascii="Times New Roman" w:hAnsi="Times New Roman" w:cs="Times New Roman"/>
              </w:rPr>
            </w:pPr>
            <m:oMathPara>
              <m:oMathParaPr>
                <m:jc m:val="center"/>
              </m:oMathParaPr>
              <m:oMath>
                <m:r>
                  <w:rPr>
                    <w:rFonts w:ascii="Cambria Math" w:hAnsi="Cambria Math" w:cs="Times New Roman"/>
                  </w:rPr>
                  <m:t>ROA=</m:t>
                </m:r>
                <m:f>
                  <m:fPr>
                    <m:ctrlPr>
                      <w:rPr>
                        <w:rFonts w:ascii="Cambria Math" w:hAnsi="Cambria Math" w:cs="Times New Roman"/>
                        <w:i/>
                      </w:rPr>
                    </m:ctrlPr>
                  </m:fPr>
                  <m:num>
                    <m:r>
                      <w:rPr>
                        <w:rFonts w:ascii="Cambria Math" w:hAnsi="Cambria Math" w:cs="Times New Roman"/>
                      </w:rPr>
                      <m:t xml:space="preserve">Laba Bersih </m:t>
                    </m:r>
                  </m:num>
                  <m:den>
                    <m:r>
                      <w:rPr>
                        <w:rFonts w:ascii="Cambria Math" w:hAnsi="Cambria Math" w:cs="Times New Roman"/>
                      </w:rPr>
                      <m:t>Total Aset</m:t>
                    </m:r>
                  </m:den>
                </m:f>
              </m:oMath>
            </m:oMathPara>
          </w:p>
        </w:tc>
        <w:tc>
          <w:tcPr>
            <w:tcW w:w="596" w:type="pct"/>
            <w:vAlign w:val="center"/>
          </w:tcPr>
          <w:p w14:paraId="3F76BD90"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 1,5 % = sehat</w:t>
            </w:r>
          </w:p>
        </w:tc>
      </w:tr>
      <w:tr w:rsidR="009924E7" w:rsidRPr="0032299D" w14:paraId="386A0CF9" w14:textId="77777777" w:rsidTr="001902F3">
        <w:tc>
          <w:tcPr>
            <w:tcW w:w="269" w:type="pct"/>
            <w:vAlign w:val="center"/>
          </w:tcPr>
          <w:p w14:paraId="14F975D7"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2</w:t>
            </w:r>
          </w:p>
        </w:tc>
        <w:tc>
          <w:tcPr>
            <w:tcW w:w="1002" w:type="pct"/>
            <w:vAlign w:val="center"/>
          </w:tcPr>
          <w:p w14:paraId="412A80D0"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ROE (</w:t>
            </w:r>
            <w:r w:rsidRPr="0032299D">
              <w:rPr>
                <w:rFonts w:ascii="Times New Roman" w:hAnsi="Times New Roman" w:cs="Times New Roman"/>
                <w:i/>
                <w:iCs/>
              </w:rPr>
              <w:t>Return on Equity</w:t>
            </w:r>
            <w:r w:rsidRPr="0032299D">
              <w:rPr>
                <w:rFonts w:ascii="Times New Roman" w:hAnsi="Times New Roman" w:cs="Times New Roman"/>
              </w:rPr>
              <w:t>)</w:t>
            </w:r>
          </w:p>
        </w:tc>
        <w:tc>
          <w:tcPr>
            <w:tcW w:w="1446" w:type="pct"/>
            <w:vAlign w:val="center"/>
          </w:tcPr>
          <w:p w14:paraId="169C7EE3"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Menggambarkan tingkat keuntungan yang diperoleh bank dibandingkan dengan modal sendiri yang digunakan.</w:t>
            </w:r>
          </w:p>
        </w:tc>
        <w:tc>
          <w:tcPr>
            <w:tcW w:w="1687" w:type="pct"/>
            <w:vAlign w:val="center"/>
          </w:tcPr>
          <w:p w14:paraId="0CBC7D58" w14:textId="77777777" w:rsidR="009924E7" w:rsidRPr="0032299D" w:rsidRDefault="009924E7" w:rsidP="003A691C">
            <w:pPr>
              <w:jc w:val="both"/>
              <w:rPr>
                <w:rFonts w:ascii="Times New Roman" w:hAnsi="Times New Roman" w:cs="Times New Roman"/>
              </w:rPr>
            </w:pPr>
            <m:oMathPara>
              <m:oMath>
                <m:r>
                  <w:rPr>
                    <w:rFonts w:ascii="Cambria Math" w:hAnsi="Cambria Math" w:cs="Times New Roman"/>
                  </w:rPr>
                  <m:t>ROE=</m:t>
                </m:r>
                <m:f>
                  <m:fPr>
                    <m:ctrlPr>
                      <w:rPr>
                        <w:rFonts w:ascii="Cambria Math" w:hAnsi="Cambria Math" w:cs="Times New Roman"/>
                        <w:i/>
                      </w:rPr>
                    </m:ctrlPr>
                  </m:fPr>
                  <m:num>
                    <m:r>
                      <w:rPr>
                        <w:rFonts w:ascii="Cambria Math" w:hAnsi="Cambria Math" w:cs="Times New Roman"/>
                      </w:rPr>
                      <m:t xml:space="preserve">Laba Bersih </m:t>
                    </m:r>
                  </m:num>
                  <m:den>
                    <m:r>
                      <w:rPr>
                        <w:rFonts w:ascii="Cambria Math" w:hAnsi="Cambria Math" w:cs="Times New Roman"/>
                      </w:rPr>
                      <m:t>Total Ekuitas</m:t>
                    </m:r>
                  </m:den>
                </m:f>
              </m:oMath>
            </m:oMathPara>
          </w:p>
        </w:tc>
        <w:tc>
          <w:tcPr>
            <w:tcW w:w="596" w:type="pct"/>
            <w:vAlign w:val="center"/>
          </w:tcPr>
          <w:p w14:paraId="36215942"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 12 % = sehat</w:t>
            </w:r>
          </w:p>
        </w:tc>
      </w:tr>
      <w:tr w:rsidR="009924E7" w:rsidRPr="0032299D" w14:paraId="0C47F665" w14:textId="77777777" w:rsidTr="001902F3">
        <w:tc>
          <w:tcPr>
            <w:tcW w:w="269" w:type="pct"/>
            <w:vAlign w:val="center"/>
          </w:tcPr>
          <w:p w14:paraId="578077AF"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3</w:t>
            </w:r>
          </w:p>
        </w:tc>
        <w:tc>
          <w:tcPr>
            <w:tcW w:w="1002" w:type="pct"/>
            <w:vAlign w:val="center"/>
          </w:tcPr>
          <w:p w14:paraId="767C5C7F"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NPL (</w:t>
            </w:r>
            <w:r w:rsidRPr="0032299D">
              <w:rPr>
                <w:rFonts w:ascii="Times New Roman" w:hAnsi="Times New Roman" w:cs="Times New Roman"/>
                <w:i/>
                <w:iCs/>
              </w:rPr>
              <w:t>Non Performing Loan</w:t>
            </w:r>
            <w:r w:rsidRPr="0032299D">
              <w:rPr>
                <w:rFonts w:ascii="Times New Roman" w:hAnsi="Times New Roman" w:cs="Times New Roman"/>
              </w:rPr>
              <w:t>), untuk bank konvensional</w:t>
            </w:r>
          </w:p>
        </w:tc>
        <w:tc>
          <w:tcPr>
            <w:tcW w:w="1446" w:type="pct"/>
            <w:vAlign w:val="center"/>
          </w:tcPr>
          <w:p w14:paraId="1BF571DE"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Rasio yang menunjukkan proporsi kredit bermasalah terhadap total kredit yang diberikan.</w:t>
            </w:r>
          </w:p>
        </w:tc>
        <w:tc>
          <w:tcPr>
            <w:tcW w:w="1687" w:type="pct"/>
            <w:vAlign w:val="center"/>
          </w:tcPr>
          <w:p w14:paraId="321E23B2" w14:textId="77777777" w:rsidR="009924E7" w:rsidRPr="0032299D" w:rsidRDefault="009924E7" w:rsidP="003A691C">
            <w:pPr>
              <w:jc w:val="both"/>
              <w:rPr>
                <w:rFonts w:ascii="Times New Roman" w:hAnsi="Times New Roman" w:cs="Times New Roman"/>
              </w:rPr>
            </w:pPr>
            <m:oMathPara>
              <m:oMath>
                <m:r>
                  <w:rPr>
                    <w:rFonts w:ascii="Cambria Math" w:hAnsi="Cambria Math" w:cs="Times New Roman"/>
                  </w:rPr>
                  <m:t>NPL=</m:t>
                </m:r>
                <m:f>
                  <m:fPr>
                    <m:ctrlPr>
                      <w:rPr>
                        <w:rFonts w:ascii="Cambria Math" w:hAnsi="Cambria Math" w:cs="Times New Roman"/>
                        <w:i/>
                      </w:rPr>
                    </m:ctrlPr>
                  </m:fPr>
                  <m:num>
                    <m:r>
                      <w:rPr>
                        <w:rFonts w:ascii="Cambria Math" w:hAnsi="Cambria Math" w:cs="Times New Roman"/>
                      </w:rPr>
                      <m:t>Kredit Bermasalah</m:t>
                    </m:r>
                  </m:num>
                  <m:den>
                    <m:r>
                      <w:rPr>
                        <w:rFonts w:ascii="Cambria Math" w:hAnsi="Cambria Math" w:cs="Times New Roman"/>
                      </w:rPr>
                      <m:t>Total Kredit</m:t>
                    </m:r>
                  </m:den>
                </m:f>
              </m:oMath>
            </m:oMathPara>
          </w:p>
        </w:tc>
        <w:tc>
          <w:tcPr>
            <w:tcW w:w="596" w:type="pct"/>
            <w:vAlign w:val="center"/>
          </w:tcPr>
          <w:p w14:paraId="494C3988"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 5 % = sehat</w:t>
            </w:r>
          </w:p>
        </w:tc>
      </w:tr>
      <w:tr w:rsidR="009924E7" w:rsidRPr="0032299D" w14:paraId="436D3B10" w14:textId="77777777" w:rsidTr="001902F3">
        <w:tc>
          <w:tcPr>
            <w:tcW w:w="269" w:type="pct"/>
            <w:vAlign w:val="center"/>
          </w:tcPr>
          <w:p w14:paraId="3FC427F4"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4</w:t>
            </w:r>
          </w:p>
        </w:tc>
        <w:tc>
          <w:tcPr>
            <w:tcW w:w="1002" w:type="pct"/>
            <w:vAlign w:val="center"/>
          </w:tcPr>
          <w:p w14:paraId="633D9C5F"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NPF (</w:t>
            </w:r>
            <w:r w:rsidRPr="0032299D">
              <w:rPr>
                <w:rFonts w:ascii="Times New Roman" w:hAnsi="Times New Roman" w:cs="Times New Roman"/>
                <w:i/>
                <w:iCs/>
              </w:rPr>
              <w:t>Non Performing Financing</w:t>
            </w:r>
            <w:r w:rsidRPr="0032299D">
              <w:rPr>
                <w:rFonts w:ascii="Times New Roman" w:hAnsi="Times New Roman" w:cs="Times New Roman"/>
              </w:rPr>
              <w:t>), untuk bank syariah</w:t>
            </w:r>
          </w:p>
        </w:tc>
        <w:tc>
          <w:tcPr>
            <w:tcW w:w="1446" w:type="pct"/>
            <w:vAlign w:val="center"/>
          </w:tcPr>
          <w:p w14:paraId="4DA4D575"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Rasio yang menunjukkan tingkat pembiayaan bermasalah terhadap total pembiayaan.</w:t>
            </w:r>
          </w:p>
        </w:tc>
        <w:tc>
          <w:tcPr>
            <w:tcW w:w="1687" w:type="pct"/>
            <w:vAlign w:val="center"/>
          </w:tcPr>
          <w:p w14:paraId="479DC764" w14:textId="77777777" w:rsidR="009924E7" w:rsidRPr="0032299D" w:rsidRDefault="009924E7" w:rsidP="003A691C">
            <w:pPr>
              <w:jc w:val="both"/>
              <w:rPr>
                <w:rFonts w:ascii="Times New Roman" w:hAnsi="Times New Roman" w:cs="Times New Roman"/>
              </w:rPr>
            </w:pPr>
            <m:oMathPara>
              <m:oMath>
                <m:r>
                  <w:rPr>
                    <w:rFonts w:ascii="Cambria Math" w:hAnsi="Cambria Math" w:cs="Times New Roman"/>
                  </w:rPr>
                  <m:t>NPF=</m:t>
                </m:r>
                <m:f>
                  <m:fPr>
                    <m:ctrlPr>
                      <w:rPr>
                        <w:rFonts w:ascii="Cambria Math" w:hAnsi="Cambria Math" w:cs="Times New Roman"/>
                        <w:i/>
                      </w:rPr>
                    </m:ctrlPr>
                  </m:fPr>
                  <m:num>
                    <m:r>
                      <w:rPr>
                        <w:rFonts w:ascii="Cambria Math" w:hAnsi="Cambria Math" w:cs="Times New Roman"/>
                      </w:rPr>
                      <m:t xml:space="preserve">Pembiayaan Bermasalah </m:t>
                    </m:r>
                  </m:num>
                  <m:den>
                    <m:r>
                      <w:rPr>
                        <w:rFonts w:ascii="Cambria Math" w:hAnsi="Cambria Math" w:cs="Times New Roman"/>
                      </w:rPr>
                      <m:t>Total Pembiayaan</m:t>
                    </m:r>
                  </m:den>
                </m:f>
              </m:oMath>
            </m:oMathPara>
          </w:p>
        </w:tc>
        <w:tc>
          <w:tcPr>
            <w:tcW w:w="596" w:type="pct"/>
            <w:vAlign w:val="center"/>
          </w:tcPr>
          <w:p w14:paraId="0AF711A9"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 5 % = sehat</w:t>
            </w:r>
          </w:p>
        </w:tc>
      </w:tr>
      <w:tr w:rsidR="009924E7" w:rsidRPr="0032299D" w14:paraId="4A455800" w14:textId="77777777" w:rsidTr="001902F3">
        <w:tc>
          <w:tcPr>
            <w:tcW w:w="269" w:type="pct"/>
            <w:vAlign w:val="center"/>
          </w:tcPr>
          <w:p w14:paraId="507FB745"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5</w:t>
            </w:r>
          </w:p>
        </w:tc>
        <w:tc>
          <w:tcPr>
            <w:tcW w:w="1002" w:type="pct"/>
            <w:vAlign w:val="center"/>
          </w:tcPr>
          <w:p w14:paraId="4EA69F77"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LDR (</w:t>
            </w:r>
            <w:r w:rsidRPr="0032299D">
              <w:rPr>
                <w:rFonts w:ascii="Times New Roman" w:hAnsi="Times New Roman" w:cs="Times New Roman"/>
                <w:i/>
                <w:iCs/>
              </w:rPr>
              <w:t>Loan to Deposit Ratio</w:t>
            </w:r>
            <w:r w:rsidRPr="0032299D">
              <w:rPr>
                <w:rFonts w:ascii="Times New Roman" w:hAnsi="Times New Roman" w:cs="Times New Roman"/>
              </w:rPr>
              <w:t>), untuk bank konvensional</w:t>
            </w:r>
          </w:p>
        </w:tc>
        <w:tc>
          <w:tcPr>
            <w:tcW w:w="1446" w:type="pct"/>
            <w:vAlign w:val="center"/>
          </w:tcPr>
          <w:p w14:paraId="69408A6B"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Mengukur kemampuan bank dalam menyalurkan dana pihak ketiga menjadi kredit.</w:t>
            </w:r>
          </w:p>
        </w:tc>
        <w:tc>
          <w:tcPr>
            <w:tcW w:w="1687" w:type="pct"/>
            <w:vAlign w:val="center"/>
          </w:tcPr>
          <w:p w14:paraId="6C0B242D" w14:textId="77777777" w:rsidR="009924E7" w:rsidRPr="0032299D" w:rsidRDefault="009924E7" w:rsidP="003A691C">
            <w:pPr>
              <w:jc w:val="both"/>
              <w:rPr>
                <w:rFonts w:ascii="Times New Roman" w:hAnsi="Times New Roman" w:cs="Times New Roman"/>
              </w:rPr>
            </w:pPr>
            <m:oMathPara>
              <m:oMath>
                <m:r>
                  <w:rPr>
                    <w:rFonts w:ascii="Cambria Math" w:hAnsi="Cambria Math" w:cs="Times New Roman"/>
                  </w:rPr>
                  <m:t>LDR=</m:t>
                </m:r>
                <m:f>
                  <m:fPr>
                    <m:ctrlPr>
                      <w:rPr>
                        <w:rFonts w:ascii="Cambria Math" w:hAnsi="Cambria Math" w:cs="Times New Roman"/>
                        <w:i/>
                      </w:rPr>
                    </m:ctrlPr>
                  </m:fPr>
                  <m:num>
                    <m:r>
                      <w:rPr>
                        <w:rFonts w:ascii="Cambria Math" w:hAnsi="Cambria Math" w:cs="Times New Roman"/>
                      </w:rPr>
                      <m:t>Total Kredit</m:t>
                    </m:r>
                  </m:num>
                  <m:den>
                    <m:r>
                      <w:rPr>
                        <w:rFonts w:ascii="Cambria Math" w:hAnsi="Cambria Math" w:cs="Times New Roman"/>
                      </w:rPr>
                      <m:t>Dana Pihak Ketiga</m:t>
                    </m:r>
                  </m:den>
                </m:f>
              </m:oMath>
            </m:oMathPara>
          </w:p>
        </w:tc>
        <w:tc>
          <w:tcPr>
            <w:tcW w:w="596" w:type="pct"/>
            <w:vAlign w:val="center"/>
          </w:tcPr>
          <w:p w14:paraId="0277D57A"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80% - 110% = sehat</w:t>
            </w:r>
          </w:p>
        </w:tc>
      </w:tr>
      <w:tr w:rsidR="009924E7" w:rsidRPr="0032299D" w14:paraId="3F1F8CDC" w14:textId="77777777" w:rsidTr="001902F3">
        <w:tc>
          <w:tcPr>
            <w:tcW w:w="269" w:type="pct"/>
            <w:vAlign w:val="center"/>
          </w:tcPr>
          <w:p w14:paraId="614DD80F"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6</w:t>
            </w:r>
          </w:p>
        </w:tc>
        <w:tc>
          <w:tcPr>
            <w:tcW w:w="1002" w:type="pct"/>
            <w:vAlign w:val="center"/>
          </w:tcPr>
          <w:p w14:paraId="0266A30D"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FDR (</w:t>
            </w:r>
            <w:r w:rsidRPr="0032299D">
              <w:rPr>
                <w:rFonts w:ascii="Times New Roman" w:hAnsi="Times New Roman" w:cs="Times New Roman"/>
                <w:i/>
                <w:iCs/>
              </w:rPr>
              <w:t>Financing to Deposit Ratio</w:t>
            </w:r>
            <w:r w:rsidRPr="0032299D">
              <w:rPr>
                <w:rFonts w:ascii="Times New Roman" w:hAnsi="Times New Roman" w:cs="Times New Roman"/>
              </w:rPr>
              <w:t>), untuk bank syariah</w:t>
            </w:r>
          </w:p>
        </w:tc>
        <w:tc>
          <w:tcPr>
            <w:tcW w:w="1446" w:type="pct"/>
            <w:vAlign w:val="center"/>
          </w:tcPr>
          <w:p w14:paraId="3689D6E8"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Menunjukkan sejauh mana dana pihak ketiga yang dihimpun bank syariah disalurkan kembali dalam bentuk pembiayaan.</w:t>
            </w:r>
          </w:p>
        </w:tc>
        <w:tc>
          <w:tcPr>
            <w:tcW w:w="1687" w:type="pct"/>
            <w:vAlign w:val="center"/>
          </w:tcPr>
          <w:p w14:paraId="61064A10" w14:textId="77777777" w:rsidR="009924E7" w:rsidRPr="0032299D" w:rsidRDefault="009924E7" w:rsidP="003A691C">
            <w:pPr>
              <w:jc w:val="both"/>
              <w:rPr>
                <w:rFonts w:ascii="Times New Roman" w:hAnsi="Times New Roman" w:cs="Times New Roman"/>
              </w:rPr>
            </w:pPr>
            <m:oMathPara>
              <m:oMath>
                <m:r>
                  <w:rPr>
                    <w:rFonts w:ascii="Cambria Math" w:hAnsi="Cambria Math" w:cs="Times New Roman"/>
                  </w:rPr>
                  <m:t>FDR=</m:t>
                </m:r>
                <m:f>
                  <m:fPr>
                    <m:ctrlPr>
                      <w:rPr>
                        <w:rFonts w:ascii="Cambria Math" w:hAnsi="Cambria Math" w:cs="Times New Roman"/>
                        <w:i/>
                      </w:rPr>
                    </m:ctrlPr>
                  </m:fPr>
                  <m:num>
                    <m:r>
                      <w:rPr>
                        <w:rFonts w:ascii="Cambria Math" w:hAnsi="Cambria Math" w:cs="Times New Roman"/>
                      </w:rPr>
                      <m:t>Total Pembiayaan</m:t>
                    </m:r>
                  </m:num>
                  <m:den>
                    <m:r>
                      <w:rPr>
                        <w:rFonts w:ascii="Cambria Math" w:hAnsi="Cambria Math" w:cs="Times New Roman"/>
                      </w:rPr>
                      <m:t>Dana Pihak Ketiga</m:t>
                    </m:r>
                  </m:den>
                </m:f>
              </m:oMath>
            </m:oMathPara>
          </w:p>
        </w:tc>
        <w:tc>
          <w:tcPr>
            <w:tcW w:w="596" w:type="pct"/>
            <w:vAlign w:val="center"/>
          </w:tcPr>
          <w:p w14:paraId="4954391B"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80% - 110% = sehat</w:t>
            </w:r>
          </w:p>
        </w:tc>
      </w:tr>
      <w:tr w:rsidR="009924E7" w:rsidRPr="0032299D" w14:paraId="2CE3E60A" w14:textId="77777777" w:rsidTr="001902F3">
        <w:tc>
          <w:tcPr>
            <w:tcW w:w="269" w:type="pct"/>
            <w:vAlign w:val="center"/>
          </w:tcPr>
          <w:p w14:paraId="386BBBC6"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7</w:t>
            </w:r>
          </w:p>
        </w:tc>
        <w:tc>
          <w:tcPr>
            <w:tcW w:w="1002" w:type="pct"/>
            <w:vAlign w:val="center"/>
          </w:tcPr>
          <w:p w14:paraId="180F6B55"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BOPO (Biaya Operasional terhadap Pendapatan Operasional)</w:t>
            </w:r>
          </w:p>
        </w:tc>
        <w:tc>
          <w:tcPr>
            <w:tcW w:w="1446" w:type="pct"/>
            <w:vAlign w:val="center"/>
          </w:tcPr>
          <w:p w14:paraId="22954B89" w14:textId="77777777" w:rsidR="009924E7" w:rsidRPr="0032299D" w:rsidRDefault="009924E7" w:rsidP="003A691C">
            <w:pPr>
              <w:jc w:val="both"/>
              <w:rPr>
                <w:rFonts w:ascii="Times New Roman" w:hAnsi="Times New Roman" w:cs="Times New Roman"/>
              </w:rPr>
            </w:pPr>
            <w:r w:rsidRPr="0032299D">
              <w:rPr>
                <w:rFonts w:ascii="Times New Roman" w:hAnsi="Times New Roman" w:cs="Times New Roman"/>
              </w:rPr>
              <w:t>Rasio yang mengukur tingkat efisiensi bank dalam menjalankan kegiatan operasional.</w:t>
            </w:r>
          </w:p>
        </w:tc>
        <w:tc>
          <w:tcPr>
            <w:tcW w:w="1687" w:type="pct"/>
            <w:vAlign w:val="center"/>
          </w:tcPr>
          <w:p w14:paraId="547F8E53" w14:textId="77777777" w:rsidR="009924E7" w:rsidRPr="0032299D" w:rsidRDefault="009924E7" w:rsidP="003A691C">
            <w:pPr>
              <w:jc w:val="both"/>
              <w:rPr>
                <w:rFonts w:ascii="Times New Roman" w:hAnsi="Times New Roman" w:cs="Times New Roman"/>
              </w:rPr>
            </w:pPr>
            <m:oMathPara>
              <m:oMath>
                <m:r>
                  <w:rPr>
                    <w:rFonts w:ascii="Cambria Math" w:hAnsi="Cambria Math" w:cs="Times New Roman"/>
                  </w:rPr>
                  <m:t>BOPO=</m:t>
                </m:r>
                <m:f>
                  <m:fPr>
                    <m:ctrlPr>
                      <w:rPr>
                        <w:rFonts w:ascii="Cambria Math" w:hAnsi="Cambria Math" w:cs="Times New Roman"/>
                        <w:i/>
                      </w:rPr>
                    </m:ctrlPr>
                  </m:fPr>
                  <m:num>
                    <m:r>
                      <w:rPr>
                        <w:rFonts w:ascii="Cambria Math" w:hAnsi="Cambria Math" w:cs="Times New Roman"/>
                      </w:rPr>
                      <m:t>Biaya Operasional</m:t>
                    </m:r>
                  </m:num>
                  <m:den>
                    <m:r>
                      <w:rPr>
                        <w:rFonts w:ascii="Cambria Math" w:hAnsi="Cambria Math" w:cs="Times New Roman"/>
                      </w:rPr>
                      <m:t>Pendapatan Operasional</m:t>
                    </m:r>
                  </m:den>
                </m:f>
              </m:oMath>
            </m:oMathPara>
          </w:p>
        </w:tc>
        <w:tc>
          <w:tcPr>
            <w:tcW w:w="596" w:type="pct"/>
            <w:vAlign w:val="center"/>
          </w:tcPr>
          <w:p w14:paraId="3C83F1E6" w14:textId="77777777" w:rsidR="009924E7" w:rsidRPr="0032299D" w:rsidRDefault="009924E7" w:rsidP="00B7701C">
            <w:pPr>
              <w:rPr>
                <w:rFonts w:ascii="Times New Roman" w:hAnsi="Times New Roman" w:cs="Times New Roman"/>
              </w:rPr>
            </w:pPr>
            <w:r w:rsidRPr="0032299D">
              <w:rPr>
                <w:rFonts w:ascii="Times New Roman" w:hAnsi="Times New Roman" w:cs="Times New Roman"/>
              </w:rPr>
              <w:t>≤ 94% = sehat</w:t>
            </w:r>
          </w:p>
        </w:tc>
      </w:tr>
    </w:tbl>
    <w:p w14:paraId="76621B2C" w14:textId="77777777" w:rsidR="001902F3" w:rsidRPr="0032299D" w:rsidRDefault="00903585" w:rsidP="00903585">
      <w:pPr>
        <w:pStyle w:val="Default"/>
        <w:tabs>
          <w:tab w:val="left" w:pos="426"/>
        </w:tabs>
        <w:jc w:val="both"/>
        <w:rPr>
          <w:color w:val="auto"/>
        </w:rPr>
      </w:pPr>
      <w:r w:rsidRPr="0032299D">
        <w:rPr>
          <w:color w:val="auto"/>
        </w:rPr>
        <w:tab/>
      </w:r>
    </w:p>
    <w:p w14:paraId="70DA2EA3" w14:textId="77777777" w:rsidR="00761966" w:rsidRDefault="001902F3" w:rsidP="00903585">
      <w:pPr>
        <w:pStyle w:val="Default"/>
        <w:tabs>
          <w:tab w:val="left" w:pos="426"/>
        </w:tabs>
        <w:jc w:val="both"/>
        <w:rPr>
          <w:color w:val="auto"/>
        </w:rPr>
      </w:pPr>
      <w:r w:rsidRPr="0032299D">
        <w:rPr>
          <w:color w:val="auto"/>
        </w:rPr>
        <w:tab/>
      </w:r>
      <w:r w:rsidR="00903585" w:rsidRPr="0032299D">
        <w:rPr>
          <w:color w:val="auto"/>
        </w:rPr>
        <w:t xml:space="preserve">Analisis data dalam penelitian ini dilakukan melalui beberapa tahapan, yaitu analisis statistik deskriptif untuk menggambarkan karakteristik data, uji normalitas menggunakan </w:t>
      </w:r>
      <w:r w:rsidR="00903585" w:rsidRPr="0032299D">
        <w:rPr>
          <w:i/>
          <w:iCs/>
          <w:color w:val="auto"/>
        </w:rPr>
        <w:t>Shapiro-Wilk</w:t>
      </w:r>
      <w:r w:rsidR="00903585" w:rsidRPr="0032299D">
        <w:rPr>
          <w:color w:val="auto"/>
        </w:rPr>
        <w:t xml:space="preserve"> untuk mengetahui distribusi data (Santoso, 2020) serta uji hipotesis menggunakan </w:t>
      </w:r>
      <w:r w:rsidR="00903585" w:rsidRPr="0032299D">
        <w:rPr>
          <w:i/>
          <w:iCs/>
          <w:color w:val="auto"/>
        </w:rPr>
        <w:t>Mann-Whitney U Test</w:t>
      </w:r>
      <w:r w:rsidR="00903585" w:rsidRPr="0032299D">
        <w:rPr>
          <w:color w:val="auto"/>
        </w:rPr>
        <w:t xml:space="preserve"> sebagai uji beda untuk mengetahui ada atau tidaknya perbedaan signifikan antara kinerja keuangan bank syariah dan bank konvensional.</w:t>
      </w:r>
    </w:p>
    <w:p w14:paraId="061F1D85" w14:textId="77777777" w:rsidR="00B7701C" w:rsidRDefault="00B7701C" w:rsidP="00903585">
      <w:pPr>
        <w:pStyle w:val="Default"/>
        <w:tabs>
          <w:tab w:val="left" w:pos="426"/>
        </w:tabs>
        <w:jc w:val="both"/>
        <w:rPr>
          <w:color w:val="auto"/>
        </w:rPr>
      </w:pPr>
    </w:p>
    <w:p w14:paraId="72BC2CE3" w14:textId="77777777" w:rsidR="00B7701C" w:rsidRPr="0032299D" w:rsidRDefault="00B7701C" w:rsidP="00B7701C">
      <w:pPr>
        <w:pStyle w:val="Default"/>
        <w:jc w:val="both"/>
        <w:rPr>
          <w:b/>
          <w:bCs/>
          <w:color w:val="auto"/>
        </w:rPr>
      </w:pPr>
      <w:r w:rsidRPr="0032299D">
        <w:rPr>
          <w:b/>
          <w:bCs/>
          <w:color w:val="auto"/>
        </w:rPr>
        <w:t>HASIL DAN PEMBAHASAN</w:t>
      </w:r>
    </w:p>
    <w:p w14:paraId="5E73840E" w14:textId="2CB9702E" w:rsidR="00B7701C" w:rsidRPr="0032299D" w:rsidRDefault="00B7701C" w:rsidP="00903585">
      <w:pPr>
        <w:pStyle w:val="Default"/>
        <w:tabs>
          <w:tab w:val="left" w:pos="426"/>
        </w:tabs>
        <w:jc w:val="both"/>
        <w:rPr>
          <w:color w:val="auto"/>
          <w:sz w:val="22"/>
          <w:szCs w:val="22"/>
        </w:rPr>
        <w:sectPr w:rsidR="00B7701C" w:rsidRPr="0032299D" w:rsidSect="002209F8">
          <w:type w:val="continuous"/>
          <w:pgSz w:w="11906" w:h="16838" w:code="9"/>
          <w:pgMar w:top="1440" w:right="1440" w:bottom="1440" w:left="1440" w:header="708" w:footer="708" w:gutter="0"/>
          <w:cols w:space="708"/>
          <w:docGrid w:linePitch="360"/>
        </w:sectPr>
      </w:pPr>
    </w:p>
    <w:p w14:paraId="60840328" w14:textId="245C21F8" w:rsidR="0008538E" w:rsidRPr="0032299D" w:rsidRDefault="0008538E" w:rsidP="00921D9A">
      <w:pPr>
        <w:pStyle w:val="Default"/>
        <w:jc w:val="both"/>
        <w:rPr>
          <w:b/>
          <w:bCs/>
          <w:color w:val="auto"/>
        </w:rPr>
      </w:pPr>
      <w:r w:rsidRPr="0032299D">
        <w:rPr>
          <w:b/>
          <w:bCs/>
          <w:color w:val="auto"/>
        </w:rPr>
        <w:lastRenderedPageBreak/>
        <w:t>HASIL PENELITIAN</w:t>
      </w:r>
    </w:p>
    <w:p w14:paraId="01429923" w14:textId="500CA27D" w:rsidR="0008538E" w:rsidRPr="0032299D" w:rsidRDefault="0008538E" w:rsidP="00921D9A">
      <w:pPr>
        <w:pStyle w:val="ListParagraph"/>
        <w:numPr>
          <w:ilvl w:val="0"/>
          <w:numId w:val="2"/>
        </w:numPr>
        <w:tabs>
          <w:tab w:val="left" w:pos="426"/>
        </w:tabs>
        <w:spacing w:after="0" w:line="240" w:lineRule="auto"/>
        <w:jc w:val="both"/>
        <w:rPr>
          <w:rFonts w:ascii="Times New Roman" w:hAnsi="Times New Roman" w:cs="Times New Roman"/>
          <w:b/>
          <w:bCs/>
          <w:sz w:val="24"/>
          <w:szCs w:val="24"/>
        </w:rPr>
      </w:pPr>
      <w:r w:rsidRPr="0032299D">
        <w:rPr>
          <w:rFonts w:ascii="Times New Roman" w:hAnsi="Times New Roman" w:cs="Times New Roman"/>
          <w:b/>
          <w:bCs/>
          <w:sz w:val="24"/>
          <w:szCs w:val="24"/>
        </w:rPr>
        <w:t>Statistik Deskriptif</w:t>
      </w:r>
    </w:p>
    <w:p w14:paraId="2B5E98FA" w14:textId="076EA5CC" w:rsidR="0008538E" w:rsidRPr="0032299D" w:rsidRDefault="009924E7" w:rsidP="0008538E">
      <w:pPr>
        <w:tabs>
          <w:tab w:val="left" w:pos="426"/>
        </w:tabs>
        <w:spacing w:after="0" w:line="240" w:lineRule="auto"/>
        <w:jc w:val="both"/>
        <w:rPr>
          <w:rFonts w:ascii="Times New Roman" w:hAnsi="Times New Roman" w:cs="Times New Roman"/>
          <w:sz w:val="24"/>
          <w:szCs w:val="24"/>
        </w:rPr>
      </w:pPr>
      <w:r w:rsidRPr="0032299D">
        <w:rPr>
          <w:rFonts w:ascii="Times New Roman" w:hAnsi="Times New Roman" w:cs="Times New Roman"/>
          <w:sz w:val="24"/>
          <w:szCs w:val="24"/>
        </w:rPr>
        <w:tab/>
      </w:r>
      <w:r w:rsidR="00761966" w:rsidRPr="0032299D">
        <w:rPr>
          <w:rFonts w:ascii="Times New Roman" w:hAnsi="Times New Roman" w:cs="Times New Roman"/>
          <w:sz w:val="24"/>
          <w:szCs w:val="24"/>
        </w:rPr>
        <w:t>Sampel dalam penelitian ini adalah 5 bank syariah, yaitu Bank Muamalat Indonesia, BCA Syariah, BTPN Syariah, Bank Mega Syariah, dan Bank Panin Dubai Syariah. Kemudian 5 bank konvensional, yaitu BNI, Bank Mandiri, BRI, BCA, dan Bank Danamon</w:t>
      </w:r>
      <w:r w:rsidR="0008538E" w:rsidRPr="0032299D">
        <w:rPr>
          <w:rFonts w:ascii="Times New Roman" w:hAnsi="Times New Roman" w:cs="Times New Roman"/>
          <w:sz w:val="24"/>
          <w:szCs w:val="24"/>
        </w:rPr>
        <w:t>. Berikut adalah statistik deskripsi dari data yang diolah dari SPSS 27.</w:t>
      </w:r>
    </w:p>
    <w:p w14:paraId="64FC1B4E" w14:textId="77777777" w:rsidR="0008538E" w:rsidRPr="0032299D" w:rsidRDefault="0008538E" w:rsidP="0008538E">
      <w:pPr>
        <w:tabs>
          <w:tab w:val="left" w:pos="426"/>
        </w:tabs>
        <w:spacing w:after="0" w:line="240" w:lineRule="auto"/>
        <w:jc w:val="both"/>
        <w:rPr>
          <w:rFonts w:ascii="Times New Roman" w:hAnsi="Times New Roman" w:cs="Times New Roman"/>
          <w:sz w:val="24"/>
          <w:szCs w:val="24"/>
        </w:rPr>
      </w:pPr>
    </w:p>
    <w:p w14:paraId="3E5D7540" w14:textId="2C3D2007" w:rsidR="006F7B33" w:rsidRPr="0032299D" w:rsidRDefault="00903585" w:rsidP="00903585">
      <w:pPr>
        <w:spacing w:after="0" w:line="240" w:lineRule="auto"/>
        <w:jc w:val="center"/>
        <w:rPr>
          <w:rFonts w:ascii="Times New Roman" w:hAnsi="Times New Roman" w:cs="Times New Roman"/>
          <w:b/>
          <w:bCs/>
          <w:sz w:val="24"/>
          <w:szCs w:val="24"/>
        </w:rPr>
      </w:pPr>
      <w:r w:rsidRPr="0032299D">
        <w:rPr>
          <w:rFonts w:ascii="Times New Roman" w:hAnsi="Times New Roman" w:cs="Times New Roman"/>
          <w:b/>
          <w:bCs/>
          <w:sz w:val="24"/>
          <w:szCs w:val="24"/>
        </w:rPr>
        <w:t>Tabel 2. Statistik Deskriptif Bank Syariah</w:t>
      </w:r>
    </w:p>
    <w:tbl>
      <w:tblPr>
        <w:tblStyle w:val="GridTable1Light"/>
        <w:tblW w:w="0" w:type="auto"/>
        <w:jc w:val="center"/>
        <w:tblLook w:val="04A0" w:firstRow="1" w:lastRow="0" w:firstColumn="1" w:lastColumn="0" w:noHBand="0" w:noVBand="1"/>
      </w:tblPr>
      <w:tblGrid>
        <w:gridCol w:w="1830"/>
        <w:gridCol w:w="363"/>
        <w:gridCol w:w="1060"/>
        <w:gridCol w:w="1096"/>
        <w:gridCol w:w="1041"/>
        <w:gridCol w:w="1420"/>
      </w:tblGrid>
      <w:tr w:rsidR="006F7B33" w:rsidRPr="0032299D" w14:paraId="2DA46F2A" w14:textId="77777777" w:rsidTr="00903585">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gridSpan w:val="6"/>
            <w:hideMark/>
          </w:tcPr>
          <w:p w14:paraId="105F2894" w14:textId="77777777" w:rsidR="006F7B33" w:rsidRPr="0032299D" w:rsidRDefault="006F7B33" w:rsidP="00903585">
            <w:pPr>
              <w:pStyle w:val="Default"/>
              <w:jc w:val="center"/>
              <w:rPr>
                <w:i/>
                <w:iCs/>
                <w:color w:val="auto"/>
                <w:sz w:val="22"/>
                <w:szCs w:val="22"/>
              </w:rPr>
            </w:pPr>
            <w:r w:rsidRPr="0032299D">
              <w:rPr>
                <w:i/>
                <w:iCs/>
                <w:color w:val="auto"/>
                <w:sz w:val="22"/>
                <w:szCs w:val="22"/>
              </w:rPr>
              <w:t>Descriptive Statistics</w:t>
            </w:r>
          </w:p>
        </w:tc>
      </w:tr>
      <w:tr w:rsidR="006F7B33" w:rsidRPr="0032299D" w14:paraId="0BBD4E6C" w14:textId="77777777" w:rsidTr="00903585">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Pr>
          <w:p w14:paraId="184956FB" w14:textId="77777777" w:rsidR="006F7B33" w:rsidRPr="0032299D" w:rsidRDefault="006F7B33" w:rsidP="00921D9A">
            <w:pPr>
              <w:pStyle w:val="Default"/>
              <w:jc w:val="both"/>
              <w:rPr>
                <w:color w:val="auto"/>
                <w:sz w:val="22"/>
                <w:szCs w:val="22"/>
              </w:rPr>
            </w:pPr>
          </w:p>
        </w:tc>
        <w:tc>
          <w:tcPr>
            <w:tcW w:w="0" w:type="auto"/>
            <w:hideMark/>
          </w:tcPr>
          <w:p w14:paraId="509AA1EA"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i/>
                <w:iCs/>
                <w:color w:val="auto"/>
                <w:sz w:val="22"/>
                <w:szCs w:val="22"/>
              </w:rPr>
            </w:pPr>
            <w:r w:rsidRPr="0032299D">
              <w:rPr>
                <w:i/>
                <w:iCs/>
                <w:color w:val="auto"/>
                <w:sz w:val="22"/>
                <w:szCs w:val="22"/>
              </w:rPr>
              <w:t>N</w:t>
            </w:r>
          </w:p>
        </w:tc>
        <w:tc>
          <w:tcPr>
            <w:tcW w:w="0" w:type="auto"/>
            <w:hideMark/>
          </w:tcPr>
          <w:p w14:paraId="574279D4"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i/>
                <w:iCs/>
                <w:color w:val="auto"/>
                <w:sz w:val="22"/>
                <w:szCs w:val="22"/>
              </w:rPr>
            </w:pPr>
            <w:r w:rsidRPr="0032299D">
              <w:rPr>
                <w:i/>
                <w:iCs/>
                <w:color w:val="auto"/>
                <w:sz w:val="22"/>
                <w:szCs w:val="22"/>
              </w:rPr>
              <w:t>Minimum</w:t>
            </w:r>
          </w:p>
        </w:tc>
        <w:tc>
          <w:tcPr>
            <w:tcW w:w="0" w:type="auto"/>
            <w:hideMark/>
          </w:tcPr>
          <w:p w14:paraId="2C48A278"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i/>
                <w:iCs/>
                <w:color w:val="auto"/>
                <w:sz w:val="22"/>
                <w:szCs w:val="22"/>
              </w:rPr>
            </w:pPr>
            <w:r w:rsidRPr="0032299D">
              <w:rPr>
                <w:i/>
                <w:iCs/>
                <w:color w:val="auto"/>
                <w:sz w:val="22"/>
                <w:szCs w:val="22"/>
              </w:rPr>
              <w:t>Maximum</w:t>
            </w:r>
          </w:p>
        </w:tc>
        <w:tc>
          <w:tcPr>
            <w:tcW w:w="0" w:type="auto"/>
            <w:hideMark/>
          </w:tcPr>
          <w:p w14:paraId="798D9102"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i/>
                <w:iCs/>
                <w:color w:val="auto"/>
                <w:sz w:val="22"/>
                <w:szCs w:val="22"/>
              </w:rPr>
            </w:pPr>
            <w:r w:rsidRPr="0032299D">
              <w:rPr>
                <w:i/>
                <w:iCs/>
                <w:color w:val="auto"/>
                <w:sz w:val="22"/>
                <w:szCs w:val="22"/>
              </w:rPr>
              <w:t>Mean</w:t>
            </w:r>
          </w:p>
        </w:tc>
        <w:tc>
          <w:tcPr>
            <w:tcW w:w="0" w:type="auto"/>
            <w:hideMark/>
          </w:tcPr>
          <w:p w14:paraId="4700FB81"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i/>
                <w:iCs/>
                <w:color w:val="auto"/>
                <w:sz w:val="22"/>
                <w:szCs w:val="22"/>
              </w:rPr>
            </w:pPr>
            <w:r w:rsidRPr="0032299D">
              <w:rPr>
                <w:i/>
                <w:iCs/>
                <w:color w:val="auto"/>
                <w:sz w:val="22"/>
                <w:szCs w:val="22"/>
              </w:rPr>
              <w:t>Std.Deviation</w:t>
            </w:r>
          </w:p>
        </w:tc>
      </w:tr>
      <w:tr w:rsidR="006F7B33" w:rsidRPr="0032299D" w14:paraId="24867461" w14:textId="77777777" w:rsidTr="00903585">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762E71" w14:textId="77777777" w:rsidR="006F7B33" w:rsidRPr="0032299D" w:rsidRDefault="006F7B33" w:rsidP="00921D9A">
            <w:pPr>
              <w:pStyle w:val="Default"/>
              <w:jc w:val="both"/>
              <w:rPr>
                <w:color w:val="auto"/>
                <w:sz w:val="22"/>
                <w:szCs w:val="22"/>
              </w:rPr>
            </w:pPr>
            <w:r w:rsidRPr="0032299D">
              <w:rPr>
                <w:color w:val="auto"/>
                <w:sz w:val="22"/>
                <w:szCs w:val="22"/>
              </w:rPr>
              <w:t>ROA</w:t>
            </w:r>
          </w:p>
        </w:tc>
        <w:tc>
          <w:tcPr>
            <w:tcW w:w="0" w:type="auto"/>
            <w:hideMark/>
          </w:tcPr>
          <w:p w14:paraId="68E0A181"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hideMark/>
          </w:tcPr>
          <w:p w14:paraId="0CA0C6D4"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3.29</w:t>
            </w:r>
          </w:p>
        </w:tc>
        <w:tc>
          <w:tcPr>
            <w:tcW w:w="0" w:type="auto"/>
            <w:hideMark/>
          </w:tcPr>
          <w:p w14:paraId="0EF87B40"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39.63</w:t>
            </w:r>
          </w:p>
        </w:tc>
        <w:tc>
          <w:tcPr>
            <w:tcW w:w="0" w:type="auto"/>
            <w:hideMark/>
          </w:tcPr>
          <w:p w14:paraId="6D9CFD9F"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15.6943</w:t>
            </w:r>
          </w:p>
        </w:tc>
        <w:tc>
          <w:tcPr>
            <w:tcW w:w="0" w:type="auto"/>
            <w:hideMark/>
          </w:tcPr>
          <w:p w14:paraId="3ABA9F85"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11.57718</w:t>
            </w:r>
          </w:p>
        </w:tc>
      </w:tr>
      <w:tr w:rsidR="006F7B33" w:rsidRPr="0032299D" w14:paraId="375356CE" w14:textId="77777777" w:rsidTr="00903585">
        <w:trPr>
          <w:trHeight w:val="21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52B7684" w14:textId="77777777" w:rsidR="006F7B33" w:rsidRPr="0032299D" w:rsidRDefault="006F7B33" w:rsidP="00921D9A">
            <w:pPr>
              <w:pStyle w:val="Default"/>
              <w:jc w:val="both"/>
              <w:rPr>
                <w:color w:val="auto"/>
                <w:sz w:val="22"/>
                <w:szCs w:val="22"/>
              </w:rPr>
            </w:pPr>
            <w:r w:rsidRPr="0032299D">
              <w:rPr>
                <w:color w:val="auto"/>
                <w:sz w:val="22"/>
                <w:szCs w:val="22"/>
              </w:rPr>
              <w:t>ROE</w:t>
            </w:r>
          </w:p>
        </w:tc>
        <w:tc>
          <w:tcPr>
            <w:tcW w:w="0" w:type="auto"/>
            <w:hideMark/>
          </w:tcPr>
          <w:p w14:paraId="7F6E9884"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hideMark/>
          </w:tcPr>
          <w:p w14:paraId="50DDF5BD"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-45.59</w:t>
            </w:r>
          </w:p>
        </w:tc>
        <w:tc>
          <w:tcPr>
            <w:tcW w:w="0" w:type="auto"/>
            <w:hideMark/>
          </w:tcPr>
          <w:p w14:paraId="6E29422D"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60.35</w:t>
            </w:r>
          </w:p>
        </w:tc>
        <w:tc>
          <w:tcPr>
            <w:tcW w:w="0" w:type="auto"/>
            <w:hideMark/>
          </w:tcPr>
          <w:p w14:paraId="3FDCB57A"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28.4829</w:t>
            </w:r>
          </w:p>
        </w:tc>
        <w:tc>
          <w:tcPr>
            <w:tcW w:w="0" w:type="auto"/>
            <w:hideMark/>
          </w:tcPr>
          <w:p w14:paraId="112AF05A"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35.32871</w:t>
            </w:r>
          </w:p>
        </w:tc>
      </w:tr>
      <w:tr w:rsidR="006F7B33" w:rsidRPr="0032299D" w14:paraId="19CD35A2" w14:textId="77777777" w:rsidTr="00903585">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335F9D3" w14:textId="77777777" w:rsidR="006F7B33" w:rsidRPr="0032299D" w:rsidRDefault="006F7B33" w:rsidP="00921D9A">
            <w:pPr>
              <w:pStyle w:val="Default"/>
              <w:jc w:val="both"/>
              <w:rPr>
                <w:color w:val="auto"/>
                <w:sz w:val="22"/>
                <w:szCs w:val="22"/>
              </w:rPr>
            </w:pPr>
            <w:r w:rsidRPr="0032299D">
              <w:rPr>
                <w:color w:val="auto"/>
                <w:sz w:val="22"/>
                <w:szCs w:val="22"/>
              </w:rPr>
              <w:t>NPF</w:t>
            </w:r>
          </w:p>
        </w:tc>
        <w:tc>
          <w:tcPr>
            <w:tcW w:w="0" w:type="auto"/>
            <w:hideMark/>
          </w:tcPr>
          <w:p w14:paraId="18BDD717"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hideMark/>
          </w:tcPr>
          <w:p w14:paraId="45F1531D"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5.67</w:t>
            </w:r>
          </w:p>
        </w:tc>
        <w:tc>
          <w:tcPr>
            <w:tcW w:w="0" w:type="auto"/>
            <w:hideMark/>
          </w:tcPr>
          <w:p w14:paraId="560E5D7F"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12.52</w:t>
            </w:r>
          </w:p>
        </w:tc>
        <w:tc>
          <w:tcPr>
            <w:tcW w:w="0" w:type="auto"/>
            <w:hideMark/>
          </w:tcPr>
          <w:p w14:paraId="0025A270"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9.5900</w:t>
            </w:r>
          </w:p>
        </w:tc>
        <w:tc>
          <w:tcPr>
            <w:tcW w:w="0" w:type="auto"/>
            <w:hideMark/>
          </w:tcPr>
          <w:p w14:paraId="3ED5593C"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2.21528</w:t>
            </w:r>
          </w:p>
        </w:tc>
      </w:tr>
      <w:tr w:rsidR="006F7B33" w:rsidRPr="0032299D" w14:paraId="3A9535F6" w14:textId="77777777" w:rsidTr="00903585">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08F39C0" w14:textId="77777777" w:rsidR="006F7B33" w:rsidRPr="0032299D" w:rsidRDefault="006F7B33" w:rsidP="00921D9A">
            <w:pPr>
              <w:pStyle w:val="Default"/>
              <w:jc w:val="both"/>
              <w:rPr>
                <w:color w:val="auto"/>
                <w:sz w:val="22"/>
                <w:szCs w:val="22"/>
              </w:rPr>
            </w:pPr>
            <w:r w:rsidRPr="0032299D">
              <w:rPr>
                <w:color w:val="auto"/>
                <w:sz w:val="22"/>
                <w:szCs w:val="22"/>
              </w:rPr>
              <w:t>FDR</w:t>
            </w:r>
          </w:p>
        </w:tc>
        <w:tc>
          <w:tcPr>
            <w:tcW w:w="0" w:type="auto"/>
            <w:hideMark/>
          </w:tcPr>
          <w:p w14:paraId="41A779E7"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hideMark/>
          </w:tcPr>
          <w:p w14:paraId="50FC7632"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368.16</w:t>
            </w:r>
          </w:p>
        </w:tc>
        <w:tc>
          <w:tcPr>
            <w:tcW w:w="0" w:type="auto"/>
            <w:hideMark/>
          </w:tcPr>
          <w:p w14:paraId="004F4FDC"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450.03</w:t>
            </w:r>
          </w:p>
        </w:tc>
        <w:tc>
          <w:tcPr>
            <w:tcW w:w="0" w:type="auto"/>
            <w:hideMark/>
          </w:tcPr>
          <w:p w14:paraId="7DB7496A"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413.6314</w:t>
            </w:r>
          </w:p>
        </w:tc>
        <w:tc>
          <w:tcPr>
            <w:tcW w:w="0" w:type="auto"/>
            <w:hideMark/>
          </w:tcPr>
          <w:p w14:paraId="7B8864F0"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32.84761</w:t>
            </w:r>
          </w:p>
        </w:tc>
      </w:tr>
      <w:tr w:rsidR="006F7B33" w:rsidRPr="0032299D" w14:paraId="1004C8C3" w14:textId="77777777" w:rsidTr="00903585">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43F211" w14:textId="77777777" w:rsidR="006F7B33" w:rsidRPr="0032299D" w:rsidRDefault="006F7B33" w:rsidP="00921D9A">
            <w:pPr>
              <w:pStyle w:val="Default"/>
              <w:jc w:val="both"/>
              <w:rPr>
                <w:color w:val="auto"/>
                <w:sz w:val="22"/>
                <w:szCs w:val="22"/>
              </w:rPr>
            </w:pPr>
            <w:r w:rsidRPr="0032299D">
              <w:rPr>
                <w:color w:val="auto"/>
                <w:sz w:val="22"/>
                <w:szCs w:val="22"/>
              </w:rPr>
              <w:t>BOPO</w:t>
            </w:r>
          </w:p>
        </w:tc>
        <w:tc>
          <w:tcPr>
            <w:tcW w:w="0" w:type="auto"/>
            <w:hideMark/>
          </w:tcPr>
          <w:p w14:paraId="0EAA2589"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hideMark/>
          </w:tcPr>
          <w:p w14:paraId="306EA474"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371.40</w:t>
            </w:r>
          </w:p>
        </w:tc>
        <w:tc>
          <w:tcPr>
            <w:tcW w:w="0" w:type="auto"/>
            <w:hideMark/>
          </w:tcPr>
          <w:p w14:paraId="1FA7CC03"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559.25</w:t>
            </w:r>
          </w:p>
        </w:tc>
        <w:tc>
          <w:tcPr>
            <w:tcW w:w="0" w:type="auto"/>
            <w:hideMark/>
          </w:tcPr>
          <w:p w14:paraId="034A48B7"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449.1286</w:t>
            </w:r>
          </w:p>
        </w:tc>
        <w:tc>
          <w:tcPr>
            <w:tcW w:w="0" w:type="auto"/>
            <w:hideMark/>
          </w:tcPr>
          <w:p w14:paraId="53D43BBE"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67.07102</w:t>
            </w:r>
          </w:p>
        </w:tc>
      </w:tr>
      <w:tr w:rsidR="006F7B33" w:rsidRPr="0032299D" w14:paraId="65B8AFA8" w14:textId="77777777" w:rsidTr="00903585">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969810" w14:textId="77777777" w:rsidR="006F7B33" w:rsidRPr="0032299D" w:rsidRDefault="006F7B33" w:rsidP="00921D9A">
            <w:pPr>
              <w:pStyle w:val="Default"/>
              <w:jc w:val="both"/>
              <w:rPr>
                <w:color w:val="auto"/>
                <w:sz w:val="22"/>
                <w:szCs w:val="22"/>
              </w:rPr>
            </w:pPr>
            <w:r w:rsidRPr="0032299D">
              <w:rPr>
                <w:color w:val="auto"/>
                <w:sz w:val="22"/>
                <w:szCs w:val="22"/>
              </w:rPr>
              <w:t>Valid N (listwise)</w:t>
            </w:r>
          </w:p>
        </w:tc>
        <w:tc>
          <w:tcPr>
            <w:tcW w:w="0" w:type="auto"/>
            <w:hideMark/>
          </w:tcPr>
          <w:p w14:paraId="065472A3"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tcPr>
          <w:p w14:paraId="70BE7C01"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0" w:type="auto"/>
          </w:tcPr>
          <w:p w14:paraId="56A81352"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0" w:type="auto"/>
          </w:tcPr>
          <w:p w14:paraId="08FA0C6E"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0" w:type="auto"/>
          </w:tcPr>
          <w:p w14:paraId="7BBB910E"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p>
        </w:tc>
      </w:tr>
    </w:tbl>
    <w:p w14:paraId="59C078AD" w14:textId="495A12A0" w:rsidR="00697E03" w:rsidRPr="0032299D" w:rsidRDefault="006F7B33" w:rsidP="0008538E">
      <w:pPr>
        <w:pStyle w:val="Default"/>
        <w:ind w:left="1134" w:firstLine="11"/>
        <w:rPr>
          <w:sz w:val="22"/>
          <w:szCs w:val="22"/>
        </w:rPr>
      </w:pPr>
      <w:r w:rsidRPr="0032299D">
        <w:rPr>
          <w:i/>
          <w:iCs/>
          <w:sz w:val="22"/>
          <w:szCs w:val="22"/>
        </w:rPr>
        <w:t>Sumber: Output SPSS 27 yang telah diolah</w:t>
      </w:r>
      <w:r w:rsidRPr="0032299D">
        <w:rPr>
          <w:sz w:val="22"/>
          <w:szCs w:val="22"/>
        </w:rPr>
        <w:t>.</w:t>
      </w:r>
    </w:p>
    <w:p w14:paraId="731D6774" w14:textId="77777777" w:rsidR="0008538E" w:rsidRPr="0032299D" w:rsidRDefault="0008538E" w:rsidP="00EB01A4">
      <w:pPr>
        <w:pStyle w:val="Default"/>
        <w:rPr>
          <w:sz w:val="22"/>
          <w:szCs w:val="22"/>
        </w:rPr>
      </w:pPr>
    </w:p>
    <w:p w14:paraId="0607FC5D" w14:textId="7E0FBEFD" w:rsidR="006F7B33" w:rsidRPr="0032299D" w:rsidRDefault="006F7B33" w:rsidP="00903585">
      <w:pPr>
        <w:pStyle w:val="Default"/>
        <w:jc w:val="center"/>
        <w:rPr>
          <w:b/>
          <w:bCs/>
          <w:color w:val="auto"/>
        </w:rPr>
      </w:pPr>
      <w:r w:rsidRPr="0032299D">
        <w:rPr>
          <w:b/>
          <w:bCs/>
          <w:color w:val="auto"/>
        </w:rPr>
        <w:t xml:space="preserve">Tabel </w:t>
      </w:r>
      <w:r w:rsidR="00903585" w:rsidRPr="0032299D">
        <w:rPr>
          <w:b/>
          <w:bCs/>
          <w:color w:val="auto"/>
        </w:rPr>
        <w:t xml:space="preserve">3. </w:t>
      </w:r>
      <w:r w:rsidRPr="0032299D">
        <w:rPr>
          <w:b/>
          <w:bCs/>
          <w:color w:val="auto"/>
        </w:rPr>
        <w:t>Statistik Deskriptif Bank Konvensional</w:t>
      </w:r>
    </w:p>
    <w:tbl>
      <w:tblPr>
        <w:tblStyle w:val="GridTable1Light"/>
        <w:tblW w:w="0" w:type="auto"/>
        <w:jc w:val="center"/>
        <w:tblLook w:val="04A0" w:firstRow="1" w:lastRow="0" w:firstColumn="1" w:lastColumn="0" w:noHBand="0" w:noVBand="1"/>
      </w:tblPr>
      <w:tblGrid>
        <w:gridCol w:w="1830"/>
        <w:gridCol w:w="363"/>
        <w:gridCol w:w="1060"/>
        <w:gridCol w:w="1096"/>
        <w:gridCol w:w="1041"/>
        <w:gridCol w:w="1420"/>
      </w:tblGrid>
      <w:tr w:rsidR="006F7B33" w:rsidRPr="0032299D" w14:paraId="402577FC" w14:textId="77777777" w:rsidTr="00903585">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gridSpan w:val="6"/>
            <w:hideMark/>
          </w:tcPr>
          <w:p w14:paraId="4B13580B" w14:textId="77777777" w:rsidR="006F7B33" w:rsidRPr="0032299D" w:rsidRDefault="006F7B33" w:rsidP="00903585">
            <w:pPr>
              <w:pStyle w:val="Default"/>
              <w:jc w:val="center"/>
              <w:rPr>
                <w:i/>
                <w:iCs/>
                <w:color w:val="auto"/>
                <w:sz w:val="22"/>
                <w:szCs w:val="22"/>
              </w:rPr>
            </w:pPr>
            <w:r w:rsidRPr="0032299D">
              <w:rPr>
                <w:i/>
                <w:iCs/>
                <w:color w:val="auto"/>
                <w:sz w:val="22"/>
                <w:szCs w:val="22"/>
              </w:rPr>
              <w:t>Descriptive Statistics</w:t>
            </w:r>
          </w:p>
        </w:tc>
      </w:tr>
      <w:tr w:rsidR="006F7B33" w:rsidRPr="0032299D" w14:paraId="7ABE3D2C"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Pr>
          <w:p w14:paraId="7878DE27" w14:textId="77777777" w:rsidR="006F7B33" w:rsidRPr="0032299D" w:rsidRDefault="006F7B33" w:rsidP="00921D9A">
            <w:pPr>
              <w:pStyle w:val="Default"/>
              <w:jc w:val="both"/>
              <w:rPr>
                <w:color w:val="auto"/>
                <w:sz w:val="22"/>
                <w:szCs w:val="22"/>
              </w:rPr>
            </w:pPr>
          </w:p>
        </w:tc>
        <w:tc>
          <w:tcPr>
            <w:tcW w:w="0" w:type="auto"/>
            <w:hideMark/>
          </w:tcPr>
          <w:p w14:paraId="4FEF75AE"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i/>
                <w:iCs/>
                <w:color w:val="auto"/>
                <w:sz w:val="22"/>
                <w:szCs w:val="22"/>
              </w:rPr>
            </w:pPr>
            <w:r w:rsidRPr="0032299D">
              <w:rPr>
                <w:i/>
                <w:iCs/>
                <w:color w:val="auto"/>
                <w:sz w:val="22"/>
                <w:szCs w:val="22"/>
              </w:rPr>
              <w:t>N</w:t>
            </w:r>
          </w:p>
        </w:tc>
        <w:tc>
          <w:tcPr>
            <w:tcW w:w="0" w:type="auto"/>
            <w:hideMark/>
          </w:tcPr>
          <w:p w14:paraId="30826343"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i/>
                <w:iCs/>
                <w:color w:val="auto"/>
                <w:sz w:val="22"/>
                <w:szCs w:val="22"/>
              </w:rPr>
            </w:pPr>
            <w:r w:rsidRPr="0032299D">
              <w:rPr>
                <w:i/>
                <w:iCs/>
                <w:color w:val="auto"/>
                <w:sz w:val="22"/>
                <w:szCs w:val="22"/>
              </w:rPr>
              <w:t>Minimum</w:t>
            </w:r>
          </w:p>
        </w:tc>
        <w:tc>
          <w:tcPr>
            <w:tcW w:w="0" w:type="auto"/>
            <w:hideMark/>
          </w:tcPr>
          <w:p w14:paraId="1526CD05"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i/>
                <w:iCs/>
                <w:color w:val="auto"/>
                <w:sz w:val="22"/>
                <w:szCs w:val="22"/>
              </w:rPr>
            </w:pPr>
            <w:r w:rsidRPr="0032299D">
              <w:rPr>
                <w:i/>
                <w:iCs/>
                <w:color w:val="auto"/>
                <w:sz w:val="22"/>
                <w:szCs w:val="22"/>
              </w:rPr>
              <w:t>Maximum</w:t>
            </w:r>
          </w:p>
        </w:tc>
        <w:tc>
          <w:tcPr>
            <w:tcW w:w="0" w:type="auto"/>
            <w:hideMark/>
          </w:tcPr>
          <w:p w14:paraId="0C93FDD4"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i/>
                <w:iCs/>
                <w:color w:val="auto"/>
                <w:sz w:val="22"/>
                <w:szCs w:val="22"/>
              </w:rPr>
            </w:pPr>
            <w:r w:rsidRPr="0032299D">
              <w:rPr>
                <w:i/>
                <w:iCs/>
                <w:color w:val="auto"/>
                <w:sz w:val="22"/>
                <w:szCs w:val="22"/>
              </w:rPr>
              <w:t>Mean</w:t>
            </w:r>
          </w:p>
        </w:tc>
        <w:tc>
          <w:tcPr>
            <w:tcW w:w="0" w:type="auto"/>
            <w:hideMark/>
          </w:tcPr>
          <w:p w14:paraId="247D6CA8"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i/>
                <w:iCs/>
                <w:color w:val="auto"/>
                <w:sz w:val="22"/>
                <w:szCs w:val="22"/>
              </w:rPr>
            </w:pPr>
            <w:r w:rsidRPr="0032299D">
              <w:rPr>
                <w:i/>
                <w:iCs/>
                <w:color w:val="auto"/>
                <w:sz w:val="22"/>
                <w:szCs w:val="22"/>
              </w:rPr>
              <w:t>Std.Deviation</w:t>
            </w:r>
          </w:p>
        </w:tc>
      </w:tr>
      <w:tr w:rsidR="006F7B33" w:rsidRPr="0032299D" w14:paraId="74043560"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3DC083" w14:textId="77777777" w:rsidR="006F7B33" w:rsidRPr="0032299D" w:rsidRDefault="006F7B33" w:rsidP="00921D9A">
            <w:pPr>
              <w:pStyle w:val="Default"/>
              <w:jc w:val="both"/>
              <w:rPr>
                <w:color w:val="auto"/>
                <w:sz w:val="22"/>
                <w:szCs w:val="22"/>
              </w:rPr>
            </w:pPr>
            <w:r w:rsidRPr="0032299D">
              <w:rPr>
                <w:color w:val="auto"/>
                <w:sz w:val="22"/>
                <w:szCs w:val="22"/>
              </w:rPr>
              <w:t>ROA</w:t>
            </w:r>
          </w:p>
        </w:tc>
        <w:tc>
          <w:tcPr>
            <w:tcW w:w="0" w:type="auto"/>
            <w:hideMark/>
          </w:tcPr>
          <w:p w14:paraId="2F0F416D"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hideMark/>
          </w:tcPr>
          <w:p w14:paraId="774DB25C"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7.82</w:t>
            </w:r>
          </w:p>
        </w:tc>
        <w:tc>
          <w:tcPr>
            <w:tcW w:w="0" w:type="auto"/>
            <w:hideMark/>
          </w:tcPr>
          <w:p w14:paraId="7AC0635D"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16.75</w:t>
            </w:r>
          </w:p>
        </w:tc>
        <w:tc>
          <w:tcPr>
            <w:tcW w:w="0" w:type="auto"/>
            <w:hideMark/>
          </w:tcPr>
          <w:p w14:paraId="41B0CF03"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14.1114</w:t>
            </w:r>
          </w:p>
        </w:tc>
        <w:tc>
          <w:tcPr>
            <w:tcW w:w="0" w:type="auto"/>
            <w:hideMark/>
          </w:tcPr>
          <w:p w14:paraId="3702730B"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3.46993</w:t>
            </w:r>
          </w:p>
        </w:tc>
      </w:tr>
      <w:tr w:rsidR="006F7B33" w:rsidRPr="0032299D" w14:paraId="5847E6C9"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0808F8C" w14:textId="77777777" w:rsidR="006F7B33" w:rsidRPr="0032299D" w:rsidRDefault="006F7B33" w:rsidP="00921D9A">
            <w:pPr>
              <w:pStyle w:val="Default"/>
              <w:jc w:val="both"/>
              <w:rPr>
                <w:color w:val="auto"/>
                <w:sz w:val="22"/>
                <w:szCs w:val="22"/>
              </w:rPr>
            </w:pPr>
            <w:r w:rsidRPr="0032299D">
              <w:rPr>
                <w:color w:val="auto"/>
                <w:sz w:val="22"/>
                <w:szCs w:val="22"/>
              </w:rPr>
              <w:t>ROE</w:t>
            </w:r>
          </w:p>
        </w:tc>
        <w:tc>
          <w:tcPr>
            <w:tcW w:w="0" w:type="auto"/>
            <w:hideMark/>
          </w:tcPr>
          <w:p w14:paraId="3F0FC873"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hideMark/>
          </w:tcPr>
          <w:p w14:paraId="5B89AE68"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42.41</w:t>
            </w:r>
          </w:p>
        </w:tc>
        <w:tc>
          <w:tcPr>
            <w:tcW w:w="0" w:type="auto"/>
            <w:hideMark/>
          </w:tcPr>
          <w:p w14:paraId="4BF4A253"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98.84</w:t>
            </w:r>
          </w:p>
        </w:tc>
        <w:tc>
          <w:tcPr>
            <w:tcW w:w="0" w:type="auto"/>
            <w:hideMark/>
          </w:tcPr>
          <w:p w14:paraId="03041C21"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76.5686</w:t>
            </w:r>
          </w:p>
        </w:tc>
        <w:tc>
          <w:tcPr>
            <w:tcW w:w="0" w:type="auto"/>
            <w:hideMark/>
          </w:tcPr>
          <w:p w14:paraId="4FB7C686"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18.24972</w:t>
            </w:r>
          </w:p>
        </w:tc>
      </w:tr>
      <w:tr w:rsidR="006F7B33" w:rsidRPr="0032299D" w14:paraId="19A84934"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6D9146" w14:textId="77777777" w:rsidR="006F7B33" w:rsidRPr="0032299D" w:rsidRDefault="006F7B33" w:rsidP="00921D9A">
            <w:pPr>
              <w:pStyle w:val="Default"/>
              <w:jc w:val="both"/>
              <w:rPr>
                <w:color w:val="auto"/>
                <w:sz w:val="22"/>
                <w:szCs w:val="22"/>
              </w:rPr>
            </w:pPr>
            <w:r w:rsidRPr="0032299D">
              <w:rPr>
                <w:color w:val="auto"/>
                <w:sz w:val="22"/>
                <w:szCs w:val="22"/>
              </w:rPr>
              <w:t>NPL</w:t>
            </w:r>
          </w:p>
        </w:tc>
        <w:tc>
          <w:tcPr>
            <w:tcW w:w="0" w:type="auto"/>
            <w:hideMark/>
          </w:tcPr>
          <w:p w14:paraId="5B6B059E"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hideMark/>
          </w:tcPr>
          <w:p w14:paraId="33C35A69"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10.34</w:t>
            </w:r>
          </w:p>
        </w:tc>
        <w:tc>
          <w:tcPr>
            <w:tcW w:w="0" w:type="auto"/>
            <w:hideMark/>
          </w:tcPr>
          <w:p w14:paraId="68704A14"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15.13</w:t>
            </w:r>
          </w:p>
        </w:tc>
        <w:tc>
          <w:tcPr>
            <w:tcW w:w="0" w:type="auto"/>
            <w:hideMark/>
          </w:tcPr>
          <w:p w14:paraId="36D6DC99"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12.3529</w:t>
            </w:r>
          </w:p>
        </w:tc>
        <w:tc>
          <w:tcPr>
            <w:tcW w:w="0" w:type="auto"/>
            <w:hideMark/>
          </w:tcPr>
          <w:p w14:paraId="6BD9B2AB"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1.78877</w:t>
            </w:r>
          </w:p>
        </w:tc>
      </w:tr>
      <w:tr w:rsidR="006F7B33" w:rsidRPr="0032299D" w14:paraId="7242C15D"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0D05C3" w14:textId="77777777" w:rsidR="006F7B33" w:rsidRPr="0032299D" w:rsidRDefault="006F7B33" w:rsidP="00921D9A">
            <w:pPr>
              <w:pStyle w:val="Default"/>
              <w:jc w:val="both"/>
              <w:rPr>
                <w:color w:val="auto"/>
                <w:sz w:val="22"/>
                <w:szCs w:val="22"/>
              </w:rPr>
            </w:pPr>
            <w:r w:rsidRPr="0032299D">
              <w:rPr>
                <w:color w:val="auto"/>
                <w:sz w:val="22"/>
                <w:szCs w:val="22"/>
              </w:rPr>
              <w:t>LDR</w:t>
            </w:r>
          </w:p>
        </w:tc>
        <w:tc>
          <w:tcPr>
            <w:tcW w:w="0" w:type="auto"/>
            <w:hideMark/>
          </w:tcPr>
          <w:p w14:paraId="56A2FAAE"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hideMark/>
          </w:tcPr>
          <w:p w14:paraId="4577D42E"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367.72</w:t>
            </w:r>
          </w:p>
        </w:tc>
        <w:tc>
          <w:tcPr>
            <w:tcW w:w="0" w:type="auto"/>
            <w:hideMark/>
          </w:tcPr>
          <w:p w14:paraId="2113C2ED"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424.08</w:t>
            </w:r>
          </w:p>
        </w:tc>
        <w:tc>
          <w:tcPr>
            <w:tcW w:w="0" w:type="auto"/>
            <w:hideMark/>
          </w:tcPr>
          <w:p w14:paraId="0E29CC40"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394.7114</w:t>
            </w:r>
          </w:p>
        </w:tc>
        <w:tc>
          <w:tcPr>
            <w:tcW w:w="0" w:type="auto"/>
            <w:hideMark/>
          </w:tcPr>
          <w:p w14:paraId="748D7808"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17.05553</w:t>
            </w:r>
          </w:p>
        </w:tc>
      </w:tr>
      <w:tr w:rsidR="006F7B33" w:rsidRPr="0032299D" w14:paraId="05A36D81"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0113BC" w14:textId="77777777" w:rsidR="006F7B33" w:rsidRPr="0032299D" w:rsidRDefault="006F7B33" w:rsidP="00921D9A">
            <w:pPr>
              <w:pStyle w:val="Default"/>
              <w:jc w:val="both"/>
              <w:rPr>
                <w:color w:val="auto"/>
                <w:sz w:val="22"/>
                <w:szCs w:val="22"/>
              </w:rPr>
            </w:pPr>
            <w:r w:rsidRPr="0032299D">
              <w:rPr>
                <w:color w:val="auto"/>
                <w:sz w:val="22"/>
                <w:szCs w:val="22"/>
              </w:rPr>
              <w:t>BOPO</w:t>
            </w:r>
          </w:p>
        </w:tc>
        <w:tc>
          <w:tcPr>
            <w:tcW w:w="0" w:type="auto"/>
            <w:hideMark/>
          </w:tcPr>
          <w:p w14:paraId="725ECC04"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hideMark/>
          </w:tcPr>
          <w:p w14:paraId="39C5A28D"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304.13</w:t>
            </w:r>
          </w:p>
        </w:tc>
        <w:tc>
          <w:tcPr>
            <w:tcW w:w="0" w:type="auto"/>
            <w:hideMark/>
          </w:tcPr>
          <w:p w14:paraId="6DF9C0AE"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406.95</w:t>
            </w:r>
          </w:p>
        </w:tc>
        <w:tc>
          <w:tcPr>
            <w:tcW w:w="0" w:type="auto"/>
            <w:hideMark/>
          </w:tcPr>
          <w:p w14:paraId="2161BBAA"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344.7029</w:t>
            </w:r>
          </w:p>
        </w:tc>
        <w:tc>
          <w:tcPr>
            <w:tcW w:w="0" w:type="auto"/>
            <w:hideMark/>
          </w:tcPr>
          <w:p w14:paraId="3D692454"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34.86063</w:t>
            </w:r>
          </w:p>
        </w:tc>
      </w:tr>
      <w:tr w:rsidR="006F7B33" w:rsidRPr="0032299D" w14:paraId="19051854"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9ACB02C" w14:textId="77777777" w:rsidR="006F7B33" w:rsidRPr="0032299D" w:rsidRDefault="006F7B33" w:rsidP="00921D9A">
            <w:pPr>
              <w:pStyle w:val="Default"/>
              <w:jc w:val="both"/>
              <w:rPr>
                <w:color w:val="auto"/>
                <w:sz w:val="22"/>
                <w:szCs w:val="22"/>
              </w:rPr>
            </w:pPr>
            <w:r w:rsidRPr="0032299D">
              <w:rPr>
                <w:color w:val="auto"/>
                <w:sz w:val="22"/>
                <w:szCs w:val="22"/>
              </w:rPr>
              <w:t>Valid N (listwise)</w:t>
            </w:r>
          </w:p>
        </w:tc>
        <w:tc>
          <w:tcPr>
            <w:tcW w:w="0" w:type="auto"/>
            <w:hideMark/>
          </w:tcPr>
          <w:p w14:paraId="20EF7EAC"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tcPr>
          <w:p w14:paraId="1EDB5B89"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0" w:type="auto"/>
          </w:tcPr>
          <w:p w14:paraId="60536272"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0" w:type="auto"/>
          </w:tcPr>
          <w:p w14:paraId="79F49AC8"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0" w:type="auto"/>
          </w:tcPr>
          <w:p w14:paraId="37E2F606" w14:textId="77777777" w:rsidR="006F7B33" w:rsidRPr="0032299D" w:rsidRDefault="006F7B33" w:rsidP="00921D9A">
            <w:pPr>
              <w:pStyle w:val="Default"/>
              <w:jc w:val="both"/>
              <w:cnfStyle w:val="000000000000" w:firstRow="0" w:lastRow="0" w:firstColumn="0" w:lastColumn="0" w:oddVBand="0" w:evenVBand="0" w:oddHBand="0" w:evenHBand="0" w:firstRowFirstColumn="0" w:firstRowLastColumn="0" w:lastRowFirstColumn="0" w:lastRowLastColumn="0"/>
              <w:rPr>
                <w:color w:val="auto"/>
                <w:sz w:val="22"/>
                <w:szCs w:val="22"/>
              </w:rPr>
            </w:pPr>
          </w:p>
        </w:tc>
      </w:tr>
    </w:tbl>
    <w:p w14:paraId="73830150" w14:textId="77777777" w:rsidR="006F7B33" w:rsidRPr="0032299D" w:rsidRDefault="006F7B33" w:rsidP="00903585">
      <w:pPr>
        <w:pStyle w:val="Default"/>
        <w:ind w:left="1134"/>
        <w:jc w:val="both"/>
        <w:rPr>
          <w:i/>
          <w:iCs/>
          <w:sz w:val="22"/>
          <w:szCs w:val="22"/>
        </w:rPr>
      </w:pPr>
      <w:r w:rsidRPr="0032299D">
        <w:rPr>
          <w:i/>
          <w:iCs/>
          <w:sz w:val="22"/>
          <w:szCs w:val="22"/>
        </w:rPr>
        <w:t>Sumber: Output SPSS 27 yang telah diolah.</w:t>
      </w:r>
    </w:p>
    <w:p w14:paraId="7AD43A1B" w14:textId="77777777" w:rsidR="006F7B33" w:rsidRPr="0032299D" w:rsidRDefault="006F7B33" w:rsidP="00921D9A">
      <w:pPr>
        <w:pStyle w:val="Default"/>
        <w:jc w:val="both"/>
        <w:rPr>
          <w:color w:val="auto"/>
          <w:sz w:val="22"/>
          <w:szCs w:val="22"/>
        </w:rPr>
      </w:pPr>
    </w:p>
    <w:p w14:paraId="01611B9B" w14:textId="61115EAA" w:rsidR="0008538E" w:rsidRPr="0032299D" w:rsidRDefault="006F7B33" w:rsidP="001902F3">
      <w:pPr>
        <w:pStyle w:val="Default"/>
        <w:ind w:firstLine="426"/>
        <w:jc w:val="both"/>
      </w:pPr>
      <w:r w:rsidRPr="0032299D">
        <w:t>Hasil statistik deskriptif menunjukkan bahwa kinerja keuangan bank syariah dan bank konvensional selama periode 2017–2023 memiliki pola yang berbeda. Secara umum, bank konvensional menunjukkan kinerja yang lebih stabil, terutama pada rasio profitabilitas seperti ROA dan ROE, yang mencerminkan kemampuan bank dalam menghasilkan laba dari aset dan modal yang dimiliki secara relatif konsisten. Sebaliknya, kinerja bank syariah cenderung lebih berfluktuasi, khususnya pada rasio ROE dan BOPO, yang mengindikasikan bahwa tingkat pengembalian modal serta efisiensi operasional bank syariah belum stabil dari waktu ke waktu. Selain itu, rasio BOPO bank syariah yang relatif lebih tinggi dibandingkan bank konvensional menunjukkan bahwa biaya operasional bank syariah masih cukup besar dibandingkan pendapatan yang dihasilkan. Sementara itu, rasio likuiditas dan kualitas aset pada kedua jenis bank menunjukkan pola yang relatif sebanding, sehingga perbedaan kinerja lebih menonjol pada aspek profitabilitas dan efisiensi operasional.</w:t>
      </w:r>
    </w:p>
    <w:p w14:paraId="5505C1C2" w14:textId="77777777" w:rsidR="001902F3" w:rsidRPr="0032299D" w:rsidRDefault="001902F3" w:rsidP="001902F3">
      <w:pPr>
        <w:pStyle w:val="Default"/>
        <w:ind w:firstLine="426"/>
        <w:jc w:val="both"/>
      </w:pPr>
    </w:p>
    <w:p w14:paraId="3E54DDE1" w14:textId="52B33ACE" w:rsidR="0008538E" w:rsidRPr="0032299D" w:rsidRDefault="0008538E" w:rsidP="0008538E">
      <w:pPr>
        <w:pStyle w:val="Default"/>
        <w:numPr>
          <w:ilvl w:val="0"/>
          <w:numId w:val="2"/>
        </w:numPr>
        <w:jc w:val="both"/>
        <w:rPr>
          <w:b/>
          <w:bCs/>
        </w:rPr>
      </w:pPr>
      <w:r w:rsidRPr="0032299D">
        <w:rPr>
          <w:b/>
          <w:bCs/>
        </w:rPr>
        <w:t>Statistik Inferensial</w:t>
      </w:r>
    </w:p>
    <w:p w14:paraId="3A0C59EB" w14:textId="31B79379" w:rsidR="00903585" w:rsidRPr="0032299D" w:rsidRDefault="0008538E" w:rsidP="001902F3">
      <w:pPr>
        <w:pStyle w:val="Default"/>
        <w:ind w:left="360"/>
        <w:jc w:val="both"/>
      </w:pPr>
      <w:r w:rsidRPr="0032299D">
        <w:t xml:space="preserve">Statistik inferensial digunakan untuk menguji hipotesis dan menarik kesimpulan </w:t>
      </w:r>
      <w:r w:rsidR="00EB01A4" w:rsidRPr="0032299D">
        <w:t>berdasarkan data sampel yang diperoleh</w:t>
      </w:r>
      <w:r w:rsidR="001902F3" w:rsidRPr="0032299D">
        <w:t>.</w:t>
      </w:r>
    </w:p>
    <w:p w14:paraId="79D52F1E" w14:textId="022B3DCE" w:rsidR="009924E7" w:rsidRPr="0032299D" w:rsidRDefault="00903585" w:rsidP="0008538E">
      <w:pPr>
        <w:pStyle w:val="Default"/>
        <w:jc w:val="center"/>
        <w:rPr>
          <w:b/>
          <w:bCs/>
        </w:rPr>
      </w:pPr>
      <w:r w:rsidRPr="0032299D">
        <w:rPr>
          <w:b/>
          <w:bCs/>
        </w:rPr>
        <w:t xml:space="preserve">Tabel 4. </w:t>
      </w:r>
      <w:r w:rsidR="0008538E" w:rsidRPr="0032299D">
        <w:rPr>
          <w:b/>
          <w:bCs/>
        </w:rPr>
        <w:t>Hasil Uji Normalitas</w:t>
      </w:r>
    </w:p>
    <w:tbl>
      <w:tblPr>
        <w:tblStyle w:val="GridTable1Light"/>
        <w:tblW w:w="0" w:type="auto"/>
        <w:jc w:val="center"/>
        <w:tblLook w:val="04A0" w:firstRow="1" w:lastRow="0" w:firstColumn="1" w:lastColumn="0" w:noHBand="0" w:noVBand="1"/>
      </w:tblPr>
      <w:tblGrid>
        <w:gridCol w:w="3412"/>
        <w:gridCol w:w="1439"/>
        <w:gridCol w:w="938"/>
        <w:gridCol w:w="400"/>
        <w:gridCol w:w="656"/>
        <w:gridCol w:w="2171"/>
      </w:tblGrid>
      <w:tr w:rsidR="006F7B33" w:rsidRPr="0032299D" w14:paraId="76959CE7" w14:textId="77777777" w:rsidTr="0090358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6"/>
            <w:hideMark/>
          </w:tcPr>
          <w:p w14:paraId="7D99210B" w14:textId="77777777" w:rsidR="006F7B33" w:rsidRPr="0032299D" w:rsidRDefault="006F7B33" w:rsidP="00903585">
            <w:pPr>
              <w:pStyle w:val="Default"/>
              <w:jc w:val="center"/>
              <w:rPr>
                <w:i/>
                <w:iCs/>
                <w:color w:val="auto"/>
                <w:sz w:val="22"/>
                <w:szCs w:val="22"/>
              </w:rPr>
            </w:pPr>
            <w:r w:rsidRPr="0032299D">
              <w:rPr>
                <w:i/>
                <w:iCs/>
                <w:color w:val="auto"/>
                <w:sz w:val="22"/>
                <w:szCs w:val="22"/>
              </w:rPr>
              <w:t>Shapiro-Wilk</w:t>
            </w:r>
          </w:p>
        </w:tc>
      </w:tr>
      <w:tr w:rsidR="006F7B33" w:rsidRPr="0032299D" w14:paraId="2F023384"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B13823" w14:textId="77777777" w:rsidR="006F7B33" w:rsidRPr="0032299D" w:rsidRDefault="006F7B33" w:rsidP="00903585">
            <w:pPr>
              <w:pStyle w:val="Default"/>
              <w:rPr>
                <w:color w:val="auto"/>
                <w:sz w:val="22"/>
                <w:szCs w:val="22"/>
              </w:rPr>
            </w:pPr>
            <w:r w:rsidRPr="0032299D">
              <w:rPr>
                <w:color w:val="auto"/>
                <w:sz w:val="22"/>
                <w:szCs w:val="22"/>
              </w:rPr>
              <w:t>Rasio Keuangan</w:t>
            </w:r>
          </w:p>
        </w:tc>
        <w:tc>
          <w:tcPr>
            <w:tcW w:w="0" w:type="auto"/>
            <w:vAlign w:val="center"/>
            <w:hideMark/>
          </w:tcPr>
          <w:p w14:paraId="7DC3780B" w14:textId="77777777" w:rsidR="006F7B33" w:rsidRPr="00B7701C" w:rsidRDefault="006F7B33" w:rsidP="00B7701C">
            <w:pPr>
              <w:pStyle w:val="Default"/>
              <w:jc w:val="center"/>
              <w:cnfStyle w:val="000000000000" w:firstRow="0" w:lastRow="0" w:firstColumn="0" w:lastColumn="0" w:oddVBand="0" w:evenVBand="0" w:oddHBand="0" w:evenHBand="0" w:firstRowFirstColumn="0" w:firstRowLastColumn="0" w:lastRowFirstColumn="0" w:lastRowLastColumn="0"/>
              <w:rPr>
                <w:b/>
                <w:bCs/>
                <w:color w:val="auto"/>
                <w:sz w:val="22"/>
                <w:szCs w:val="22"/>
              </w:rPr>
            </w:pPr>
            <w:r w:rsidRPr="00B7701C">
              <w:rPr>
                <w:b/>
                <w:bCs/>
                <w:color w:val="auto"/>
                <w:sz w:val="22"/>
                <w:szCs w:val="22"/>
              </w:rPr>
              <w:t>Jenis bank</w:t>
            </w:r>
          </w:p>
        </w:tc>
        <w:tc>
          <w:tcPr>
            <w:tcW w:w="0" w:type="auto"/>
            <w:vAlign w:val="center"/>
            <w:hideMark/>
          </w:tcPr>
          <w:p w14:paraId="4EE13C53" w14:textId="77777777" w:rsidR="006F7B33" w:rsidRPr="00B7701C" w:rsidRDefault="006F7B33" w:rsidP="00B7701C">
            <w:pPr>
              <w:pStyle w:val="Default"/>
              <w:jc w:val="center"/>
              <w:cnfStyle w:val="000000000000" w:firstRow="0" w:lastRow="0" w:firstColumn="0" w:lastColumn="0" w:oddVBand="0" w:evenVBand="0" w:oddHBand="0" w:evenHBand="0" w:firstRowFirstColumn="0" w:firstRowLastColumn="0" w:lastRowFirstColumn="0" w:lastRowLastColumn="0"/>
              <w:rPr>
                <w:b/>
                <w:bCs/>
                <w:i/>
                <w:iCs/>
                <w:color w:val="auto"/>
                <w:sz w:val="22"/>
                <w:szCs w:val="22"/>
              </w:rPr>
            </w:pPr>
            <w:r w:rsidRPr="00B7701C">
              <w:rPr>
                <w:b/>
                <w:bCs/>
                <w:i/>
                <w:iCs/>
                <w:color w:val="auto"/>
                <w:sz w:val="22"/>
                <w:szCs w:val="22"/>
              </w:rPr>
              <w:t>Statistic</w:t>
            </w:r>
          </w:p>
        </w:tc>
        <w:tc>
          <w:tcPr>
            <w:tcW w:w="0" w:type="auto"/>
            <w:vAlign w:val="center"/>
            <w:hideMark/>
          </w:tcPr>
          <w:p w14:paraId="31D41F95" w14:textId="77777777" w:rsidR="006F7B33" w:rsidRPr="00B7701C" w:rsidRDefault="006F7B33" w:rsidP="00B7701C">
            <w:pPr>
              <w:pStyle w:val="Default"/>
              <w:jc w:val="center"/>
              <w:cnfStyle w:val="000000000000" w:firstRow="0" w:lastRow="0" w:firstColumn="0" w:lastColumn="0" w:oddVBand="0" w:evenVBand="0" w:oddHBand="0" w:evenHBand="0" w:firstRowFirstColumn="0" w:firstRowLastColumn="0" w:lastRowFirstColumn="0" w:lastRowLastColumn="0"/>
              <w:rPr>
                <w:b/>
                <w:bCs/>
                <w:i/>
                <w:iCs/>
                <w:color w:val="auto"/>
                <w:sz w:val="22"/>
                <w:szCs w:val="22"/>
              </w:rPr>
            </w:pPr>
            <w:r w:rsidRPr="00B7701C">
              <w:rPr>
                <w:b/>
                <w:bCs/>
                <w:i/>
                <w:iCs/>
                <w:color w:val="auto"/>
                <w:sz w:val="22"/>
                <w:szCs w:val="22"/>
              </w:rPr>
              <w:t>df</w:t>
            </w:r>
          </w:p>
        </w:tc>
        <w:tc>
          <w:tcPr>
            <w:tcW w:w="0" w:type="auto"/>
            <w:vAlign w:val="center"/>
            <w:hideMark/>
          </w:tcPr>
          <w:p w14:paraId="31CC7265" w14:textId="77777777" w:rsidR="006F7B33" w:rsidRPr="00B7701C" w:rsidRDefault="006F7B33" w:rsidP="00B7701C">
            <w:pPr>
              <w:pStyle w:val="Default"/>
              <w:jc w:val="center"/>
              <w:cnfStyle w:val="000000000000" w:firstRow="0" w:lastRow="0" w:firstColumn="0" w:lastColumn="0" w:oddVBand="0" w:evenVBand="0" w:oddHBand="0" w:evenHBand="0" w:firstRowFirstColumn="0" w:firstRowLastColumn="0" w:lastRowFirstColumn="0" w:lastRowLastColumn="0"/>
              <w:rPr>
                <w:b/>
                <w:bCs/>
                <w:i/>
                <w:iCs/>
                <w:color w:val="auto"/>
                <w:sz w:val="22"/>
                <w:szCs w:val="22"/>
              </w:rPr>
            </w:pPr>
            <w:r w:rsidRPr="00B7701C">
              <w:rPr>
                <w:b/>
                <w:bCs/>
                <w:i/>
                <w:iCs/>
                <w:color w:val="auto"/>
                <w:sz w:val="22"/>
                <w:szCs w:val="22"/>
              </w:rPr>
              <w:t>Sig.</w:t>
            </w:r>
          </w:p>
        </w:tc>
        <w:tc>
          <w:tcPr>
            <w:tcW w:w="0" w:type="auto"/>
            <w:vAlign w:val="center"/>
            <w:hideMark/>
          </w:tcPr>
          <w:p w14:paraId="0B4D4950" w14:textId="77777777" w:rsidR="006F7B33" w:rsidRPr="00B7701C" w:rsidRDefault="006F7B33" w:rsidP="00B7701C">
            <w:pPr>
              <w:pStyle w:val="Default"/>
              <w:jc w:val="center"/>
              <w:cnfStyle w:val="000000000000" w:firstRow="0" w:lastRow="0" w:firstColumn="0" w:lastColumn="0" w:oddVBand="0" w:evenVBand="0" w:oddHBand="0" w:evenHBand="0" w:firstRowFirstColumn="0" w:firstRowLastColumn="0" w:lastRowFirstColumn="0" w:lastRowLastColumn="0"/>
              <w:rPr>
                <w:b/>
                <w:bCs/>
                <w:color w:val="auto"/>
                <w:sz w:val="22"/>
                <w:szCs w:val="22"/>
              </w:rPr>
            </w:pPr>
            <w:r w:rsidRPr="00B7701C">
              <w:rPr>
                <w:b/>
                <w:bCs/>
                <w:color w:val="auto"/>
                <w:sz w:val="22"/>
                <w:szCs w:val="22"/>
              </w:rPr>
              <w:t>Keterangan</w:t>
            </w:r>
          </w:p>
        </w:tc>
      </w:tr>
      <w:tr w:rsidR="006F7B33" w:rsidRPr="0032299D" w14:paraId="4C81190D"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7F244D" w14:textId="77777777" w:rsidR="006F7B33" w:rsidRPr="0032299D" w:rsidRDefault="006F7B33" w:rsidP="00903585">
            <w:pPr>
              <w:pStyle w:val="Default"/>
              <w:rPr>
                <w:b w:val="0"/>
                <w:bCs w:val="0"/>
                <w:i/>
                <w:iCs/>
                <w:color w:val="auto"/>
                <w:sz w:val="22"/>
                <w:szCs w:val="22"/>
              </w:rPr>
            </w:pPr>
            <w:r w:rsidRPr="0032299D">
              <w:rPr>
                <w:b w:val="0"/>
                <w:bCs w:val="0"/>
                <w:i/>
                <w:iCs/>
                <w:color w:val="auto"/>
                <w:sz w:val="22"/>
                <w:szCs w:val="22"/>
              </w:rPr>
              <w:t>Return on asset</w:t>
            </w:r>
          </w:p>
        </w:tc>
        <w:tc>
          <w:tcPr>
            <w:tcW w:w="0" w:type="auto"/>
            <w:vAlign w:val="center"/>
            <w:hideMark/>
          </w:tcPr>
          <w:p w14:paraId="62A04D2D"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Konvensional</w:t>
            </w:r>
          </w:p>
        </w:tc>
        <w:tc>
          <w:tcPr>
            <w:tcW w:w="0" w:type="auto"/>
            <w:vAlign w:val="center"/>
            <w:hideMark/>
          </w:tcPr>
          <w:p w14:paraId="3ABDA1D3"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,773</w:t>
            </w:r>
          </w:p>
        </w:tc>
        <w:tc>
          <w:tcPr>
            <w:tcW w:w="0" w:type="auto"/>
            <w:vAlign w:val="center"/>
            <w:hideMark/>
          </w:tcPr>
          <w:p w14:paraId="17F5EA68"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vAlign w:val="center"/>
            <w:hideMark/>
          </w:tcPr>
          <w:p w14:paraId="502E4796"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,022</w:t>
            </w:r>
          </w:p>
        </w:tc>
        <w:tc>
          <w:tcPr>
            <w:tcW w:w="0" w:type="auto"/>
            <w:vAlign w:val="center"/>
            <w:hideMark/>
          </w:tcPr>
          <w:p w14:paraId="1A7D1AFD"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Tidak berdistribusi normal</w:t>
            </w:r>
          </w:p>
        </w:tc>
      </w:tr>
      <w:tr w:rsidR="006F7B33" w:rsidRPr="0032299D" w14:paraId="53AC209B"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AAE9F5" w14:textId="77777777" w:rsidR="006F7B33" w:rsidRPr="0032299D" w:rsidRDefault="006F7B33" w:rsidP="00903585">
            <w:pPr>
              <w:pStyle w:val="Default"/>
              <w:rPr>
                <w:b w:val="0"/>
                <w:bCs w:val="0"/>
                <w:color w:val="auto"/>
                <w:sz w:val="22"/>
                <w:szCs w:val="22"/>
              </w:rPr>
            </w:pPr>
          </w:p>
        </w:tc>
        <w:tc>
          <w:tcPr>
            <w:tcW w:w="0" w:type="auto"/>
            <w:vAlign w:val="center"/>
            <w:hideMark/>
          </w:tcPr>
          <w:p w14:paraId="2ADE1480"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Syariah</w:t>
            </w:r>
          </w:p>
        </w:tc>
        <w:tc>
          <w:tcPr>
            <w:tcW w:w="0" w:type="auto"/>
            <w:vAlign w:val="center"/>
            <w:hideMark/>
          </w:tcPr>
          <w:p w14:paraId="24C54AB1"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,835</w:t>
            </w:r>
          </w:p>
        </w:tc>
        <w:tc>
          <w:tcPr>
            <w:tcW w:w="0" w:type="auto"/>
            <w:vAlign w:val="center"/>
            <w:hideMark/>
          </w:tcPr>
          <w:p w14:paraId="3FCF3A1F"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vAlign w:val="center"/>
            <w:hideMark/>
          </w:tcPr>
          <w:p w14:paraId="0BF59E97"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,089</w:t>
            </w:r>
          </w:p>
        </w:tc>
        <w:tc>
          <w:tcPr>
            <w:tcW w:w="0" w:type="auto"/>
            <w:vAlign w:val="center"/>
            <w:hideMark/>
          </w:tcPr>
          <w:p w14:paraId="68D1CCD6"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Berdistribusi normal</w:t>
            </w:r>
          </w:p>
        </w:tc>
      </w:tr>
      <w:tr w:rsidR="006F7B33" w:rsidRPr="0032299D" w14:paraId="69F01B5A"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D6BC59C" w14:textId="77777777" w:rsidR="006F7B33" w:rsidRPr="0032299D" w:rsidRDefault="006F7B33" w:rsidP="00903585">
            <w:pPr>
              <w:pStyle w:val="Default"/>
              <w:rPr>
                <w:b w:val="0"/>
                <w:bCs w:val="0"/>
                <w:i/>
                <w:iCs/>
                <w:color w:val="auto"/>
                <w:sz w:val="22"/>
                <w:szCs w:val="22"/>
              </w:rPr>
            </w:pPr>
            <w:r w:rsidRPr="0032299D">
              <w:rPr>
                <w:b w:val="0"/>
                <w:bCs w:val="0"/>
                <w:i/>
                <w:iCs/>
                <w:color w:val="auto"/>
                <w:sz w:val="22"/>
                <w:szCs w:val="22"/>
              </w:rPr>
              <w:lastRenderedPageBreak/>
              <w:t>Return on equity</w:t>
            </w:r>
          </w:p>
        </w:tc>
        <w:tc>
          <w:tcPr>
            <w:tcW w:w="0" w:type="auto"/>
            <w:vAlign w:val="center"/>
            <w:hideMark/>
          </w:tcPr>
          <w:p w14:paraId="7A88A957"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Konvensional</w:t>
            </w:r>
          </w:p>
        </w:tc>
        <w:tc>
          <w:tcPr>
            <w:tcW w:w="0" w:type="auto"/>
            <w:vAlign w:val="center"/>
            <w:hideMark/>
          </w:tcPr>
          <w:p w14:paraId="67D56D3B"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,934</w:t>
            </w:r>
          </w:p>
        </w:tc>
        <w:tc>
          <w:tcPr>
            <w:tcW w:w="0" w:type="auto"/>
            <w:vAlign w:val="center"/>
            <w:hideMark/>
          </w:tcPr>
          <w:p w14:paraId="01CC6FBE"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vAlign w:val="center"/>
            <w:hideMark/>
          </w:tcPr>
          <w:p w14:paraId="1AE77071"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,589</w:t>
            </w:r>
          </w:p>
        </w:tc>
        <w:tc>
          <w:tcPr>
            <w:tcW w:w="0" w:type="auto"/>
            <w:vAlign w:val="center"/>
            <w:hideMark/>
          </w:tcPr>
          <w:p w14:paraId="3BD15D2B"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Berdistribusi normal</w:t>
            </w:r>
          </w:p>
        </w:tc>
      </w:tr>
      <w:tr w:rsidR="006F7B33" w:rsidRPr="0032299D" w14:paraId="3B9A29C1"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B5638A4" w14:textId="77777777" w:rsidR="006F7B33" w:rsidRPr="0032299D" w:rsidRDefault="006F7B33" w:rsidP="00903585">
            <w:pPr>
              <w:pStyle w:val="Default"/>
              <w:rPr>
                <w:b w:val="0"/>
                <w:bCs w:val="0"/>
                <w:color w:val="auto"/>
                <w:sz w:val="22"/>
                <w:szCs w:val="22"/>
              </w:rPr>
            </w:pPr>
          </w:p>
        </w:tc>
        <w:tc>
          <w:tcPr>
            <w:tcW w:w="0" w:type="auto"/>
            <w:vAlign w:val="center"/>
            <w:hideMark/>
          </w:tcPr>
          <w:p w14:paraId="75C7C976"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Syariah</w:t>
            </w:r>
          </w:p>
        </w:tc>
        <w:tc>
          <w:tcPr>
            <w:tcW w:w="0" w:type="auto"/>
            <w:vAlign w:val="center"/>
            <w:hideMark/>
          </w:tcPr>
          <w:p w14:paraId="0C88A490"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,806</w:t>
            </w:r>
          </w:p>
        </w:tc>
        <w:tc>
          <w:tcPr>
            <w:tcW w:w="0" w:type="auto"/>
            <w:vAlign w:val="center"/>
            <w:hideMark/>
          </w:tcPr>
          <w:p w14:paraId="711DE2FB"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vAlign w:val="center"/>
            <w:hideMark/>
          </w:tcPr>
          <w:p w14:paraId="229999A4"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,0,46</w:t>
            </w:r>
          </w:p>
        </w:tc>
        <w:tc>
          <w:tcPr>
            <w:tcW w:w="0" w:type="auto"/>
            <w:vAlign w:val="center"/>
            <w:hideMark/>
          </w:tcPr>
          <w:p w14:paraId="79A7F620"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Tidak berdistribusi normal</w:t>
            </w:r>
          </w:p>
        </w:tc>
      </w:tr>
      <w:tr w:rsidR="006F7B33" w:rsidRPr="0032299D" w14:paraId="5997DB2E"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409BF8" w14:textId="77777777" w:rsidR="006F7B33" w:rsidRPr="0032299D" w:rsidRDefault="006F7B33" w:rsidP="00903585">
            <w:pPr>
              <w:pStyle w:val="Default"/>
              <w:rPr>
                <w:b w:val="0"/>
                <w:bCs w:val="0"/>
                <w:color w:val="auto"/>
                <w:sz w:val="22"/>
                <w:szCs w:val="22"/>
              </w:rPr>
            </w:pPr>
            <w:r w:rsidRPr="0032299D">
              <w:rPr>
                <w:b w:val="0"/>
                <w:bCs w:val="0"/>
                <w:color w:val="auto"/>
                <w:sz w:val="22"/>
                <w:szCs w:val="22"/>
              </w:rPr>
              <w:t>NPF (syariah), NPL (konvensional)</w:t>
            </w:r>
          </w:p>
        </w:tc>
        <w:tc>
          <w:tcPr>
            <w:tcW w:w="0" w:type="auto"/>
            <w:vAlign w:val="center"/>
            <w:hideMark/>
          </w:tcPr>
          <w:p w14:paraId="5DAC3E2D"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Konvensional</w:t>
            </w:r>
          </w:p>
        </w:tc>
        <w:tc>
          <w:tcPr>
            <w:tcW w:w="0" w:type="auto"/>
            <w:vAlign w:val="center"/>
            <w:hideMark/>
          </w:tcPr>
          <w:p w14:paraId="33DA3052"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,890</w:t>
            </w:r>
          </w:p>
        </w:tc>
        <w:tc>
          <w:tcPr>
            <w:tcW w:w="0" w:type="auto"/>
            <w:vAlign w:val="center"/>
            <w:hideMark/>
          </w:tcPr>
          <w:p w14:paraId="547C89D0"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vAlign w:val="center"/>
            <w:hideMark/>
          </w:tcPr>
          <w:p w14:paraId="48BFCA1A"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,275</w:t>
            </w:r>
          </w:p>
        </w:tc>
        <w:tc>
          <w:tcPr>
            <w:tcW w:w="0" w:type="auto"/>
            <w:vAlign w:val="center"/>
            <w:hideMark/>
          </w:tcPr>
          <w:p w14:paraId="00B9239C"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Berdistribusi normal</w:t>
            </w:r>
          </w:p>
        </w:tc>
      </w:tr>
      <w:tr w:rsidR="006F7B33" w:rsidRPr="0032299D" w14:paraId="384D1BC1"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C066CE" w14:textId="77777777" w:rsidR="006F7B33" w:rsidRPr="0032299D" w:rsidRDefault="006F7B33" w:rsidP="00903585">
            <w:pPr>
              <w:pStyle w:val="Default"/>
              <w:rPr>
                <w:b w:val="0"/>
                <w:bCs w:val="0"/>
                <w:color w:val="auto"/>
                <w:sz w:val="22"/>
                <w:szCs w:val="22"/>
              </w:rPr>
            </w:pPr>
          </w:p>
        </w:tc>
        <w:tc>
          <w:tcPr>
            <w:tcW w:w="0" w:type="auto"/>
            <w:vAlign w:val="center"/>
            <w:hideMark/>
          </w:tcPr>
          <w:p w14:paraId="3D34ABC7"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Syariah</w:t>
            </w:r>
          </w:p>
        </w:tc>
        <w:tc>
          <w:tcPr>
            <w:tcW w:w="0" w:type="auto"/>
            <w:vAlign w:val="center"/>
            <w:hideMark/>
          </w:tcPr>
          <w:p w14:paraId="28AEBAF3"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,945</w:t>
            </w:r>
          </w:p>
        </w:tc>
        <w:tc>
          <w:tcPr>
            <w:tcW w:w="0" w:type="auto"/>
            <w:vAlign w:val="center"/>
            <w:hideMark/>
          </w:tcPr>
          <w:p w14:paraId="5246C4F5"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vAlign w:val="center"/>
            <w:hideMark/>
          </w:tcPr>
          <w:p w14:paraId="7FFECC2F"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,686</w:t>
            </w:r>
          </w:p>
        </w:tc>
        <w:tc>
          <w:tcPr>
            <w:tcW w:w="0" w:type="auto"/>
            <w:vAlign w:val="center"/>
            <w:hideMark/>
          </w:tcPr>
          <w:p w14:paraId="6CEC1777"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Berdistribusi normal</w:t>
            </w:r>
          </w:p>
        </w:tc>
      </w:tr>
      <w:tr w:rsidR="006F7B33" w:rsidRPr="0032299D" w14:paraId="561A4851"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12E87C5" w14:textId="77777777" w:rsidR="006F7B33" w:rsidRPr="0032299D" w:rsidRDefault="006F7B33" w:rsidP="00903585">
            <w:pPr>
              <w:pStyle w:val="Default"/>
              <w:rPr>
                <w:b w:val="0"/>
                <w:bCs w:val="0"/>
                <w:color w:val="auto"/>
                <w:sz w:val="22"/>
                <w:szCs w:val="22"/>
              </w:rPr>
            </w:pPr>
            <w:r w:rsidRPr="0032299D">
              <w:rPr>
                <w:b w:val="0"/>
                <w:bCs w:val="0"/>
                <w:color w:val="auto"/>
                <w:sz w:val="22"/>
                <w:szCs w:val="22"/>
              </w:rPr>
              <w:t>FDR (syariah), LDR (konvensional)</w:t>
            </w:r>
          </w:p>
        </w:tc>
        <w:tc>
          <w:tcPr>
            <w:tcW w:w="0" w:type="auto"/>
            <w:vAlign w:val="center"/>
            <w:hideMark/>
          </w:tcPr>
          <w:p w14:paraId="711B3D12"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Konvensional</w:t>
            </w:r>
          </w:p>
        </w:tc>
        <w:tc>
          <w:tcPr>
            <w:tcW w:w="0" w:type="auto"/>
            <w:vAlign w:val="center"/>
            <w:hideMark/>
          </w:tcPr>
          <w:p w14:paraId="3D02D7B2"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,946</w:t>
            </w:r>
          </w:p>
        </w:tc>
        <w:tc>
          <w:tcPr>
            <w:tcW w:w="0" w:type="auto"/>
            <w:vAlign w:val="center"/>
            <w:hideMark/>
          </w:tcPr>
          <w:p w14:paraId="3119AC4B"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vAlign w:val="center"/>
            <w:hideMark/>
          </w:tcPr>
          <w:p w14:paraId="40F390EA"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,693</w:t>
            </w:r>
          </w:p>
        </w:tc>
        <w:tc>
          <w:tcPr>
            <w:tcW w:w="0" w:type="auto"/>
            <w:vAlign w:val="center"/>
            <w:hideMark/>
          </w:tcPr>
          <w:p w14:paraId="5B0B286A"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Berdistribusi normal</w:t>
            </w:r>
          </w:p>
        </w:tc>
      </w:tr>
      <w:tr w:rsidR="006F7B33" w:rsidRPr="0032299D" w14:paraId="7CF0EC80"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9553526" w14:textId="77777777" w:rsidR="006F7B33" w:rsidRPr="0032299D" w:rsidRDefault="006F7B33" w:rsidP="00903585">
            <w:pPr>
              <w:pStyle w:val="Default"/>
              <w:rPr>
                <w:b w:val="0"/>
                <w:bCs w:val="0"/>
                <w:color w:val="auto"/>
                <w:sz w:val="22"/>
                <w:szCs w:val="22"/>
              </w:rPr>
            </w:pPr>
          </w:p>
        </w:tc>
        <w:tc>
          <w:tcPr>
            <w:tcW w:w="0" w:type="auto"/>
            <w:vAlign w:val="center"/>
            <w:hideMark/>
          </w:tcPr>
          <w:p w14:paraId="64E4D7F5"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Syariah</w:t>
            </w:r>
          </w:p>
        </w:tc>
        <w:tc>
          <w:tcPr>
            <w:tcW w:w="0" w:type="auto"/>
            <w:vAlign w:val="center"/>
            <w:hideMark/>
          </w:tcPr>
          <w:p w14:paraId="3A3DB416"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,886</w:t>
            </w:r>
          </w:p>
        </w:tc>
        <w:tc>
          <w:tcPr>
            <w:tcW w:w="0" w:type="auto"/>
            <w:vAlign w:val="center"/>
            <w:hideMark/>
          </w:tcPr>
          <w:p w14:paraId="6C3280EA"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vAlign w:val="center"/>
            <w:hideMark/>
          </w:tcPr>
          <w:p w14:paraId="68887170"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,256</w:t>
            </w:r>
          </w:p>
        </w:tc>
        <w:tc>
          <w:tcPr>
            <w:tcW w:w="0" w:type="auto"/>
            <w:vAlign w:val="center"/>
            <w:hideMark/>
          </w:tcPr>
          <w:p w14:paraId="5574CD32"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Berdistribusi normal</w:t>
            </w:r>
          </w:p>
        </w:tc>
      </w:tr>
      <w:tr w:rsidR="006F7B33" w:rsidRPr="0032299D" w14:paraId="65D63536"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ADD593" w14:textId="77777777" w:rsidR="006F7B33" w:rsidRPr="0032299D" w:rsidRDefault="006F7B33" w:rsidP="00903585">
            <w:pPr>
              <w:pStyle w:val="Default"/>
              <w:rPr>
                <w:b w:val="0"/>
                <w:bCs w:val="0"/>
                <w:color w:val="auto"/>
                <w:sz w:val="22"/>
                <w:szCs w:val="22"/>
              </w:rPr>
            </w:pPr>
            <w:r w:rsidRPr="0032299D">
              <w:rPr>
                <w:b w:val="0"/>
                <w:bCs w:val="0"/>
                <w:color w:val="auto"/>
                <w:sz w:val="22"/>
                <w:szCs w:val="22"/>
              </w:rPr>
              <w:t>Beban operasional thd pendapatan operasional</w:t>
            </w:r>
          </w:p>
        </w:tc>
        <w:tc>
          <w:tcPr>
            <w:tcW w:w="0" w:type="auto"/>
            <w:vAlign w:val="center"/>
            <w:hideMark/>
          </w:tcPr>
          <w:p w14:paraId="44E7319B"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Konvensional</w:t>
            </w:r>
          </w:p>
        </w:tc>
        <w:tc>
          <w:tcPr>
            <w:tcW w:w="0" w:type="auto"/>
            <w:vAlign w:val="center"/>
            <w:hideMark/>
          </w:tcPr>
          <w:p w14:paraId="7466F2E7"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,951</w:t>
            </w:r>
          </w:p>
        </w:tc>
        <w:tc>
          <w:tcPr>
            <w:tcW w:w="0" w:type="auto"/>
            <w:vAlign w:val="center"/>
            <w:hideMark/>
          </w:tcPr>
          <w:p w14:paraId="2C8181D4"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vAlign w:val="center"/>
            <w:hideMark/>
          </w:tcPr>
          <w:p w14:paraId="7F5E69DE"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,737</w:t>
            </w:r>
          </w:p>
        </w:tc>
        <w:tc>
          <w:tcPr>
            <w:tcW w:w="0" w:type="auto"/>
            <w:vAlign w:val="center"/>
            <w:hideMark/>
          </w:tcPr>
          <w:p w14:paraId="64107144"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Berdistribusi normal</w:t>
            </w:r>
          </w:p>
        </w:tc>
      </w:tr>
      <w:tr w:rsidR="006F7B33" w:rsidRPr="0032299D" w14:paraId="6A837E5B" w14:textId="77777777" w:rsidTr="00903585">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5C44DF4" w14:textId="77777777" w:rsidR="006F7B33" w:rsidRPr="0032299D" w:rsidRDefault="006F7B33" w:rsidP="00903585">
            <w:pPr>
              <w:pStyle w:val="Default"/>
              <w:rPr>
                <w:color w:val="auto"/>
                <w:sz w:val="22"/>
                <w:szCs w:val="22"/>
              </w:rPr>
            </w:pPr>
          </w:p>
        </w:tc>
        <w:tc>
          <w:tcPr>
            <w:tcW w:w="0" w:type="auto"/>
            <w:vAlign w:val="center"/>
            <w:hideMark/>
          </w:tcPr>
          <w:p w14:paraId="36EF74B7"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Syariah</w:t>
            </w:r>
          </w:p>
        </w:tc>
        <w:tc>
          <w:tcPr>
            <w:tcW w:w="0" w:type="auto"/>
            <w:vAlign w:val="center"/>
            <w:hideMark/>
          </w:tcPr>
          <w:p w14:paraId="1B5D599D"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,920</w:t>
            </w:r>
          </w:p>
        </w:tc>
        <w:tc>
          <w:tcPr>
            <w:tcW w:w="0" w:type="auto"/>
            <w:vAlign w:val="center"/>
            <w:hideMark/>
          </w:tcPr>
          <w:p w14:paraId="67439A4C"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w:t>
            </w:r>
          </w:p>
        </w:tc>
        <w:tc>
          <w:tcPr>
            <w:tcW w:w="0" w:type="auto"/>
            <w:vAlign w:val="center"/>
            <w:hideMark/>
          </w:tcPr>
          <w:p w14:paraId="278353A4"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,471</w:t>
            </w:r>
          </w:p>
        </w:tc>
        <w:tc>
          <w:tcPr>
            <w:tcW w:w="0" w:type="auto"/>
            <w:vAlign w:val="center"/>
            <w:hideMark/>
          </w:tcPr>
          <w:p w14:paraId="742C81FB" w14:textId="77777777" w:rsidR="006F7B33" w:rsidRPr="0032299D" w:rsidRDefault="006F7B33" w:rsidP="00903585">
            <w:pPr>
              <w:pStyle w:val="Default"/>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Berdistribusi normal</w:t>
            </w:r>
          </w:p>
        </w:tc>
      </w:tr>
    </w:tbl>
    <w:p w14:paraId="3A317DE2" w14:textId="6AA165CA" w:rsidR="006F7B33" w:rsidRPr="0032299D" w:rsidRDefault="006F7B33" w:rsidP="00921D9A">
      <w:pPr>
        <w:pStyle w:val="Default"/>
        <w:jc w:val="both"/>
        <w:rPr>
          <w:sz w:val="22"/>
          <w:szCs w:val="22"/>
        </w:rPr>
      </w:pPr>
      <w:r w:rsidRPr="00B7701C">
        <w:rPr>
          <w:i/>
          <w:iCs/>
          <w:sz w:val="22"/>
          <w:szCs w:val="22"/>
        </w:rPr>
        <w:t>Sumber:  Output 27 SPSS yang telah diolah</w:t>
      </w:r>
      <w:r w:rsidRPr="0032299D">
        <w:rPr>
          <w:sz w:val="22"/>
          <w:szCs w:val="22"/>
        </w:rPr>
        <w:t>.</w:t>
      </w:r>
    </w:p>
    <w:p w14:paraId="21B046AD" w14:textId="77777777" w:rsidR="001902F3" w:rsidRPr="0032299D" w:rsidRDefault="001902F3" w:rsidP="00921D9A">
      <w:pPr>
        <w:pStyle w:val="Default"/>
        <w:jc w:val="both"/>
        <w:rPr>
          <w:sz w:val="22"/>
          <w:szCs w:val="22"/>
        </w:rPr>
      </w:pPr>
    </w:p>
    <w:p w14:paraId="1BDBA7D0" w14:textId="5BBD250D" w:rsidR="006F7B33" w:rsidRPr="0032299D" w:rsidRDefault="009924E7" w:rsidP="009924E7">
      <w:pPr>
        <w:pStyle w:val="Default"/>
        <w:tabs>
          <w:tab w:val="left" w:pos="426"/>
        </w:tabs>
        <w:jc w:val="both"/>
      </w:pPr>
      <w:r w:rsidRPr="0032299D">
        <w:tab/>
      </w:r>
      <w:r w:rsidR="006F7B33" w:rsidRPr="0032299D">
        <w:t xml:space="preserve">Berdasarkan uji normalitas diatas, bahwa sebagian besar rasio kinerja keuangan bank syariah dan bank konvensional memenuhi asumsi normalitas. Hanya ada dua indikator yang menyimpang, yaitu ROA pada bank konvensional dan ROE pada bank syariah, yang dinyatakan tidak berdistribusi normal. Karena adanya indikator yang tidak normal, maka penelitian akan menggunakan uji </w:t>
      </w:r>
      <w:r w:rsidR="006F7B33" w:rsidRPr="0032299D">
        <w:rPr>
          <w:i/>
          <w:iCs/>
        </w:rPr>
        <w:t>non-parametrik</w:t>
      </w:r>
      <w:r w:rsidR="006F7B33" w:rsidRPr="0032299D">
        <w:t xml:space="preserve"> yaitu uji </w:t>
      </w:r>
      <w:r w:rsidR="006F7B33" w:rsidRPr="0032299D">
        <w:rPr>
          <w:i/>
          <w:iCs/>
        </w:rPr>
        <w:t>Mann-Whitney U Test</w:t>
      </w:r>
      <w:r w:rsidR="006F7B33" w:rsidRPr="0032299D">
        <w:t xml:space="preserve"> sebagai alat untuk membandingkan kinerja keuangan antar dua jenis bank.</w:t>
      </w:r>
    </w:p>
    <w:p w14:paraId="54C19248" w14:textId="77777777" w:rsidR="006F7B33" w:rsidRPr="0032299D" w:rsidRDefault="006F7B33" w:rsidP="00921D9A">
      <w:pPr>
        <w:pStyle w:val="Default"/>
        <w:jc w:val="both"/>
      </w:pPr>
    </w:p>
    <w:p w14:paraId="2DC239FC" w14:textId="31603129" w:rsidR="006F7B33" w:rsidRPr="0032299D" w:rsidRDefault="006F7B33" w:rsidP="00EB01A4">
      <w:pPr>
        <w:pStyle w:val="Default"/>
        <w:jc w:val="center"/>
        <w:rPr>
          <w:b/>
          <w:bCs/>
        </w:rPr>
      </w:pPr>
      <w:r w:rsidRPr="0032299D">
        <w:rPr>
          <w:b/>
          <w:bCs/>
        </w:rPr>
        <w:t xml:space="preserve">Tabel </w:t>
      </w:r>
      <w:r w:rsidR="00903585" w:rsidRPr="0032299D">
        <w:rPr>
          <w:b/>
          <w:bCs/>
        </w:rPr>
        <w:t>5</w:t>
      </w:r>
      <w:r w:rsidRPr="0032299D">
        <w:rPr>
          <w:b/>
          <w:bCs/>
        </w:rPr>
        <w:t xml:space="preserve">. Hasil </w:t>
      </w:r>
      <w:r w:rsidRPr="00B7701C">
        <w:rPr>
          <w:b/>
          <w:bCs/>
        </w:rPr>
        <w:t>Uji</w:t>
      </w:r>
      <w:r w:rsidRPr="0032299D">
        <w:rPr>
          <w:b/>
          <w:bCs/>
          <w:i/>
          <w:iCs/>
        </w:rPr>
        <w:t xml:space="preserve"> Mann-Whitney U Test</w:t>
      </w:r>
    </w:p>
    <w:tbl>
      <w:tblPr>
        <w:tblStyle w:val="GridTable1Light"/>
        <w:tblW w:w="5000" w:type="pct"/>
        <w:jc w:val="center"/>
        <w:tblLook w:val="04A0" w:firstRow="1" w:lastRow="0" w:firstColumn="1" w:lastColumn="0" w:noHBand="0" w:noVBand="1"/>
      </w:tblPr>
      <w:tblGrid>
        <w:gridCol w:w="1822"/>
        <w:gridCol w:w="821"/>
        <w:gridCol w:w="821"/>
        <w:gridCol w:w="2353"/>
        <w:gridCol w:w="2377"/>
        <w:gridCol w:w="822"/>
      </w:tblGrid>
      <w:tr w:rsidR="006F7B33" w:rsidRPr="0032299D" w14:paraId="56D98339" w14:textId="77777777" w:rsidTr="00EB01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6"/>
            <w:hideMark/>
          </w:tcPr>
          <w:p w14:paraId="0F374833" w14:textId="77777777" w:rsidR="006F7B33" w:rsidRPr="0032299D" w:rsidRDefault="006F7B33" w:rsidP="009924E7">
            <w:pPr>
              <w:pStyle w:val="Default"/>
              <w:jc w:val="center"/>
              <w:rPr>
                <w:i/>
                <w:iCs/>
                <w:color w:val="auto"/>
                <w:sz w:val="22"/>
                <w:szCs w:val="22"/>
              </w:rPr>
            </w:pPr>
            <w:r w:rsidRPr="0032299D">
              <w:rPr>
                <w:i/>
                <w:iCs/>
                <w:color w:val="auto"/>
                <w:sz w:val="22"/>
                <w:szCs w:val="22"/>
              </w:rPr>
              <w:t>Test Statistics</w:t>
            </w:r>
          </w:p>
        </w:tc>
      </w:tr>
      <w:tr w:rsidR="006F7B33" w:rsidRPr="0032299D" w14:paraId="5D6A082E" w14:textId="77777777" w:rsidTr="00EB01A4">
        <w:trPr>
          <w:trHeight w:val="257"/>
          <w:jc w:val="center"/>
        </w:trPr>
        <w:tc>
          <w:tcPr>
            <w:cnfStyle w:val="001000000000" w:firstRow="0" w:lastRow="0" w:firstColumn="1" w:lastColumn="0" w:oddVBand="0" w:evenVBand="0" w:oddHBand="0" w:evenHBand="0" w:firstRowFirstColumn="0" w:firstRowLastColumn="0" w:lastRowFirstColumn="0" w:lastRowLastColumn="0"/>
            <w:tcW w:w="1011" w:type="pct"/>
          </w:tcPr>
          <w:p w14:paraId="718C1279" w14:textId="77777777" w:rsidR="006F7B33" w:rsidRPr="0032299D" w:rsidRDefault="006F7B33" w:rsidP="009924E7">
            <w:pPr>
              <w:pStyle w:val="Default"/>
              <w:jc w:val="center"/>
              <w:rPr>
                <w:color w:val="auto"/>
                <w:sz w:val="22"/>
                <w:szCs w:val="22"/>
              </w:rPr>
            </w:pPr>
          </w:p>
        </w:tc>
        <w:tc>
          <w:tcPr>
            <w:tcW w:w="455" w:type="pct"/>
            <w:hideMark/>
          </w:tcPr>
          <w:p w14:paraId="25AD93F6"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ROA</w:t>
            </w:r>
          </w:p>
        </w:tc>
        <w:tc>
          <w:tcPr>
            <w:tcW w:w="455" w:type="pct"/>
            <w:hideMark/>
          </w:tcPr>
          <w:p w14:paraId="0F11FC58"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ROE</w:t>
            </w:r>
          </w:p>
        </w:tc>
        <w:tc>
          <w:tcPr>
            <w:tcW w:w="1305" w:type="pct"/>
            <w:hideMark/>
          </w:tcPr>
          <w:p w14:paraId="400A6362"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NPF (syariah), NPL (konvensional)</w:t>
            </w:r>
          </w:p>
        </w:tc>
        <w:tc>
          <w:tcPr>
            <w:tcW w:w="1318" w:type="pct"/>
            <w:hideMark/>
          </w:tcPr>
          <w:p w14:paraId="69936EE8"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FDR (syariah), LDR (konvensional)</w:t>
            </w:r>
          </w:p>
        </w:tc>
        <w:tc>
          <w:tcPr>
            <w:tcW w:w="455" w:type="pct"/>
            <w:hideMark/>
          </w:tcPr>
          <w:p w14:paraId="58129EFC"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BOPO</w:t>
            </w:r>
          </w:p>
        </w:tc>
      </w:tr>
      <w:tr w:rsidR="006F7B33" w:rsidRPr="0032299D" w14:paraId="0B193C9C" w14:textId="77777777" w:rsidTr="00EB01A4">
        <w:trPr>
          <w:jc w:val="center"/>
        </w:trPr>
        <w:tc>
          <w:tcPr>
            <w:cnfStyle w:val="001000000000" w:firstRow="0" w:lastRow="0" w:firstColumn="1" w:lastColumn="0" w:oddVBand="0" w:evenVBand="0" w:oddHBand="0" w:evenHBand="0" w:firstRowFirstColumn="0" w:firstRowLastColumn="0" w:lastRowFirstColumn="0" w:lastRowLastColumn="0"/>
            <w:tcW w:w="1011" w:type="pct"/>
            <w:hideMark/>
          </w:tcPr>
          <w:p w14:paraId="47C8B65C" w14:textId="77777777" w:rsidR="006F7B33" w:rsidRPr="0032299D" w:rsidRDefault="006F7B33" w:rsidP="009924E7">
            <w:pPr>
              <w:pStyle w:val="Default"/>
              <w:rPr>
                <w:b w:val="0"/>
                <w:bCs w:val="0"/>
                <w:i/>
                <w:iCs/>
                <w:color w:val="auto"/>
                <w:sz w:val="22"/>
                <w:szCs w:val="22"/>
              </w:rPr>
            </w:pPr>
            <w:r w:rsidRPr="0032299D">
              <w:rPr>
                <w:b w:val="0"/>
                <w:bCs w:val="0"/>
                <w:i/>
                <w:iCs/>
                <w:color w:val="auto"/>
                <w:sz w:val="22"/>
                <w:szCs w:val="22"/>
              </w:rPr>
              <w:t>Mann-Whitney U</w:t>
            </w:r>
          </w:p>
        </w:tc>
        <w:tc>
          <w:tcPr>
            <w:tcW w:w="455" w:type="pct"/>
            <w:hideMark/>
          </w:tcPr>
          <w:p w14:paraId="7A08C59B"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22,000</w:t>
            </w:r>
          </w:p>
        </w:tc>
        <w:tc>
          <w:tcPr>
            <w:tcW w:w="455" w:type="pct"/>
            <w:hideMark/>
          </w:tcPr>
          <w:p w14:paraId="3D91B183"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3,000</w:t>
            </w:r>
          </w:p>
        </w:tc>
        <w:tc>
          <w:tcPr>
            <w:tcW w:w="1305" w:type="pct"/>
            <w:hideMark/>
          </w:tcPr>
          <w:p w14:paraId="1953BF24"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7,000</w:t>
            </w:r>
          </w:p>
        </w:tc>
        <w:tc>
          <w:tcPr>
            <w:tcW w:w="1318" w:type="pct"/>
            <w:hideMark/>
          </w:tcPr>
          <w:p w14:paraId="3CD885AB"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18,000</w:t>
            </w:r>
          </w:p>
        </w:tc>
        <w:tc>
          <w:tcPr>
            <w:tcW w:w="455" w:type="pct"/>
            <w:hideMark/>
          </w:tcPr>
          <w:p w14:paraId="598CD6CC"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2,000</w:t>
            </w:r>
          </w:p>
        </w:tc>
      </w:tr>
      <w:tr w:rsidR="006F7B33" w:rsidRPr="0032299D" w14:paraId="70FE1D64" w14:textId="77777777" w:rsidTr="00EB01A4">
        <w:trPr>
          <w:jc w:val="center"/>
        </w:trPr>
        <w:tc>
          <w:tcPr>
            <w:cnfStyle w:val="001000000000" w:firstRow="0" w:lastRow="0" w:firstColumn="1" w:lastColumn="0" w:oddVBand="0" w:evenVBand="0" w:oddHBand="0" w:evenHBand="0" w:firstRowFirstColumn="0" w:firstRowLastColumn="0" w:lastRowFirstColumn="0" w:lastRowLastColumn="0"/>
            <w:tcW w:w="1011" w:type="pct"/>
            <w:hideMark/>
          </w:tcPr>
          <w:p w14:paraId="6236E0BF" w14:textId="77777777" w:rsidR="006F7B33" w:rsidRPr="0032299D" w:rsidRDefault="006F7B33" w:rsidP="009924E7">
            <w:pPr>
              <w:pStyle w:val="Default"/>
              <w:rPr>
                <w:b w:val="0"/>
                <w:bCs w:val="0"/>
                <w:i/>
                <w:iCs/>
                <w:color w:val="auto"/>
                <w:sz w:val="22"/>
                <w:szCs w:val="22"/>
              </w:rPr>
            </w:pPr>
            <w:r w:rsidRPr="0032299D">
              <w:rPr>
                <w:b w:val="0"/>
                <w:bCs w:val="0"/>
                <w:i/>
                <w:iCs/>
                <w:color w:val="auto"/>
                <w:sz w:val="22"/>
                <w:szCs w:val="22"/>
              </w:rPr>
              <w:t>Wilcoxon W</w:t>
            </w:r>
          </w:p>
        </w:tc>
        <w:tc>
          <w:tcPr>
            <w:tcW w:w="455" w:type="pct"/>
            <w:hideMark/>
          </w:tcPr>
          <w:p w14:paraId="6E58E270"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50,000</w:t>
            </w:r>
          </w:p>
        </w:tc>
        <w:tc>
          <w:tcPr>
            <w:tcW w:w="455" w:type="pct"/>
            <w:hideMark/>
          </w:tcPr>
          <w:p w14:paraId="62F3E7D5"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31,000</w:t>
            </w:r>
          </w:p>
        </w:tc>
        <w:tc>
          <w:tcPr>
            <w:tcW w:w="1305" w:type="pct"/>
            <w:hideMark/>
          </w:tcPr>
          <w:p w14:paraId="4211CE0A"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35,000</w:t>
            </w:r>
          </w:p>
        </w:tc>
        <w:tc>
          <w:tcPr>
            <w:tcW w:w="1318" w:type="pct"/>
            <w:hideMark/>
          </w:tcPr>
          <w:p w14:paraId="401A328B"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46,000</w:t>
            </w:r>
          </w:p>
        </w:tc>
        <w:tc>
          <w:tcPr>
            <w:tcW w:w="455" w:type="pct"/>
            <w:hideMark/>
          </w:tcPr>
          <w:p w14:paraId="4811E154"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30,000</w:t>
            </w:r>
          </w:p>
        </w:tc>
      </w:tr>
      <w:tr w:rsidR="006F7B33" w:rsidRPr="0032299D" w14:paraId="23AA1CE6" w14:textId="77777777" w:rsidTr="00EB01A4">
        <w:trPr>
          <w:jc w:val="center"/>
        </w:trPr>
        <w:tc>
          <w:tcPr>
            <w:cnfStyle w:val="001000000000" w:firstRow="0" w:lastRow="0" w:firstColumn="1" w:lastColumn="0" w:oddVBand="0" w:evenVBand="0" w:oddHBand="0" w:evenHBand="0" w:firstRowFirstColumn="0" w:firstRowLastColumn="0" w:lastRowFirstColumn="0" w:lastRowLastColumn="0"/>
            <w:tcW w:w="1011" w:type="pct"/>
            <w:hideMark/>
          </w:tcPr>
          <w:p w14:paraId="5FBA8946" w14:textId="77777777" w:rsidR="006F7B33" w:rsidRPr="0032299D" w:rsidRDefault="006F7B33" w:rsidP="009924E7">
            <w:pPr>
              <w:pStyle w:val="Default"/>
              <w:rPr>
                <w:b w:val="0"/>
                <w:bCs w:val="0"/>
                <w:i/>
                <w:iCs/>
                <w:color w:val="auto"/>
                <w:sz w:val="22"/>
                <w:szCs w:val="22"/>
              </w:rPr>
            </w:pPr>
            <w:r w:rsidRPr="0032299D">
              <w:rPr>
                <w:b w:val="0"/>
                <w:bCs w:val="0"/>
                <w:i/>
                <w:iCs/>
                <w:color w:val="auto"/>
                <w:sz w:val="22"/>
                <w:szCs w:val="22"/>
              </w:rPr>
              <w:t>Z</w:t>
            </w:r>
          </w:p>
        </w:tc>
        <w:tc>
          <w:tcPr>
            <w:tcW w:w="455" w:type="pct"/>
            <w:hideMark/>
          </w:tcPr>
          <w:p w14:paraId="12313DB1"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-,319</w:t>
            </w:r>
          </w:p>
        </w:tc>
        <w:tc>
          <w:tcPr>
            <w:tcW w:w="455" w:type="pct"/>
            <w:hideMark/>
          </w:tcPr>
          <w:p w14:paraId="06185B10"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-2,747</w:t>
            </w:r>
          </w:p>
        </w:tc>
        <w:tc>
          <w:tcPr>
            <w:tcW w:w="1305" w:type="pct"/>
            <w:hideMark/>
          </w:tcPr>
          <w:p w14:paraId="6F6A2B48"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-2,236</w:t>
            </w:r>
          </w:p>
        </w:tc>
        <w:tc>
          <w:tcPr>
            <w:tcW w:w="1318" w:type="pct"/>
            <w:hideMark/>
          </w:tcPr>
          <w:p w14:paraId="570B6B61"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-,831</w:t>
            </w:r>
          </w:p>
        </w:tc>
        <w:tc>
          <w:tcPr>
            <w:tcW w:w="455" w:type="pct"/>
            <w:hideMark/>
          </w:tcPr>
          <w:p w14:paraId="6C235CC0"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-2,875</w:t>
            </w:r>
          </w:p>
        </w:tc>
      </w:tr>
      <w:tr w:rsidR="006F7B33" w:rsidRPr="0032299D" w14:paraId="6F91938A" w14:textId="77777777" w:rsidTr="00EB01A4">
        <w:trPr>
          <w:jc w:val="center"/>
        </w:trPr>
        <w:tc>
          <w:tcPr>
            <w:cnfStyle w:val="001000000000" w:firstRow="0" w:lastRow="0" w:firstColumn="1" w:lastColumn="0" w:oddVBand="0" w:evenVBand="0" w:oddHBand="0" w:evenHBand="0" w:firstRowFirstColumn="0" w:firstRowLastColumn="0" w:lastRowFirstColumn="0" w:lastRowLastColumn="0"/>
            <w:tcW w:w="1011" w:type="pct"/>
            <w:hideMark/>
          </w:tcPr>
          <w:p w14:paraId="502373CD" w14:textId="77777777" w:rsidR="006F7B33" w:rsidRPr="0032299D" w:rsidRDefault="006F7B33" w:rsidP="009924E7">
            <w:pPr>
              <w:pStyle w:val="Default"/>
              <w:rPr>
                <w:b w:val="0"/>
                <w:bCs w:val="0"/>
                <w:i/>
                <w:iCs/>
                <w:color w:val="auto"/>
                <w:sz w:val="22"/>
                <w:szCs w:val="22"/>
              </w:rPr>
            </w:pPr>
            <w:r w:rsidRPr="0032299D">
              <w:rPr>
                <w:b w:val="0"/>
                <w:bCs w:val="0"/>
                <w:i/>
                <w:iCs/>
                <w:color w:val="auto"/>
                <w:sz w:val="22"/>
                <w:szCs w:val="22"/>
              </w:rPr>
              <w:t>Asymp. Sig. (2-tailed)</w:t>
            </w:r>
          </w:p>
        </w:tc>
        <w:tc>
          <w:tcPr>
            <w:tcW w:w="455" w:type="pct"/>
            <w:hideMark/>
          </w:tcPr>
          <w:p w14:paraId="7B1E6DEA"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,749</w:t>
            </w:r>
          </w:p>
        </w:tc>
        <w:tc>
          <w:tcPr>
            <w:tcW w:w="455" w:type="pct"/>
            <w:hideMark/>
          </w:tcPr>
          <w:p w14:paraId="596BA02B"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,006</w:t>
            </w:r>
          </w:p>
        </w:tc>
        <w:tc>
          <w:tcPr>
            <w:tcW w:w="1305" w:type="pct"/>
            <w:hideMark/>
          </w:tcPr>
          <w:p w14:paraId="10EC7CB2"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,025</w:t>
            </w:r>
          </w:p>
        </w:tc>
        <w:tc>
          <w:tcPr>
            <w:tcW w:w="1318" w:type="pct"/>
            <w:hideMark/>
          </w:tcPr>
          <w:p w14:paraId="5B7881CB"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,406</w:t>
            </w:r>
          </w:p>
        </w:tc>
        <w:tc>
          <w:tcPr>
            <w:tcW w:w="455" w:type="pct"/>
            <w:hideMark/>
          </w:tcPr>
          <w:p w14:paraId="39182D60"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32299D">
              <w:rPr>
                <w:color w:val="auto"/>
                <w:sz w:val="22"/>
                <w:szCs w:val="22"/>
              </w:rPr>
              <w:t>,004</w:t>
            </w:r>
          </w:p>
        </w:tc>
      </w:tr>
      <w:tr w:rsidR="006F7B33" w:rsidRPr="0032299D" w14:paraId="60349A8D" w14:textId="77777777" w:rsidTr="00EB01A4">
        <w:trPr>
          <w:jc w:val="center"/>
        </w:trPr>
        <w:tc>
          <w:tcPr>
            <w:cnfStyle w:val="001000000000" w:firstRow="0" w:lastRow="0" w:firstColumn="1" w:lastColumn="0" w:oddVBand="0" w:evenVBand="0" w:oddHBand="0" w:evenHBand="0" w:firstRowFirstColumn="0" w:firstRowLastColumn="0" w:lastRowFirstColumn="0" w:lastRowLastColumn="0"/>
            <w:tcW w:w="1011" w:type="pct"/>
            <w:hideMark/>
          </w:tcPr>
          <w:p w14:paraId="3ED602E7" w14:textId="77777777" w:rsidR="006F7B33" w:rsidRPr="0032299D" w:rsidRDefault="006F7B33" w:rsidP="009924E7">
            <w:pPr>
              <w:pStyle w:val="Default"/>
              <w:rPr>
                <w:b w:val="0"/>
                <w:bCs w:val="0"/>
                <w:i/>
                <w:iCs/>
                <w:color w:val="auto"/>
                <w:sz w:val="22"/>
                <w:szCs w:val="22"/>
              </w:rPr>
            </w:pPr>
            <w:r w:rsidRPr="0032299D">
              <w:rPr>
                <w:b w:val="0"/>
                <w:bCs w:val="0"/>
                <w:i/>
                <w:iCs/>
                <w:color w:val="auto"/>
                <w:sz w:val="22"/>
                <w:szCs w:val="22"/>
              </w:rPr>
              <w:t>Exact Sig. [2*(1-tailed Sig.)]</w:t>
            </w:r>
          </w:p>
        </w:tc>
        <w:tc>
          <w:tcPr>
            <w:tcW w:w="455" w:type="pct"/>
            <w:hideMark/>
          </w:tcPr>
          <w:p w14:paraId="333A35CE"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vertAlign w:val="superscript"/>
              </w:rPr>
            </w:pPr>
            <w:r w:rsidRPr="0032299D">
              <w:rPr>
                <w:color w:val="auto"/>
                <w:sz w:val="22"/>
                <w:szCs w:val="22"/>
              </w:rPr>
              <w:t>,805</w:t>
            </w:r>
            <w:r w:rsidRPr="0032299D">
              <w:rPr>
                <w:color w:val="auto"/>
                <w:sz w:val="22"/>
                <w:szCs w:val="22"/>
                <w:vertAlign w:val="superscript"/>
              </w:rPr>
              <w:t>b</w:t>
            </w:r>
          </w:p>
        </w:tc>
        <w:tc>
          <w:tcPr>
            <w:tcW w:w="455" w:type="pct"/>
            <w:hideMark/>
          </w:tcPr>
          <w:p w14:paraId="5B2EEA2A"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vertAlign w:val="superscript"/>
              </w:rPr>
            </w:pPr>
            <w:r w:rsidRPr="0032299D">
              <w:rPr>
                <w:color w:val="auto"/>
                <w:sz w:val="22"/>
                <w:szCs w:val="22"/>
              </w:rPr>
              <w:t>,004</w:t>
            </w:r>
            <w:r w:rsidRPr="0032299D">
              <w:rPr>
                <w:color w:val="auto"/>
                <w:sz w:val="22"/>
                <w:szCs w:val="22"/>
                <w:vertAlign w:val="superscript"/>
              </w:rPr>
              <w:t>b</w:t>
            </w:r>
          </w:p>
        </w:tc>
        <w:tc>
          <w:tcPr>
            <w:tcW w:w="1305" w:type="pct"/>
            <w:hideMark/>
          </w:tcPr>
          <w:p w14:paraId="31DA2E4B"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vertAlign w:val="superscript"/>
              </w:rPr>
            </w:pPr>
            <w:r w:rsidRPr="0032299D">
              <w:rPr>
                <w:color w:val="auto"/>
                <w:sz w:val="22"/>
                <w:szCs w:val="22"/>
              </w:rPr>
              <w:t>,026</w:t>
            </w:r>
            <w:r w:rsidRPr="0032299D">
              <w:rPr>
                <w:color w:val="auto"/>
                <w:sz w:val="22"/>
                <w:szCs w:val="22"/>
                <w:vertAlign w:val="superscript"/>
              </w:rPr>
              <w:t>b</w:t>
            </w:r>
          </w:p>
        </w:tc>
        <w:tc>
          <w:tcPr>
            <w:tcW w:w="1318" w:type="pct"/>
            <w:hideMark/>
          </w:tcPr>
          <w:p w14:paraId="1A2EAF57"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vertAlign w:val="superscript"/>
              </w:rPr>
            </w:pPr>
            <w:r w:rsidRPr="0032299D">
              <w:rPr>
                <w:color w:val="auto"/>
                <w:sz w:val="22"/>
                <w:szCs w:val="22"/>
              </w:rPr>
              <w:t>,456</w:t>
            </w:r>
            <w:r w:rsidRPr="0032299D">
              <w:rPr>
                <w:color w:val="auto"/>
                <w:sz w:val="22"/>
                <w:szCs w:val="22"/>
                <w:vertAlign w:val="superscript"/>
              </w:rPr>
              <w:t>b</w:t>
            </w:r>
          </w:p>
        </w:tc>
        <w:tc>
          <w:tcPr>
            <w:tcW w:w="455" w:type="pct"/>
            <w:hideMark/>
          </w:tcPr>
          <w:p w14:paraId="0C096A03" w14:textId="77777777" w:rsidR="006F7B33" w:rsidRPr="0032299D" w:rsidRDefault="006F7B33" w:rsidP="009924E7">
            <w:pPr>
              <w:pStyle w:val="Default"/>
              <w:jc w:val="center"/>
              <w:cnfStyle w:val="000000000000" w:firstRow="0" w:lastRow="0" w:firstColumn="0" w:lastColumn="0" w:oddVBand="0" w:evenVBand="0" w:oddHBand="0" w:evenHBand="0" w:firstRowFirstColumn="0" w:firstRowLastColumn="0" w:lastRowFirstColumn="0" w:lastRowLastColumn="0"/>
              <w:rPr>
                <w:color w:val="auto"/>
                <w:sz w:val="22"/>
                <w:szCs w:val="22"/>
                <w:vertAlign w:val="superscript"/>
              </w:rPr>
            </w:pPr>
            <w:r w:rsidRPr="0032299D">
              <w:rPr>
                <w:color w:val="auto"/>
                <w:sz w:val="22"/>
                <w:szCs w:val="22"/>
              </w:rPr>
              <w:t>,002</w:t>
            </w:r>
            <w:r w:rsidRPr="0032299D">
              <w:rPr>
                <w:color w:val="auto"/>
                <w:sz w:val="22"/>
                <w:szCs w:val="22"/>
                <w:vertAlign w:val="superscript"/>
              </w:rPr>
              <w:t>b</w:t>
            </w:r>
          </w:p>
        </w:tc>
      </w:tr>
    </w:tbl>
    <w:p w14:paraId="5D1A0C88" w14:textId="77777777" w:rsidR="006F7B33" w:rsidRPr="0032299D" w:rsidRDefault="006F7B33" w:rsidP="00921D9A">
      <w:pPr>
        <w:pStyle w:val="Default"/>
        <w:jc w:val="both"/>
        <w:rPr>
          <w:i/>
          <w:iCs/>
          <w:sz w:val="22"/>
          <w:szCs w:val="22"/>
        </w:rPr>
      </w:pPr>
      <w:r w:rsidRPr="0032299D">
        <w:rPr>
          <w:i/>
          <w:iCs/>
          <w:sz w:val="22"/>
          <w:szCs w:val="22"/>
        </w:rPr>
        <w:t>a.Grouping variable: jenis bank</w:t>
      </w:r>
    </w:p>
    <w:p w14:paraId="4B5F9A2B" w14:textId="77777777" w:rsidR="006F7B33" w:rsidRPr="0032299D" w:rsidRDefault="006F7B33" w:rsidP="00921D9A">
      <w:pPr>
        <w:pStyle w:val="Default"/>
        <w:jc w:val="both"/>
        <w:rPr>
          <w:i/>
          <w:iCs/>
          <w:sz w:val="22"/>
          <w:szCs w:val="22"/>
        </w:rPr>
      </w:pPr>
      <w:r w:rsidRPr="0032299D">
        <w:rPr>
          <w:i/>
          <w:iCs/>
          <w:sz w:val="22"/>
          <w:szCs w:val="22"/>
        </w:rPr>
        <w:t>Sumber: Output SPSS 27 yang telah diolah.</w:t>
      </w:r>
    </w:p>
    <w:p w14:paraId="2DAA3884" w14:textId="77777777" w:rsidR="006F7B33" w:rsidRDefault="006F7B33" w:rsidP="00921D9A">
      <w:pPr>
        <w:pStyle w:val="Default"/>
        <w:jc w:val="both"/>
        <w:rPr>
          <w:sz w:val="22"/>
          <w:szCs w:val="22"/>
        </w:rPr>
      </w:pPr>
    </w:p>
    <w:p w14:paraId="312CA1B4" w14:textId="4FD98BD5" w:rsidR="00706FB9" w:rsidRPr="0032299D" w:rsidRDefault="00706FB9" w:rsidP="00706FB9">
      <w:pPr>
        <w:pStyle w:val="Default"/>
        <w:tabs>
          <w:tab w:val="left" w:pos="426"/>
        </w:tabs>
        <w:jc w:val="both"/>
      </w:pPr>
      <w:r>
        <w:tab/>
      </w:r>
      <w:r w:rsidRPr="0032299D">
        <w:t xml:space="preserve">Pada hasil uji </w:t>
      </w:r>
      <w:r w:rsidRPr="0032299D">
        <w:rPr>
          <w:i/>
          <w:iCs/>
        </w:rPr>
        <w:t>mann-whitney</w:t>
      </w:r>
      <w:r w:rsidRPr="0032299D">
        <w:t xml:space="preserve"> diatas, terlihat bahwa indikator ROA menunjukkan tidak terdapat perbedaan yang signifikan secara statistik antara bank syariah dan bank konvensional. Nilai signifikansi sebesar p = 0,749 &gt; α = 0,05 menunjukkan bahwa hipotesis nol (H₀) diterima. Artinya, kedua jenis bank memiliki kemampuan yang relatif setara dalam mengelola aset untuk menghasilkan laba. Kesetaraan ini mencerminkan bahwa baik bank syariah maupun konvensional telah mampu memanfaatkan teknologi digital untuk memperbaiki efisiensi aset dan produktivitas pendapatan.</w:t>
      </w:r>
    </w:p>
    <w:p w14:paraId="18444D16" w14:textId="77777777" w:rsidR="00706FB9" w:rsidRPr="0032299D" w:rsidRDefault="00706FB9" w:rsidP="00706FB9">
      <w:pPr>
        <w:pStyle w:val="Default"/>
        <w:tabs>
          <w:tab w:val="left" w:pos="426"/>
        </w:tabs>
        <w:jc w:val="both"/>
      </w:pPr>
      <w:r w:rsidRPr="0032299D">
        <w:tab/>
        <w:t xml:space="preserve">Pada hasil uji </w:t>
      </w:r>
      <w:r w:rsidRPr="0032299D">
        <w:rPr>
          <w:i/>
          <w:iCs/>
        </w:rPr>
        <w:t>mann-whitney</w:t>
      </w:r>
      <w:r w:rsidRPr="0032299D">
        <w:t xml:space="preserve"> diatas, terlihat bahwa indkator ROE menunjukkan adanya perbedaan yang signifikan antara kedua kelompok bank dengan nilai signifikansi sebesar p = 0,006 &lt; 0,05. Rata-rata peringkat (</w:t>
      </w:r>
      <w:r w:rsidRPr="0032299D">
        <w:rPr>
          <w:i/>
          <w:iCs/>
        </w:rPr>
        <w:t>mean rank</w:t>
      </w:r>
      <w:r w:rsidRPr="0032299D">
        <w:t xml:space="preserve">) ROE bank konvensional sebesar 10,57 jauh lebih tinggi dibandingkan bank syariah sebesar 4,43, yang menandakan bahwa bank konvensional lebih efektif dalam memanfaatkan modal untuk menghasilkan laba. Nilai statistik U = 3,000 dan Z = -2,747 memperkuat adanya perbedaan nyata dalam efisiensi penggunaan modal. Dalam konteks digitalisasi, hasil ini menunjukkan bahwa bank konvensional lebih cepat beradaptasi terhadap penerapan teknologi keuangan seperti </w:t>
      </w:r>
      <w:r w:rsidRPr="0032299D">
        <w:rPr>
          <w:i/>
          <w:iCs/>
        </w:rPr>
        <w:t>digital banking, automated services, dan data analytics,</w:t>
      </w:r>
      <w:r w:rsidRPr="0032299D">
        <w:t xml:space="preserve"> yang secara langsung meningkatkan profitabilitas modal.</w:t>
      </w:r>
    </w:p>
    <w:p w14:paraId="0F4DFE8A" w14:textId="77777777" w:rsidR="00706FB9" w:rsidRPr="0032299D" w:rsidRDefault="00706FB9" w:rsidP="00706FB9">
      <w:pPr>
        <w:pStyle w:val="Default"/>
        <w:tabs>
          <w:tab w:val="left" w:pos="426"/>
        </w:tabs>
        <w:jc w:val="both"/>
      </w:pPr>
      <w:r w:rsidRPr="0032299D">
        <w:tab/>
        <w:t xml:space="preserve">Pada hasil uji </w:t>
      </w:r>
      <w:r w:rsidRPr="0032299D">
        <w:rPr>
          <w:i/>
          <w:iCs/>
        </w:rPr>
        <w:t>mann-whitney</w:t>
      </w:r>
      <w:r w:rsidRPr="0032299D">
        <w:t xml:space="preserve"> diatas, terlihat bahwa indikator NPF dan NPL menunjukkan adanya perbedaan signifikan sebesar p = 0,025 &lt; 0,05. Rata-rata peringkat bank konvensional </w:t>
      </w:r>
      <w:r w:rsidRPr="0032299D">
        <w:lastRenderedPageBreak/>
        <w:t>sebesar 10,00 lebih tinggi dibandingkan bank syariah sebesar 5,00, yang berarti menandakan perbedaan dalam kualitas aset. Dari data tersebut, bank syariah memiliki kualitas pembiayaan yang lebih baik dan tingkat risiko kredit bermasalah yang lebih rendah. Hal ini mencerminkan efektivitas penerapan prinsip kehati-hatian (</w:t>
      </w:r>
      <w:r w:rsidRPr="0032299D">
        <w:rPr>
          <w:i/>
          <w:iCs/>
        </w:rPr>
        <w:t>prudential banking</w:t>
      </w:r>
      <w:r w:rsidRPr="0032299D">
        <w:t xml:space="preserve">) serta sistem digital pengawasan pembiayaan syariah yang semakin terintegrasi. </w:t>
      </w:r>
    </w:p>
    <w:p w14:paraId="3E2ABACA" w14:textId="77777777" w:rsidR="00706FB9" w:rsidRPr="0032299D" w:rsidRDefault="00706FB9" w:rsidP="00706FB9">
      <w:pPr>
        <w:pStyle w:val="Default"/>
        <w:tabs>
          <w:tab w:val="left" w:pos="426"/>
        </w:tabs>
        <w:jc w:val="both"/>
      </w:pPr>
      <w:r w:rsidRPr="0032299D">
        <w:tab/>
        <w:t xml:space="preserve">Pada hasil uji </w:t>
      </w:r>
      <w:r w:rsidRPr="0032299D">
        <w:rPr>
          <w:i/>
          <w:iCs/>
        </w:rPr>
        <w:t>mann-whitney</w:t>
      </w:r>
      <w:r w:rsidRPr="0032299D">
        <w:t xml:space="preserve"> diatas, terlihat bahwa indikator FDR dan LDR menunjukkan tidak terdapat perbedaan yang signifikan dengan nilai p = 0,406 &gt; 0,05. Kedua jenis bank memiliki kemampuan </w:t>
      </w:r>
      <w:r w:rsidRPr="0032299D">
        <w:rPr>
          <w:i/>
          <w:iCs/>
        </w:rPr>
        <w:t>intermediasi</w:t>
      </w:r>
      <w:r w:rsidRPr="0032299D">
        <w:t xml:space="preserve"> dana yang relatif sama, didukung oleh pemanfaatan teknologi digital yang meningkatkan efektivitas penghimpunan dan penyaluran dana. Hasil ini sejalan dengan temuan Utami (2023), yang menunjukkan bahwa rata-rata FDR bank syariah (87,64%) dan LDR bank konvensional (84,97%) tidak berbeda secara signifikan. Digitalisasi perbankan telah memperkuat fungsi </w:t>
      </w:r>
      <w:r w:rsidRPr="0032299D">
        <w:rPr>
          <w:i/>
          <w:iCs/>
        </w:rPr>
        <w:t xml:space="preserve">intermediasi </w:t>
      </w:r>
      <w:r w:rsidRPr="0032299D">
        <w:t xml:space="preserve">melalui layanan daring, aplikasi </w:t>
      </w:r>
      <w:r w:rsidRPr="0032299D">
        <w:rPr>
          <w:i/>
          <w:iCs/>
        </w:rPr>
        <w:t>mobile</w:t>
      </w:r>
      <w:r w:rsidRPr="0032299D">
        <w:t>, dan sistem transaksi otomatis.</w:t>
      </w:r>
    </w:p>
    <w:p w14:paraId="3FBF7C5B" w14:textId="626AC651" w:rsidR="00EB01A4" w:rsidRDefault="00706FB9" w:rsidP="00903585">
      <w:pPr>
        <w:pStyle w:val="Default"/>
        <w:tabs>
          <w:tab w:val="left" w:pos="426"/>
        </w:tabs>
        <w:jc w:val="both"/>
        <w:rPr>
          <w:color w:val="auto"/>
        </w:rPr>
      </w:pPr>
      <w:r w:rsidRPr="0032299D">
        <w:tab/>
        <w:t xml:space="preserve">Pada hasil uji </w:t>
      </w:r>
      <w:r w:rsidRPr="0032299D">
        <w:rPr>
          <w:i/>
          <w:iCs/>
        </w:rPr>
        <w:t>mann-whitney</w:t>
      </w:r>
      <w:r w:rsidRPr="0032299D">
        <w:t xml:space="preserve"> diatas, terlihat bahwa indikator BOPO menunjukkan adanya perbedaan yang signifikan dengan nilai p = 0,004 &lt; 0,05.  Nilai rata-rata peringkat bank konvensional sebesar 7,00 lebih tinggi dibandingkan bank syariah sebesar 4,29, menunjukkan bahwa bank konvensional memiliki tingkat efisiensi yang lebih baik dalam mengelola biaya operasional. Temuan ini sejalan dengan penelitian Akhmadi et al. (2021) yang menyatakan bahwa bank konvensional lebih optimal dalam menekan biaya operasional untuk meningkatkan pendapatan. Penerapan sistem digital seperti </w:t>
      </w:r>
      <w:r w:rsidRPr="0032299D">
        <w:rPr>
          <w:i/>
          <w:iCs/>
        </w:rPr>
        <w:t>core banking system</w:t>
      </w:r>
      <w:r w:rsidRPr="0032299D">
        <w:t xml:space="preserve">, </w:t>
      </w:r>
      <w:r w:rsidRPr="0032299D">
        <w:rPr>
          <w:i/>
          <w:iCs/>
        </w:rPr>
        <w:t>digital branch operation</w:t>
      </w:r>
      <w:r w:rsidRPr="0032299D">
        <w:t>, dan otomatisasi proses transaksi menjadi faktor utama peningkatan efisiensi tersebut.</w:t>
      </w:r>
    </w:p>
    <w:p w14:paraId="7EEFC806" w14:textId="77777777" w:rsidR="00706FB9" w:rsidRPr="00706FB9" w:rsidRDefault="00706FB9" w:rsidP="00903585">
      <w:pPr>
        <w:pStyle w:val="Default"/>
        <w:tabs>
          <w:tab w:val="left" w:pos="426"/>
        </w:tabs>
        <w:jc w:val="both"/>
        <w:rPr>
          <w:color w:val="auto"/>
        </w:rPr>
      </w:pPr>
    </w:p>
    <w:p w14:paraId="158B59CD" w14:textId="4CB80AE8" w:rsidR="00903585" w:rsidRPr="0032299D" w:rsidRDefault="00EB01A4" w:rsidP="00903585">
      <w:pPr>
        <w:pStyle w:val="Default"/>
        <w:numPr>
          <w:ilvl w:val="0"/>
          <w:numId w:val="2"/>
        </w:numPr>
        <w:tabs>
          <w:tab w:val="left" w:pos="426"/>
        </w:tabs>
        <w:jc w:val="both"/>
        <w:rPr>
          <w:b/>
          <w:bCs/>
        </w:rPr>
      </w:pPr>
      <w:r w:rsidRPr="0032299D">
        <w:rPr>
          <w:b/>
          <w:bCs/>
        </w:rPr>
        <w:t>Kinerja Keuangan Berdasakan Standar Bank Indonesia</w:t>
      </w:r>
    </w:p>
    <w:p w14:paraId="728ADB45" w14:textId="1E00B8B5" w:rsidR="00AC6193" w:rsidRPr="0032299D" w:rsidRDefault="00903585" w:rsidP="00903585">
      <w:pPr>
        <w:pStyle w:val="Default"/>
        <w:jc w:val="center"/>
        <w:rPr>
          <w:b/>
          <w:bCs/>
          <w:color w:val="auto"/>
        </w:rPr>
      </w:pPr>
      <w:r w:rsidRPr="0032299D">
        <w:rPr>
          <w:b/>
          <w:bCs/>
          <w:color w:val="auto"/>
        </w:rPr>
        <w:t xml:space="preserve">Tabel 6. </w:t>
      </w:r>
      <w:r w:rsidR="00AC6193" w:rsidRPr="0032299D">
        <w:rPr>
          <w:b/>
          <w:bCs/>
          <w:color w:val="auto"/>
        </w:rPr>
        <w:t xml:space="preserve">Kinerja </w:t>
      </w:r>
      <w:r w:rsidR="00CF5395" w:rsidRPr="0032299D">
        <w:rPr>
          <w:b/>
          <w:bCs/>
          <w:color w:val="auto"/>
        </w:rPr>
        <w:t xml:space="preserve">keuangan </w:t>
      </w:r>
      <w:r w:rsidR="00AC6193" w:rsidRPr="0032299D">
        <w:rPr>
          <w:b/>
          <w:bCs/>
          <w:color w:val="auto"/>
        </w:rPr>
        <w:t>bank</w:t>
      </w:r>
      <w:r w:rsidR="00CF5395" w:rsidRPr="0032299D">
        <w:rPr>
          <w:b/>
          <w:bCs/>
          <w:color w:val="auto"/>
        </w:rPr>
        <w:t xml:space="preserve"> syariah </w:t>
      </w:r>
      <w:r w:rsidR="00AC6193" w:rsidRPr="0032299D">
        <w:rPr>
          <w:b/>
          <w:bCs/>
          <w:color w:val="auto"/>
        </w:rPr>
        <w:t>berdasarkan standar BI</w:t>
      </w:r>
    </w:p>
    <w:tbl>
      <w:tblPr>
        <w:tblStyle w:val="GridTable1Light"/>
        <w:tblW w:w="0" w:type="auto"/>
        <w:jc w:val="center"/>
        <w:tblLook w:val="04A0" w:firstRow="1" w:lastRow="0" w:firstColumn="1" w:lastColumn="0" w:noHBand="0" w:noVBand="1"/>
      </w:tblPr>
      <w:tblGrid>
        <w:gridCol w:w="2557"/>
        <w:gridCol w:w="2233"/>
        <w:gridCol w:w="1316"/>
        <w:gridCol w:w="1420"/>
      </w:tblGrid>
      <w:tr w:rsidR="00CF5395" w:rsidRPr="0032299D" w14:paraId="46BBB923" w14:textId="77777777" w:rsidTr="009924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4"/>
          </w:tcPr>
          <w:p w14:paraId="15C52226" w14:textId="77777777" w:rsidR="00CF5395" w:rsidRPr="0032299D" w:rsidRDefault="00CF5395" w:rsidP="006F3332">
            <w:pPr>
              <w:jc w:val="center"/>
              <w:rPr>
                <w:rFonts w:ascii="Times New Roman" w:hAnsi="Times New Roman" w:cs="Times New Roman"/>
                <w:b w:val="0"/>
                <w:bCs w:val="0"/>
              </w:rPr>
            </w:pPr>
            <w:r w:rsidRPr="0032299D">
              <w:rPr>
                <w:rFonts w:ascii="Times New Roman" w:hAnsi="Times New Roman" w:cs="Times New Roman"/>
              </w:rPr>
              <w:t>Bank Syariah</w:t>
            </w:r>
          </w:p>
        </w:tc>
      </w:tr>
      <w:tr w:rsidR="00CF5395" w:rsidRPr="0032299D" w14:paraId="53D37C55"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ABA496F" w14:textId="77777777" w:rsidR="00CF5395" w:rsidRPr="0032299D" w:rsidRDefault="00CF5395" w:rsidP="006F3332">
            <w:pPr>
              <w:jc w:val="center"/>
              <w:rPr>
                <w:rFonts w:ascii="Times New Roman" w:hAnsi="Times New Roman" w:cs="Times New Roman"/>
              </w:rPr>
            </w:pPr>
          </w:p>
        </w:tc>
        <w:tc>
          <w:tcPr>
            <w:tcW w:w="0" w:type="auto"/>
          </w:tcPr>
          <w:p w14:paraId="479FF95F"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Rata-rata ROA (%)</w:t>
            </w:r>
          </w:p>
        </w:tc>
        <w:tc>
          <w:tcPr>
            <w:tcW w:w="0" w:type="auto"/>
          </w:tcPr>
          <w:p w14:paraId="5F2E876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Standar BI</w:t>
            </w:r>
          </w:p>
        </w:tc>
        <w:tc>
          <w:tcPr>
            <w:tcW w:w="0" w:type="auto"/>
          </w:tcPr>
          <w:p w14:paraId="170C743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Kriteria</w:t>
            </w:r>
          </w:p>
        </w:tc>
      </w:tr>
      <w:tr w:rsidR="00CF5395" w:rsidRPr="0032299D" w14:paraId="6F1068A5"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355A99C"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Muamalat Indonesia</w:t>
            </w:r>
          </w:p>
        </w:tc>
        <w:tc>
          <w:tcPr>
            <w:tcW w:w="0" w:type="auto"/>
          </w:tcPr>
          <w:p w14:paraId="3858B29E"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0,06%</w:t>
            </w:r>
          </w:p>
        </w:tc>
        <w:tc>
          <w:tcPr>
            <w:tcW w:w="0" w:type="auto"/>
          </w:tcPr>
          <w:p w14:paraId="3DC9356F"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1,5 %</w:t>
            </w:r>
          </w:p>
        </w:tc>
        <w:tc>
          <w:tcPr>
            <w:tcW w:w="0" w:type="auto"/>
          </w:tcPr>
          <w:p w14:paraId="6B13BB9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Tidak sehat</w:t>
            </w:r>
          </w:p>
        </w:tc>
      </w:tr>
      <w:tr w:rsidR="00CF5395" w:rsidRPr="0032299D" w14:paraId="5A7E05AD"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38B6538"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BCA Syariah</w:t>
            </w:r>
          </w:p>
        </w:tc>
        <w:tc>
          <w:tcPr>
            <w:tcW w:w="0" w:type="auto"/>
          </w:tcPr>
          <w:p w14:paraId="75B7091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4,97%</w:t>
            </w:r>
          </w:p>
        </w:tc>
        <w:tc>
          <w:tcPr>
            <w:tcW w:w="0" w:type="auto"/>
          </w:tcPr>
          <w:p w14:paraId="09E5430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1,5 %</w:t>
            </w:r>
          </w:p>
        </w:tc>
        <w:tc>
          <w:tcPr>
            <w:tcW w:w="0" w:type="auto"/>
          </w:tcPr>
          <w:p w14:paraId="3B4829F2"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Sangat Sehat</w:t>
            </w:r>
          </w:p>
        </w:tc>
      </w:tr>
      <w:tr w:rsidR="00CF5395" w:rsidRPr="0032299D" w14:paraId="15CC6F09"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FAC92BE"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BTPN Syariah</w:t>
            </w:r>
          </w:p>
        </w:tc>
        <w:tc>
          <w:tcPr>
            <w:tcW w:w="0" w:type="auto"/>
          </w:tcPr>
          <w:p w14:paraId="0A86552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10,40%</w:t>
            </w:r>
          </w:p>
        </w:tc>
        <w:tc>
          <w:tcPr>
            <w:tcW w:w="0" w:type="auto"/>
          </w:tcPr>
          <w:p w14:paraId="5E7D4947"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1,5 %</w:t>
            </w:r>
          </w:p>
        </w:tc>
        <w:tc>
          <w:tcPr>
            <w:tcW w:w="0" w:type="auto"/>
          </w:tcPr>
          <w:p w14:paraId="077104A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Sangat Sehat</w:t>
            </w:r>
          </w:p>
        </w:tc>
      </w:tr>
      <w:tr w:rsidR="00CF5395" w:rsidRPr="0032299D" w14:paraId="295A2E3D"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ECC631E"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Mega Syariah</w:t>
            </w:r>
          </w:p>
        </w:tc>
        <w:tc>
          <w:tcPr>
            <w:tcW w:w="0" w:type="auto"/>
          </w:tcPr>
          <w:p w14:paraId="62034E3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1,96%</w:t>
            </w:r>
          </w:p>
        </w:tc>
        <w:tc>
          <w:tcPr>
            <w:tcW w:w="0" w:type="auto"/>
          </w:tcPr>
          <w:p w14:paraId="33DD59E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1,5 %</w:t>
            </w:r>
          </w:p>
        </w:tc>
        <w:tc>
          <w:tcPr>
            <w:tcW w:w="0" w:type="auto"/>
          </w:tcPr>
          <w:p w14:paraId="4DCF6B74"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11DA6E56"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3AC9F9F"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Panin Dubai Syariah</w:t>
            </w:r>
          </w:p>
        </w:tc>
        <w:tc>
          <w:tcPr>
            <w:tcW w:w="0" w:type="auto"/>
          </w:tcPr>
          <w:p w14:paraId="107458DA"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-1,93%</w:t>
            </w:r>
          </w:p>
        </w:tc>
        <w:tc>
          <w:tcPr>
            <w:tcW w:w="0" w:type="auto"/>
          </w:tcPr>
          <w:p w14:paraId="5A815E9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1,5 %</w:t>
            </w:r>
          </w:p>
        </w:tc>
        <w:tc>
          <w:tcPr>
            <w:tcW w:w="0" w:type="auto"/>
          </w:tcPr>
          <w:p w14:paraId="30178873"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Tidak Sehat</w:t>
            </w:r>
          </w:p>
        </w:tc>
      </w:tr>
      <w:tr w:rsidR="00CF5395" w:rsidRPr="0032299D" w14:paraId="17E4723C"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gridSpan w:val="4"/>
          </w:tcPr>
          <w:p w14:paraId="03C78275" w14:textId="77777777" w:rsidR="00CF5395" w:rsidRPr="0032299D" w:rsidRDefault="00CF5395" w:rsidP="006F3332">
            <w:pPr>
              <w:rPr>
                <w:rFonts w:ascii="Times New Roman" w:hAnsi="Times New Roman" w:cs="Times New Roman"/>
                <w:b w:val="0"/>
                <w:bCs w:val="0"/>
              </w:rPr>
            </w:pPr>
          </w:p>
        </w:tc>
      </w:tr>
      <w:tr w:rsidR="00CF5395" w:rsidRPr="0032299D" w14:paraId="0A22710F"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1FF3653" w14:textId="77777777" w:rsidR="00CF5395" w:rsidRPr="0032299D" w:rsidRDefault="00CF5395" w:rsidP="006F3332">
            <w:pPr>
              <w:rPr>
                <w:rFonts w:ascii="Times New Roman" w:hAnsi="Times New Roman" w:cs="Times New Roman"/>
                <w:b w:val="0"/>
                <w:bCs w:val="0"/>
              </w:rPr>
            </w:pPr>
          </w:p>
        </w:tc>
        <w:tc>
          <w:tcPr>
            <w:tcW w:w="0" w:type="auto"/>
          </w:tcPr>
          <w:p w14:paraId="26D3CF6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Rata-rata ROE (%)</w:t>
            </w:r>
          </w:p>
        </w:tc>
        <w:tc>
          <w:tcPr>
            <w:tcW w:w="0" w:type="auto"/>
          </w:tcPr>
          <w:p w14:paraId="26C8F75E"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Standar BI</w:t>
            </w:r>
          </w:p>
        </w:tc>
        <w:tc>
          <w:tcPr>
            <w:tcW w:w="0" w:type="auto"/>
          </w:tcPr>
          <w:p w14:paraId="06C68D2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Kriteria</w:t>
            </w:r>
          </w:p>
        </w:tc>
      </w:tr>
      <w:tr w:rsidR="00CF5395" w:rsidRPr="0032299D" w14:paraId="57558D7A"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657F608"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Muamalat Indonesia</w:t>
            </w:r>
          </w:p>
        </w:tc>
        <w:tc>
          <w:tcPr>
            <w:tcW w:w="0" w:type="auto"/>
          </w:tcPr>
          <w:p w14:paraId="578689D7"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0,54%</w:t>
            </w:r>
          </w:p>
        </w:tc>
        <w:tc>
          <w:tcPr>
            <w:tcW w:w="0" w:type="auto"/>
          </w:tcPr>
          <w:p w14:paraId="5F62DD63"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12 %</w:t>
            </w:r>
          </w:p>
        </w:tc>
        <w:tc>
          <w:tcPr>
            <w:tcW w:w="0" w:type="auto"/>
          </w:tcPr>
          <w:p w14:paraId="6ED4087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Tidak Sehat</w:t>
            </w:r>
          </w:p>
        </w:tc>
      </w:tr>
      <w:tr w:rsidR="00CF5395" w:rsidRPr="0032299D" w14:paraId="26456C04"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8216FD8"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BCA Syariah</w:t>
            </w:r>
          </w:p>
        </w:tc>
        <w:tc>
          <w:tcPr>
            <w:tcW w:w="0" w:type="auto"/>
          </w:tcPr>
          <w:p w14:paraId="05CC61E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7,19%</w:t>
            </w:r>
          </w:p>
        </w:tc>
        <w:tc>
          <w:tcPr>
            <w:tcW w:w="0" w:type="auto"/>
          </w:tcPr>
          <w:p w14:paraId="0CD38EE4"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12 %</w:t>
            </w:r>
          </w:p>
        </w:tc>
        <w:tc>
          <w:tcPr>
            <w:tcW w:w="0" w:type="auto"/>
          </w:tcPr>
          <w:p w14:paraId="2B1D835E"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Kurang Sehat</w:t>
            </w:r>
          </w:p>
        </w:tc>
      </w:tr>
      <w:tr w:rsidR="00CF5395" w:rsidRPr="0032299D" w14:paraId="0803A2EA"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04D9823"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BTPN Syariah</w:t>
            </w:r>
          </w:p>
        </w:tc>
        <w:tc>
          <w:tcPr>
            <w:tcW w:w="0" w:type="auto"/>
          </w:tcPr>
          <w:p w14:paraId="4BD269E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25,10%</w:t>
            </w:r>
          </w:p>
        </w:tc>
        <w:tc>
          <w:tcPr>
            <w:tcW w:w="0" w:type="auto"/>
          </w:tcPr>
          <w:p w14:paraId="6234BD8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12 %</w:t>
            </w:r>
          </w:p>
        </w:tc>
        <w:tc>
          <w:tcPr>
            <w:tcW w:w="0" w:type="auto"/>
          </w:tcPr>
          <w:p w14:paraId="1C58716A"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Sangat Sehat</w:t>
            </w:r>
          </w:p>
        </w:tc>
      </w:tr>
      <w:tr w:rsidR="00CF5395" w:rsidRPr="0032299D" w14:paraId="6F4CA58B"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E8D8F5A"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Mega Syariah</w:t>
            </w:r>
          </w:p>
        </w:tc>
        <w:tc>
          <w:tcPr>
            <w:tcW w:w="0" w:type="auto"/>
          </w:tcPr>
          <w:p w14:paraId="67C126D7"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10,74%</w:t>
            </w:r>
          </w:p>
        </w:tc>
        <w:tc>
          <w:tcPr>
            <w:tcW w:w="0" w:type="auto"/>
          </w:tcPr>
          <w:p w14:paraId="77FBFA5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12 %</w:t>
            </w:r>
          </w:p>
        </w:tc>
        <w:tc>
          <w:tcPr>
            <w:tcW w:w="0" w:type="auto"/>
          </w:tcPr>
          <w:p w14:paraId="18BEEB1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Cukup Sehat</w:t>
            </w:r>
          </w:p>
        </w:tc>
      </w:tr>
      <w:tr w:rsidR="00CF5395" w:rsidRPr="0032299D" w14:paraId="73A82568"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A77B271"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Panin Dubai Syariah</w:t>
            </w:r>
          </w:p>
        </w:tc>
        <w:tc>
          <w:tcPr>
            <w:tcW w:w="0" w:type="auto"/>
          </w:tcPr>
          <w:p w14:paraId="0D057717"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-14,47%</w:t>
            </w:r>
          </w:p>
        </w:tc>
        <w:tc>
          <w:tcPr>
            <w:tcW w:w="0" w:type="auto"/>
          </w:tcPr>
          <w:p w14:paraId="25B65F42"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12 %</w:t>
            </w:r>
          </w:p>
        </w:tc>
        <w:tc>
          <w:tcPr>
            <w:tcW w:w="0" w:type="auto"/>
          </w:tcPr>
          <w:p w14:paraId="60713FC4"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Tidak Sehat</w:t>
            </w:r>
          </w:p>
        </w:tc>
      </w:tr>
      <w:tr w:rsidR="00CF5395" w:rsidRPr="0032299D" w14:paraId="3D1D64EB"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gridSpan w:val="4"/>
          </w:tcPr>
          <w:p w14:paraId="14AFF381" w14:textId="77777777" w:rsidR="00CF5395" w:rsidRPr="0032299D" w:rsidRDefault="00CF5395" w:rsidP="006F3332">
            <w:pPr>
              <w:jc w:val="center"/>
              <w:rPr>
                <w:rFonts w:ascii="Times New Roman" w:hAnsi="Times New Roman" w:cs="Times New Roman"/>
              </w:rPr>
            </w:pPr>
          </w:p>
        </w:tc>
      </w:tr>
      <w:tr w:rsidR="00CF5395" w:rsidRPr="0032299D" w14:paraId="6EEF919A"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BB56908" w14:textId="77777777" w:rsidR="00CF5395" w:rsidRPr="0032299D" w:rsidRDefault="00CF5395" w:rsidP="006F3332">
            <w:pPr>
              <w:jc w:val="center"/>
              <w:rPr>
                <w:rFonts w:ascii="Times New Roman" w:hAnsi="Times New Roman" w:cs="Times New Roman"/>
              </w:rPr>
            </w:pPr>
          </w:p>
        </w:tc>
        <w:tc>
          <w:tcPr>
            <w:tcW w:w="0" w:type="auto"/>
          </w:tcPr>
          <w:p w14:paraId="698B33B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Rata-rata NPF (%)</w:t>
            </w:r>
          </w:p>
        </w:tc>
        <w:tc>
          <w:tcPr>
            <w:tcW w:w="0" w:type="auto"/>
          </w:tcPr>
          <w:p w14:paraId="1C4AFAB3"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Standar BI</w:t>
            </w:r>
          </w:p>
        </w:tc>
        <w:tc>
          <w:tcPr>
            <w:tcW w:w="0" w:type="auto"/>
          </w:tcPr>
          <w:p w14:paraId="0380600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Kriteria</w:t>
            </w:r>
          </w:p>
        </w:tc>
      </w:tr>
      <w:tr w:rsidR="00CF5395" w:rsidRPr="0032299D" w14:paraId="17FA2641"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7B1A439"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Muamalat Indonesia</w:t>
            </w:r>
          </w:p>
        </w:tc>
        <w:tc>
          <w:tcPr>
            <w:tcW w:w="0" w:type="auto"/>
          </w:tcPr>
          <w:p w14:paraId="74F61278"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2,17%</w:t>
            </w:r>
          </w:p>
        </w:tc>
        <w:tc>
          <w:tcPr>
            <w:tcW w:w="0" w:type="auto"/>
          </w:tcPr>
          <w:p w14:paraId="1F2F77D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5 %</w:t>
            </w:r>
          </w:p>
        </w:tc>
        <w:tc>
          <w:tcPr>
            <w:tcW w:w="0" w:type="auto"/>
          </w:tcPr>
          <w:p w14:paraId="7B160CE8"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735E0B60"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29A5CC2"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BCA Syariah</w:t>
            </w:r>
          </w:p>
        </w:tc>
        <w:tc>
          <w:tcPr>
            <w:tcW w:w="0" w:type="auto"/>
          </w:tcPr>
          <w:p w14:paraId="26E573D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0,88%</w:t>
            </w:r>
          </w:p>
        </w:tc>
        <w:tc>
          <w:tcPr>
            <w:tcW w:w="0" w:type="auto"/>
          </w:tcPr>
          <w:p w14:paraId="4B98DDC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5 %</w:t>
            </w:r>
          </w:p>
        </w:tc>
        <w:tc>
          <w:tcPr>
            <w:tcW w:w="0" w:type="auto"/>
          </w:tcPr>
          <w:p w14:paraId="42813F1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Sangat Sehat</w:t>
            </w:r>
          </w:p>
        </w:tc>
      </w:tr>
      <w:tr w:rsidR="00CF5395" w:rsidRPr="0032299D" w14:paraId="5B87DAE8"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9E760A7"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BTPN Syariah</w:t>
            </w:r>
          </w:p>
        </w:tc>
        <w:tc>
          <w:tcPr>
            <w:tcW w:w="0" w:type="auto"/>
          </w:tcPr>
          <w:p w14:paraId="3C73CD65"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2,04%</w:t>
            </w:r>
          </w:p>
        </w:tc>
        <w:tc>
          <w:tcPr>
            <w:tcW w:w="0" w:type="auto"/>
          </w:tcPr>
          <w:p w14:paraId="419B76B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5 %</w:t>
            </w:r>
          </w:p>
        </w:tc>
        <w:tc>
          <w:tcPr>
            <w:tcW w:w="0" w:type="auto"/>
          </w:tcPr>
          <w:p w14:paraId="0426B203"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71F09854"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5E5CA81"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Mega Syariah</w:t>
            </w:r>
          </w:p>
        </w:tc>
        <w:tc>
          <w:tcPr>
            <w:tcW w:w="0" w:type="auto"/>
          </w:tcPr>
          <w:p w14:paraId="5B9670A2"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1,68%</w:t>
            </w:r>
          </w:p>
        </w:tc>
        <w:tc>
          <w:tcPr>
            <w:tcW w:w="0" w:type="auto"/>
          </w:tcPr>
          <w:p w14:paraId="356BD26A"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5 %</w:t>
            </w:r>
          </w:p>
        </w:tc>
        <w:tc>
          <w:tcPr>
            <w:tcW w:w="0" w:type="auto"/>
          </w:tcPr>
          <w:p w14:paraId="0474050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7463C45B"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610CBB9"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Panin Dubai Syariah</w:t>
            </w:r>
          </w:p>
        </w:tc>
        <w:tc>
          <w:tcPr>
            <w:tcW w:w="0" w:type="auto"/>
          </w:tcPr>
          <w:p w14:paraId="3D643FC4"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2,83%</w:t>
            </w:r>
          </w:p>
        </w:tc>
        <w:tc>
          <w:tcPr>
            <w:tcW w:w="0" w:type="auto"/>
          </w:tcPr>
          <w:p w14:paraId="49EF079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5 %</w:t>
            </w:r>
          </w:p>
        </w:tc>
        <w:tc>
          <w:tcPr>
            <w:tcW w:w="0" w:type="auto"/>
          </w:tcPr>
          <w:p w14:paraId="7202E6F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2E2CF505"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gridSpan w:val="4"/>
          </w:tcPr>
          <w:p w14:paraId="3270D876" w14:textId="77777777" w:rsidR="00CF5395" w:rsidRPr="0032299D" w:rsidRDefault="00CF5395" w:rsidP="006F3332">
            <w:pPr>
              <w:rPr>
                <w:rFonts w:ascii="Times New Roman" w:hAnsi="Times New Roman" w:cs="Times New Roman"/>
                <w:b w:val="0"/>
                <w:bCs w:val="0"/>
              </w:rPr>
            </w:pPr>
          </w:p>
        </w:tc>
      </w:tr>
      <w:tr w:rsidR="00CF5395" w:rsidRPr="0032299D" w14:paraId="7B3FC33D"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DC0859B" w14:textId="77777777" w:rsidR="00CF5395" w:rsidRPr="0032299D" w:rsidRDefault="00CF5395" w:rsidP="006F3332">
            <w:pPr>
              <w:rPr>
                <w:rFonts w:ascii="Times New Roman" w:hAnsi="Times New Roman" w:cs="Times New Roman"/>
                <w:b w:val="0"/>
                <w:bCs w:val="0"/>
              </w:rPr>
            </w:pPr>
          </w:p>
        </w:tc>
        <w:tc>
          <w:tcPr>
            <w:tcW w:w="0" w:type="auto"/>
          </w:tcPr>
          <w:p w14:paraId="2DD2350C"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Rata-rata FDR (%)</w:t>
            </w:r>
          </w:p>
        </w:tc>
        <w:tc>
          <w:tcPr>
            <w:tcW w:w="0" w:type="auto"/>
          </w:tcPr>
          <w:p w14:paraId="7449C78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Standar BI</w:t>
            </w:r>
          </w:p>
        </w:tc>
        <w:tc>
          <w:tcPr>
            <w:tcW w:w="0" w:type="auto"/>
          </w:tcPr>
          <w:p w14:paraId="4D7777E7"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Kriteria</w:t>
            </w:r>
          </w:p>
        </w:tc>
      </w:tr>
      <w:tr w:rsidR="00CF5395" w:rsidRPr="0032299D" w14:paraId="3EF10A6E"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831F1B2"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Muamalat Indonesia</w:t>
            </w:r>
          </w:p>
        </w:tc>
        <w:tc>
          <w:tcPr>
            <w:tcW w:w="0" w:type="auto"/>
          </w:tcPr>
          <w:p w14:paraId="0F12214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61,01%</w:t>
            </w:r>
          </w:p>
        </w:tc>
        <w:tc>
          <w:tcPr>
            <w:tcW w:w="0" w:type="auto"/>
          </w:tcPr>
          <w:p w14:paraId="4593F5B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80% - 110%</w:t>
            </w:r>
          </w:p>
        </w:tc>
        <w:tc>
          <w:tcPr>
            <w:tcW w:w="0" w:type="auto"/>
          </w:tcPr>
          <w:p w14:paraId="5847360A"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Kurang Sehat</w:t>
            </w:r>
          </w:p>
        </w:tc>
      </w:tr>
      <w:tr w:rsidR="00CF5395" w:rsidRPr="0032299D" w14:paraId="127C0B5B"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029EDE9"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BCA Syariah</w:t>
            </w:r>
          </w:p>
        </w:tc>
        <w:tc>
          <w:tcPr>
            <w:tcW w:w="0" w:type="auto"/>
          </w:tcPr>
          <w:p w14:paraId="2398D638"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76,20%</w:t>
            </w:r>
          </w:p>
        </w:tc>
        <w:tc>
          <w:tcPr>
            <w:tcW w:w="0" w:type="auto"/>
          </w:tcPr>
          <w:p w14:paraId="395EDC44"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80% - 110%</w:t>
            </w:r>
          </w:p>
        </w:tc>
        <w:tc>
          <w:tcPr>
            <w:tcW w:w="0" w:type="auto"/>
          </w:tcPr>
          <w:p w14:paraId="0734DFD8"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Kurang Sehat</w:t>
            </w:r>
          </w:p>
        </w:tc>
      </w:tr>
      <w:tr w:rsidR="00CF5395" w:rsidRPr="0032299D" w14:paraId="14F79D06"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BCC6A24"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BTPN Syariah</w:t>
            </w:r>
          </w:p>
        </w:tc>
        <w:tc>
          <w:tcPr>
            <w:tcW w:w="0" w:type="auto"/>
          </w:tcPr>
          <w:p w14:paraId="2C10B6E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95,05%</w:t>
            </w:r>
          </w:p>
        </w:tc>
        <w:tc>
          <w:tcPr>
            <w:tcW w:w="0" w:type="auto"/>
          </w:tcPr>
          <w:p w14:paraId="18449A6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80% - 110%</w:t>
            </w:r>
          </w:p>
        </w:tc>
        <w:tc>
          <w:tcPr>
            <w:tcW w:w="0" w:type="auto"/>
          </w:tcPr>
          <w:p w14:paraId="1AE3170A"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0D6D1750"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A4FA01B"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Mega Syariah</w:t>
            </w:r>
          </w:p>
        </w:tc>
        <w:tc>
          <w:tcPr>
            <w:tcW w:w="0" w:type="auto"/>
          </w:tcPr>
          <w:p w14:paraId="5BBE1D1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75,67%</w:t>
            </w:r>
          </w:p>
        </w:tc>
        <w:tc>
          <w:tcPr>
            <w:tcW w:w="0" w:type="auto"/>
          </w:tcPr>
          <w:p w14:paraId="276F3A8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80% - 110%</w:t>
            </w:r>
          </w:p>
        </w:tc>
        <w:tc>
          <w:tcPr>
            <w:tcW w:w="0" w:type="auto"/>
          </w:tcPr>
          <w:p w14:paraId="712401FC"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Kurang Sehat</w:t>
            </w:r>
          </w:p>
        </w:tc>
      </w:tr>
      <w:tr w:rsidR="00CF5395" w:rsidRPr="0032299D" w14:paraId="563C2FE9"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D2407CB"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lastRenderedPageBreak/>
              <w:t>Bank Panin Dubai Syariah</w:t>
            </w:r>
          </w:p>
        </w:tc>
        <w:tc>
          <w:tcPr>
            <w:tcW w:w="0" w:type="auto"/>
          </w:tcPr>
          <w:p w14:paraId="5A4BC545"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97,13%</w:t>
            </w:r>
          </w:p>
        </w:tc>
        <w:tc>
          <w:tcPr>
            <w:tcW w:w="0" w:type="auto"/>
          </w:tcPr>
          <w:p w14:paraId="27DBCFB2"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80% - 110%</w:t>
            </w:r>
          </w:p>
        </w:tc>
        <w:tc>
          <w:tcPr>
            <w:tcW w:w="0" w:type="auto"/>
          </w:tcPr>
          <w:p w14:paraId="36BB9B28"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4A5CC100"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gridSpan w:val="4"/>
          </w:tcPr>
          <w:p w14:paraId="5E06EA70" w14:textId="77777777" w:rsidR="00CF5395" w:rsidRPr="0032299D" w:rsidRDefault="00CF5395" w:rsidP="006F3332">
            <w:pPr>
              <w:rPr>
                <w:rFonts w:ascii="Times New Roman" w:hAnsi="Times New Roman" w:cs="Times New Roman"/>
                <w:b w:val="0"/>
                <w:bCs w:val="0"/>
              </w:rPr>
            </w:pPr>
          </w:p>
        </w:tc>
      </w:tr>
      <w:tr w:rsidR="00CF5395" w:rsidRPr="0032299D" w14:paraId="5080BA82"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364EF92" w14:textId="77777777" w:rsidR="00CF5395" w:rsidRPr="0032299D" w:rsidRDefault="00CF5395" w:rsidP="006F3332">
            <w:pPr>
              <w:rPr>
                <w:rFonts w:ascii="Times New Roman" w:hAnsi="Times New Roman" w:cs="Times New Roman"/>
                <w:b w:val="0"/>
                <w:bCs w:val="0"/>
              </w:rPr>
            </w:pPr>
          </w:p>
        </w:tc>
        <w:tc>
          <w:tcPr>
            <w:tcW w:w="0" w:type="auto"/>
          </w:tcPr>
          <w:p w14:paraId="32479453"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Rata-rata BOPO (%)</w:t>
            </w:r>
          </w:p>
        </w:tc>
        <w:tc>
          <w:tcPr>
            <w:tcW w:w="0" w:type="auto"/>
          </w:tcPr>
          <w:p w14:paraId="7F11F74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Standar BI</w:t>
            </w:r>
          </w:p>
        </w:tc>
        <w:tc>
          <w:tcPr>
            <w:tcW w:w="0" w:type="auto"/>
          </w:tcPr>
          <w:p w14:paraId="6F48A22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Kriteria</w:t>
            </w:r>
          </w:p>
        </w:tc>
      </w:tr>
      <w:tr w:rsidR="00CF5395" w:rsidRPr="0032299D" w14:paraId="59C2F799"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57FE411"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Muamalat Indonesia</w:t>
            </w:r>
          </w:p>
        </w:tc>
        <w:tc>
          <w:tcPr>
            <w:tcW w:w="0" w:type="auto"/>
          </w:tcPr>
          <w:p w14:paraId="465D4E05"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98,60%</w:t>
            </w:r>
          </w:p>
        </w:tc>
        <w:tc>
          <w:tcPr>
            <w:tcW w:w="0" w:type="auto"/>
          </w:tcPr>
          <w:p w14:paraId="0486FAC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94%</w:t>
            </w:r>
          </w:p>
        </w:tc>
        <w:tc>
          <w:tcPr>
            <w:tcW w:w="0" w:type="auto"/>
          </w:tcPr>
          <w:p w14:paraId="494E3E9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Tidak Sehat</w:t>
            </w:r>
          </w:p>
        </w:tc>
      </w:tr>
      <w:tr w:rsidR="00CF5395" w:rsidRPr="0032299D" w14:paraId="7E0C668B"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7A187E5"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BCA Syariah</w:t>
            </w:r>
          </w:p>
        </w:tc>
        <w:tc>
          <w:tcPr>
            <w:tcW w:w="0" w:type="auto"/>
          </w:tcPr>
          <w:p w14:paraId="7AE7117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79,06%</w:t>
            </w:r>
          </w:p>
        </w:tc>
        <w:tc>
          <w:tcPr>
            <w:tcW w:w="0" w:type="auto"/>
          </w:tcPr>
          <w:p w14:paraId="0D95E1B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94%</w:t>
            </w:r>
          </w:p>
        </w:tc>
        <w:tc>
          <w:tcPr>
            <w:tcW w:w="0" w:type="auto"/>
          </w:tcPr>
          <w:p w14:paraId="4A0006A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183242A1"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CC6EAF1"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BTPN Syariah</w:t>
            </w:r>
          </w:p>
        </w:tc>
        <w:tc>
          <w:tcPr>
            <w:tcW w:w="0" w:type="auto"/>
          </w:tcPr>
          <w:p w14:paraId="362FF08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65,14%</w:t>
            </w:r>
          </w:p>
        </w:tc>
        <w:tc>
          <w:tcPr>
            <w:tcW w:w="0" w:type="auto"/>
          </w:tcPr>
          <w:p w14:paraId="682C1242"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94%</w:t>
            </w:r>
          </w:p>
        </w:tc>
        <w:tc>
          <w:tcPr>
            <w:tcW w:w="0" w:type="auto"/>
          </w:tcPr>
          <w:p w14:paraId="7DC5614A"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Sangat Sehat</w:t>
            </w:r>
          </w:p>
        </w:tc>
      </w:tr>
      <w:tr w:rsidR="00CF5395" w:rsidRPr="0032299D" w14:paraId="1ED6BEE9"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B32DFF2"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Mega Syariah</w:t>
            </w:r>
          </w:p>
        </w:tc>
        <w:tc>
          <w:tcPr>
            <w:tcW w:w="0" w:type="auto"/>
          </w:tcPr>
          <w:p w14:paraId="49C62F5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81,56%</w:t>
            </w:r>
          </w:p>
        </w:tc>
        <w:tc>
          <w:tcPr>
            <w:tcW w:w="0" w:type="auto"/>
          </w:tcPr>
          <w:p w14:paraId="5313E49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94%</w:t>
            </w:r>
          </w:p>
        </w:tc>
        <w:tc>
          <w:tcPr>
            <w:tcW w:w="0" w:type="auto"/>
          </w:tcPr>
          <w:p w14:paraId="3D346A17"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50244074"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F66C038"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Bank Panin Dubai Syariah</w:t>
            </w:r>
          </w:p>
        </w:tc>
        <w:tc>
          <w:tcPr>
            <w:tcW w:w="0" w:type="auto"/>
          </w:tcPr>
          <w:p w14:paraId="13E8FA7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124,92%</w:t>
            </w:r>
          </w:p>
        </w:tc>
        <w:tc>
          <w:tcPr>
            <w:tcW w:w="0" w:type="auto"/>
          </w:tcPr>
          <w:p w14:paraId="6BDC693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94%</w:t>
            </w:r>
          </w:p>
        </w:tc>
        <w:tc>
          <w:tcPr>
            <w:tcW w:w="0" w:type="auto"/>
          </w:tcPr>
          <w:p w14:paraId="01BD243F"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Tidak Sehat</w:t>
            </w:r>
          </w:p>
        </w:tc>
      </w:tr>
    </w:tbl>
    <w:p w14:paraId="0F76452B" w14:textId="77777777" w:rsidR="005962F1" w:rsidRPr="0032299D" w:rsidRDefault="005962F1" w:rsidP="005962F1">
      <w:pPr>
        <w:tabs>
          <w:tab w:val="decimal" w:pos="284"/>
        </w:tabs>
        <w:spacing w:after="0" w:line="240" w:lineRule="auto"/>
        <w:jc w:val="both"/>
        <w:rPr>
          <w:rFonts w:ascii="Times New Roman" w:hAnsi="Times New Roman" w:cs="Times New Roman"/>
          <w:sz w:val="24"/>
          <w:szCs w:val="24"/>
        </w:rPr>
      </w:pPr>
    </w:p>
    <w:p w14:paraId="7D2DE9CE" w14:textId="6050A36C" w:rsidR="00CF5395" w:rsidRPr="0032299D" w:rsidRDefault="005962F1" w:rsidP="005962F1">
      <w:pPr>
        <w:tabs>
          <w:tab w:val="decimal" w:pos="284"/>
          <w:tab w:val="decimal" w:pos="426"/>
        </w:tabs>
        <w:spacing w:after="0" w:line="240" w:lineRule="auto"/>
        <w:jc w:val="both"/>
        <w:rPr>
          <w:rFonts w:ascii="Times New Roman" w:hAnsi="Times New Roman" w:cs="Times New Roman"/>
          <w:sz w:val="24"/>
          <w:szCs w:val="24"/>
        </w:rPr>
      </w:pPr>
      <w:r w:rsidRPr="0032299D">
        <w:rPr>
          <w:rFonts w:ascii="Times New Roman" w:hAnsi="Times New Roman" w:cs="Times New Roman"/>
          <w:sz w:val="24"/>
          <w:szCs w:val="24"/>
        </w:rPr>
        <w:tab/>
      </w:r>
      <w:r w:rsidRPr="0032299D">
        <w:rPr>
          <w:rFonts w:ascii="Times New Roman" w:hAnsi="Times New Roman" w:cs="Times New Roman"/>
          <w:sz w:val="24"/>
          <w:szCs w:val="24"/>
        </w:rPr>
        <w:tab/>
        <w:t xml:space="preserve">Pada tabel diatas, kinerja keuangan bank syariah pada masa tranformasi digital perbankan menunjukkan hasil yang cukup baik, meskipun belum merata di semua </w:t>
      </w:r>
      <w:r w:rsidR="0032299D" w:rsidRPr="0032299D">
        <w:rPr>
          <w:rFonts w:ascii="Times New Roman" w:hAnsi="Times New Roman" w:cs="Times New Roman"/>
          <w:sz w:val="24"/>
          <w:szCs w:val="24"/>
        </w:rPr>
        <w:t>bank</w:t>
      </w:r>
      <w:r w:rsidRPr="0032299D">
        <w:rPr>
          <w:rFonts w:ascii="Times New Roman" w:hAnsi="Times New Roman" w:cs="Times New Roman"/>
          <w:sz w:val="24"/>
          <w:szCs w:val="24"/>
        </w:rPr>
        <w:t xml:space="preserve">. </w:t>
      </w:r>
    </w:p>
    <w:p w14:paraId="6372FAE1" w14:textId="77777777" w:rsidR="005962F1" w:rsidRPr="0032299D" w:rsidRDefault="005962F1" w:rsidP="005962F1">
      <w:pPr>
        <w:tabs>
          <w:tab w:val="decimal" w:pos="284"/>
          <w:tab w:val="decimal" w:pos="426"/>
        </w:tabs>
        <w:spacing w:after="0" w:line="240" w:lineRule="auto"/>
        <w:jc w:val="both"/>
        <w:rPr>
          <w:rFonts w:ascii="Times New Roman" w:hAnsi="Times New Roman" w:cs="Times New Roman"/>
          <w:sz w:val="24"/>
          <w:szCs w:val="24"/>
        </w:rPr>
      </w:pPr>
    </w:p>
    <w:p w14:paraId="41687E1D" w14:textId="59F86F00" w:rsidR="00CF5395" w:rsidRPr="0032299D" w:rsidRDefault="00903585" w:rsidP="00903585">
      <w:pPr>
        <w:pStyle w:val="Default"/>
        <w:jc w:val="center"/>
        <w:rPr>
          <w:b/>
          <w:bCs/>
          <w:color w:val="auto"/>
        </w:rPr>
      </w:pPr>
      <w:r w:rsidRPr="0032299D">
        <w:rPr>
          <w:b/>
          <w:bCs/>
          <w:color w:val="auto"/>
        </w:rPr>
        <w:t xml:space="preserve">Tabel 7. </w:t>
      </w:r>
      <w:r w:rsidR="00CF5395" w:rsidRPr="0032299D">
        <w:rPr>
          <w:b/>
          <w:bCs/>
          <w:color w:val="auto"/>
        </w:rPr>
        <w:t>Kinerja keuangan bank konvensional dalam era digitalisasi perbankan</w:t>
      </w:r>
    </w:p>
    <w:tbl>
      <w:tblPr>
        <w:tblStyle w:val="GridTable1Light"/>
        <w:tblW w:w="0" w:type="auto"/>
        <w:jc w:val="center"/>
        <w:tblLook w:val="04A0" w:firstRow="1" w:lastRow="0" w:firstColumn="1" w:lastColumn="0" w:noHBand="0" w:noVBand="1"/>
      </w:tblPr>
      <w:tblGrid>
        <w:gridCol w:w="1365"/>
        <w:gridCol w:w="2233"/>
        <w:gridCol w:w="1316"/>
        <w:gridCol w:w="1420"/>
      </w:tblGrid>
      <w:tr w:rsidR="00CF5395" w:rsidRPr="0032299D" w14:paraId="0FB6D2E4" w14:textId="77777777" w:rsidTr="009924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4"/>
          </w:tcPr>
          <w:p w14:paraId="4A1E83E5" w14:textId="77777777" w:rsidR="00CF5395" w:rsidRPr="0032299D" w:rsidRDefault="00CF5395" w:rsidP="006F3332">
            <w:pPr>
              <w:jc w:val="center"/>
              <w:rPr>
                <w:rFonts w:ascii="Times New Roman" w:hAnsi="Times New Roman" w:cs="Times New Roman"/>
                <w:b w:val="0"/>
                <w:bCs w:val="0"/>
              </w:rPr>
            </w:pPr>
            <w:r w:rsidRPr="0032299D">
              <w:rPr>
                <w:rFonts w:ascii="Times New Roman" w:hAnsi="Times New Roman" w:cs="Times New Roman"/>
              </w:rPr>
              <w:t>Bank Konvensional</w:t>
            </w:r>
          </w:p>
        </w:tc>
      </w:tr>
      <w:tr w:rsidR="00CF5395" w:rsidRPr="0032299D" w14:paraId="07EBF804"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3C5417A" w14:textId="77777777" w:rsidR="00CF5395" w:rsidRPr="0032299D" w:rsidRDefault="00CF5395" w:rsidP="006F3332">
            <w:pPr>
              <w:jc w:val="center"/>
              <w:rPr>
                <w:rFonts w:ascii="Times New Roman" w:hAnsi="Times New Roman" w:cs="Times New Roman"/>
              </w:rPr>
            </w:pPr>
          </w:p>
        </w:tc>
        <w:tc>
          <w:tcPr>
            <w:tcW w:w="0" w:type="auto"/>
          </w:tcPr>
          <w:p w14:paraId="716DDE8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Rata-rata ROA (%)</w:t>
            </w:r>
          </w:p>
        </w:tc>
        <w:tc>
          <w:tcPr>
            <w:tcW w:w="0" w:type="auto"/>
          </w:tcPr>
          <w:p w14:paraId="1EFFC388"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Standar BI</w:t>
            </w:r>
          </w:p>
        </w:tc>
        <w:tc>
          <w:tcPr>
            <w:tcW w:w="0" w:type="auto"/>
          </w:tcPr>
          <w:p w14:paraId="54FCF912"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Kriteria</w:t>
            </w:r>
          </w:p>
        </w:tc>
      </w:tr>
      <w:tr w:rsidR="00CF5395" w:rsidRPr="0032299D" w14:paraId="3E4E44DF"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2966814"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BNI</w:t>
            </w:r>
          </w:p>
        </w:tc>
        <w:tc>
          <w:tcPr>
            <w:tcW w:w="0" w:type="auto"/>
          </w:tcPr>
          <w:p w14:paraId="5F238AB3"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2,13%</w:t>
            </w:r>
          </w:p>
        </w:tc>
        <w:tc>
          <w:tcPr>
            <w:tcW w:w="0" w:type="auto"/>
          </w:tcPr>
          <w:p w14:paraId="718CE12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1,5 %</w:t>
            </w:r>
          </w:p>
        </w:tc>
        <w:tc>
          <w:tcPr>
            <w:tcW w:w="0" w:type="auto"/>
          </w:tcPr>
          <w:p w14:paraId="44A663C5"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088D2B2F"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BB503B7"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MANDIRI</w:t>
            </w:r>
          </w:p>
        </w:tc>
        <w:tc>
          <w:tcPr>
            <w:tcW w:w="0" w:type="auto"/>
          </w:tcPr>
          <w:p w14:paraId="4A5C621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2,92%</w:t>
            </w:r>
          </w:p>
        </w:tc>
        <w:tc>
          <w:tcPr>
            <w:tcW w:w="0" w:type="auto"/>
          </w:tcPr>
          <w:p w14:paraId="552CDC2F"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1,5 %</w:t>
            </w:r>
          </w:p>
        </w:tc>
        <w:tc>
          <w:tcPr>
            <w:tcW w:w="0" w:type="auto"/>
          </w:tcPr>
          <w:p w14:paraId="3507D543"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179A180F"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ABE5443"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BRI</w:t>
            </w:r>
          </w:p>
        </w:tc>
        <w:tc>
          <w:tcPr>
            <w:tcW w:w="0" w:type="auto"/>
          </w:tcPr>
          <w:p w14:paraId="62B34BEE"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3,32%</w:t>
            </w:r>
          </w:p>
        </w:tc>
        <w:tc>
          <w:tcPr>
            <w:tcW w:w="0" w:type="auto"/>
          </w:tcPr>
          <w:p w14:paraId="1374CF24"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1,5 %</w:t>
            </w:r>
          </w:p>
        </w:tc>
        <w:tc>
          <w:tcPr>
            <w:tcW w:w="0" w:type="auto"/>
          </w:tcPr>
          <w:p w14:paraId="033B5E37"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3E79DDD3"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D99B426"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BCA</w:t>
            </w:r>
          </w:p>
        </w:tc>
        <w:tc>
          <w:tcPr>
            <w:tcW w:w="0" w:type="auto"/>
          </w:tcPr>
          <w:p w14:paraId="5CA0BED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3,46%</w:t>
            </w:r>
          </w:p>
        </w:tc>
        <w:tc>
          <w:tcPr>
            <w:tcW w:w="0" w:type="auto"/>
          </w:tcPr>
          <w:p w14:paraId="1DC712CF"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1,5 %</w:t>
            </w:r>
          </w:p>
        </w:tc>
        <w:tc>
          <w:tcPr>
            <w:tcW w:w="0" w:type="auto"/>
          </w:tcPr>
          <w:p w14:paraId="79293F9A"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57390C0C"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43FAA43"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DANAMON</w:t>
            </w:r>
          </w:p>
        </w:tc>
        <w:tc>
          <w:tcPr>
            <w:tcW w:w="0" w:type="auto"/>
          </w:tcPr>
          <w:p w14:paraId="7973B888"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2,29%</w:t>
            </w:r>
          </w:p>
        </w:tc>
        <w:tc>
          <w:tcPr>
            <w:tcW w:w="0" w:type="auto"/>
          </w:tcPr>
          <w:p w14:paraId="677B44B2"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1,5 %</w:t>
            </w:r>
          </w:p>
        </w:tc>
        <w:tc>
          <w:tcPr>
            <w:tcW w:w="0" w:type="auto"/>
          </w:tcPr>
          <w:p w14:paraId="7F07544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29EAAD9D"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gridSpan w:val="4"/>
          </w:tcPr>
          <w:p w14:paraId="429003B2" w14:textId="77777777" w:rsidR="00CF5395" w:rsidRPr="0032299D" w:rsidRDefault="00CF5395" w:rsidP="006F3332">
            <w:pPr>
              <w:jc w:val="center"/>
              <w:rPr>
                <w:rFonts w:ascii="Times New Roman" w:hAnsi="Times New Roman" w:cs="Times New Roman"/>
              </w:rPr>
            </w:pPr>
          </w:p>
        </w:tc>
      </w:tr>
      <w:tr w:rsidR="00CF5395" w:rsidRPr="0032299D" w14:paraId="13CAB251"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B1333BB" w14:textId="77777777" w:rsidR="00CF5395" w:rsidRPr="0032299D" w:rsidRDefault="00CF5395" w:rsidP="006F3332">
            <w:pPr>
              <w:jc w:val="center"/>
              <w:rPr>
                <w:rFonts w:ascii="Times New Roman" w:hAnsi="Times New Roman" w:cs="Times New Roman"/>
              </w:rPr>
            </w:pPr>
          </w:p>
        </w:tc>
        <w:tc>
          <w:tcPr>
            <w:tcW w:w="0" w:type="auto"/>
          </w:tcPr>
          <w:p w14:paraId="1AB462A7"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Rata-rata ROE (%)</w:t>
            </w:r>
          </w:p>
        </w:tc>
        <w:tc>
          <w:tcPr>
            <w:tcW w:w="0" w:type="auto"/>
          </w:tcPr>
          <w:p w14:paraId="153972B8"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Standar BI</w:t>
            </w:r>
          </w:p>
        </w:tc>
        <w:tc>
          <w:tcPr>
            <w:tcW w:w="0" w:type="auto"/>
          </w:tcPr>
          <w:p w14:paraId="57F2AC5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Kriteria</w:t>
            </w:r>
          </w:p>
        </w:tc>
      </w:tr>
      <w:tr w:rsidR="00CF5395" w:rsidRPr="0032299D" w14:paraId="69171811"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2279B0D"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BNI</w:t>
            </w:r>
          </w:p>
        </w:tc>
        <w:tc>
          <w:tcPr>
            <w:tcW w:w="0" w:type="auto"/>
          </w:tcPr>
          <w:p w14:paraId="24742275"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13,17%</w:t>
            </w:r>
          </w:p>
        </w:tc>
        <w:tc>
          <w:tcPr>
            <w:tcW w:w="0" w:type="auto"/>
          </w:tcPr>
          <w:p w14:paraId="165AA917"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12 %</w:t>
            </w:r>
          </w:p>
        </w:tc>
        <w:tc>
          <w:tcPr>
            <w:tcW w:w="0" w:type="auto"/>
          </w:tcPr>
          <w:p w14:paraId="2F158EE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18C42F64"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6032535"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MANDIRI</w:t>
            </w:r>
          </w:p>
        </w:tc>
        <w:tc>
          <w:tcPr>
            <w:tcW w:w="0" w:type="auto"/>
          </w:tcPr>
          <w:p w14:paraId="31B744B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17,34%</w:t>
            </w:r>
          </w:p>
        </w:tc>
        <w:tc>
          <w:tcPr>
            <w:tcW w:w="0" w:type="auto"/>
          </w:tcPr>
          <w:p w14:paraId="5ED3C784"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12 %</w:t>
            </w:r>
          </w:p>
        </w:tc>
        <w:tc>
          <w:tcPr>
            <w:tcW w:w="0" w:type="auto"/>
          </w:tcPr>
          <w:p w14:paraId="7D9A0524"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11AFE1A4"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95AC5CD"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BRI</w:t>
            </w:r>
          </w:p>
        </w:tc>
        <w:tc>
          <w:tcPr>
            <w:tcW w:w="0" w:type="auto"/>
          </w:tcPr>
          <w:p w14:paraId="6A632555"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18,82%</w:t>
            </w:r>
          </w:p>
        </w:tc>
        <w:tc>
          <w:tcPr>
            <w:tcW w:w="0" w:type="auto"/>
          </w:tcPr>
          <w:p w14:paraId="789C223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12 %</w:t>
            </w:r>
          </w:p>
        </w:tc>
        <w:tc>
          <w:tcPr>
            <w:tcW w:w="0" w:type="auto"/>
          </w:tcPr>
          <w:p w14:paraId="18DA81B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04CBB648"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37009FA"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BCA</w:t>
            </w:r>
          </w:p>
        </w:tc>
        <w:tc>
          <w:tcPr>
            <w:tcW w:w="0" w:type="auto"/>
          </w:tcPr>
          <w:p w14:paraId="1C3B748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19,43%</w:t>
            </w:r>
          </w:p>
        </w:tc>
        <w:tc>
          <w:tcPr>
            <w:tcW w:w="0" w:type="auto"/>
          </w:tcPr>
          <w:p w14:paraId="2FF2BF3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12 %</w:t>
            </w:r>
          </w:p>
        </w:tc>
        <w:tc>
          <w:tcPr>
            <w:tcW w:w="0" w:type="auto"/>
          </w:tcPr>
          <w:p w14:paraId="0E9EFFE5"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6426B911"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61CA394"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DANAMON</w:t>
            </w:r>
          </w:p>
        </w:tc>
        <w:tc>
          <w:tcPr>
            <w:tcW w:w="0" w:type="auto"/>
          </w:tcPr>
          <w:p w14:paraId="63BC19D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7,81%</w:t>
            </w:r>
          </w:p>
        </w:tc>
        <w:tc>
          <w:tcPr>
            <w:tcW w:w="0" w:type="auto"/>
          </w:tcPr>
          <w:p w14:paraId="4237317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12 %</w:t>
            </w:r>
          </w:p>
        </w:tc>
        <w:tc>
          <w:tcPr>
            <w:tcW w:w="0" w:type="auto"/>
          </w:tcPr>
          <w:p w14:paraId="5A720B42"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Tidak Sehat</w:t>
            </w:r>
          </w:p>
        </w:tc>
      </w:tr>
      <w:tr w:rsidR="00CF5395" w:rsidRPr="0032299D" w14:paraId="7CD36B6F"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gridSpan w:val="4"/>
          </w:tcPr>
          <w:p w14:paraId="3C96B610" w14:textId="77777777" w:rsidR="00CF5395" w:rsidRPr="0032299D" w:rsidRDefault="00CF5395" w:rsidP="006F3332">
            <w:pPr>
              <w:rPr>
                <w:rFonts w:ascii="Times New Roman" w:hAnsi="Times New Roman" w:cs="Times New Roman"/>
                <w:b w:val="0"/>
                <w:bCs w:val="0"/>
              </w:rPr>
            </w:pPr>
          </w:p>
        </w:tc>
      </w:tr>
      <w:tr w:rsidR="00CF5395" w:rsidRPr="0032299D" w14:paraId="446B03CD"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5CD898B" w14:textId="77777777" w:rsidR="00CF5395" w:rsidRPr="0032299D" w:rsidRDefault="00CF5395" w:rsidP="006F3332">
            <w:pPr>
              <w:rPr>
                <w:rFonts w:ascii="Times New Roman" w:hAnsi="Times New Roman" w:cs="Times New Roman"/>
                <w:b w:val="0"/>
                <w:bCs w:val="0"/>
              </w:rPr>
            </w:pPr>
          </w:p>
        </w:tc>
        <w:tc>
          <w:tcPr>
            <w:tcW w:w="0" w:type="auto"/>
          </w:tcPr>
          <w:p w14:paraId="49227C07"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Rata-rata NPL (%)</w:t>
            </w:r>
          </w:p>
        </w:tc>
        <w:tc>
          <w:tcPr>
            <w:tcW w:w="0" w:type="auto"/>
          </w:tcPr>
          <w:p w14:paraId="4AFCECE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Standar BI</w:t>
            </w:r>
          </w:p>
        </w:tc>
        <w:tc>
          <w:tcPr>
            <w:tcW w:w="0" w:type="auto"/>
          </w:tcPr>
          <w:p w14:paraId="641994B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Kriteria</w:t>
            </w:r>
          </w:p>
        </w:tc>
      </w:tr>
      <w:tr w:rsidR="00CF5395" w:rsidRPr="0032299D" w14:paraId="0B03FE10"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87DA8B6"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BNI</w:t>
            </w:r>
          </w:p>
        </w:tc>
        <w:tc>
          <w:tcPr>
            <w:tcW w:w="0" w:type="auto"/>
          </w:tcPr>
          <w:p w14:paraId="67BE34C4"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2,77%</w:t>
            </w:r>
          </w:p>
        </w:tc>
        <w:tc>
          <w:tcPr>
            <w:tcW w:w="0" w:type="auto"/>
          </w:tcPr>
          <w:p w14:paraId="06FB3D9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5 %</w:t>
            </w:r>
          </w:p>
        </w:tc>
        <w:tc>
          <w:tcPr>
            <w:tcW w:w="0" w:type="auto"/>
          </w:tcPr>
          <w:p w14:paraId="6F75888A"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7A33F44D"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3365CE4"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MANDIRI</w:t>
            </w:r>
          </w:p>
        </w:tc>
        <w:tc>
          <w:tcPr>
            <w:tcW w:w="0" w:type="auto"/>
          </w:tcPr>
          <w:p w14:paraId="47966FB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2,52%</w:t>
            </w:r>
          </w:p>
        </w:tc>
        <w:tc>
          <w:tcPr>
            <w:tcW w:w="0" w:type="auto"/>
          </w:tcPr>
          <w:p w14:paraId="7147C37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5 %</w:t>
            </w:r>
          </w:p>
        </w:tc>
        <w:tc>
          <w:tcPr>
            <w:tcW w:w="0" w:type="auto"/>
          </w:tcPr>
          <w:p w14:paraId="6922E18E"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0D119CD2"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6302782"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BRI</w:t>
            </w:r>
          </w:p>
        </w:tc>
        <w:tc>
          <w:tcPr>
            <w:tcW w:w="0" w:type="auto"/>
          </w:tcPr>
          <w:p w14:paraId="706871A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2,69%</w:t>
            </w:r>
          </w:p>
        </w:tc>
        <w:tc>
          <w:tcPr>
            <w:tcW w:w="0" w:type="auto"/>
          </w:tcPr>
          <w:p w14:paraId="71DDF6A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5 %</w:t>
            </w:r>
          </w:p>
        </w:tc>
        <w:tc>
          <w:tcPr>
            <w:tcW w:w="0" w:type="auto"/>
          </w:tcPr>
          <w:p w14:paraId="6B4D3C5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3CCBBC4C"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7B9E074"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BCA</w:t>
            </w:r>
          </w:p>
        </w:tc>
        <w:tc>
          <w:tcPr>
            <w:tcW w:w="0" w:type="auto"/>
          </w:tcPr>
          <w:p w14:paraId="30E4BCE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1,69%</w:t>
            </w:r>
          </w:p>
        </w:tc>
        <w:tc>
          <w:tcPr>
            <w:tcW w:w="0" w:type="auto"/>
          </w:tcPr>
          <w:p w14:paraId="522EA53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5 %</w:t>
            </w:r>
          </w:p>
        </w:tc>
        <w:tc>
          <w:tcPr>
            <w:tcW w:w="0" w:type="auto"/>
          </w:tcPr>
          <w:p w14:paraId="6285A9B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7C665A21"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F039702"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DANAMON</w:t>
            </w:r>
          </w:p>
        </w:tc>
        <w:tc>
          <w:tcPr>
            <w:tcW w:w="0" w:type="auto"/>
          </w:tcPr>
          <w:p w14:paraId="77C51B0A"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2,69%</w:t>
            </w:r>
          </w:p>
        </w:tc>
        <w:tc>
          <w:tcPr>
            <w:tcW w:w="0" w:type="auto"/>
          </w:tcPr>
          <w:p w14:paraId="5FAB3D73"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5 %</w:t>
            </w:r>
          </w:p>
        </w:tc>
        <w:tc>
          <w:tcPr>
            <w:tcW w:w="0" w:type="auto"/>
          </w:tcPr>
          <w:p w14:paraId="4761577E"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7F30E813"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gridSpan w:val="4"/>
          </w:tcPr>
          <w:p w14:paraId="7D9CB0A0" w14:textId="77777777" w:rsidR="00CF5395" w:rsidRPr="0032299D" w:rsidRDefault="00CF5395" w:rsidP="006F3332">
            <w:pPr>
              <w:jc w:val="center"/>
              <w:rPr>
                <w:rFonts w:ascii="Times New Roman" w:hAnsi="Times New Roman" w:cs="Times New Roman"/>
                <w:b w:val="0"/>
                <w:bCs w:val="0"/>
              </w:rPr>
            </w:pPr>
          </w:p>
        </w:tc>
      </w:tr>
      <w:tr w:rsidR="00CF5395" w:rsidRPr="0032299D" w14:paraId="30C3E526"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2442E25" w14:textId="77777777" w:rsidR="00CF5395" w:rsidRPr="0032299D" w:rsidRDefault="00CF5395" w:rsidP="006F3332">
            <w:pPr>
              <w:rPr>
                <w:rFonts w:ascii="Times New Roman" w:hAnsi="Times New Roman" w:cs="Times New Roman"/>
                <w:b w:val="0"/>
                <w:bCs w:val="0"/>
              </w:rPr>
            </w:pPr>
          </w:p>
        </w:tc>
        <w:tc>
          <w:tcPr>
            <w:tcW w:w="0" w:type="auto"/>
          </w:tcPr>
          <w:p w14:paraId="5CAB040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Rata-rata LDR (%)</w:t>
            </w:r>
          </w:p>
        </w:tc>
        <w:tc>
          <w:tcPr>
            <w:tcW w:w="0" w:type="auto"/>
          </w:tcPr>
          <w:p w14:paraId="27C752EC"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Standar BI</w:t>
            </w:r>
          </w:p>
        </w:tc>
        <w:tc>
          <w:tcPr>
            <w:tcW w:w="0" w:type="auto"/>
          </w:tcPr>
          <w:p w14:paraId="24C4E64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Kriteria</w:t>
            </w:r>
          </w:p>
        </w:tc>
      </w:tr>
      <w:tr w:rsidR="00CF5395" w:rsidRPr="0032299D" w14:paraId="48384740"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63AC017"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BNI</w:t>
            </w:r>
          </w:p>
        </w:tc>
        <w:tc>
          <w:tcPr>
            <w:tcW w:w="0" w:type="auto"/>
          </w:tcPr>
          <w:p w14:paraId="76E811A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86,13%</w:t>
            </w:r>
          </w:p>
        </w:tc>
        <w:tc>
          <w:tcPr>
            <w:tcW w:w="0" w:type="auto"/>
          </w:tcPr>
          <w:p w14:paraId="3FFA8265"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80% - 110%</w:t>
            </w:r>
          </w:p>
        </w:tc>
        <w:tc>
          <w:tcPr>
            <w:tcW w:w="0" w:type="auto"/>
          </w:tcPr>
          <w:p w14:paraId="08693C3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393BC723"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2123559"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MANDIRI</w:t>
            </w:r>
          </w:p>
        </w:tc>
        <w:tc>
          <w:tcPr>
            <w:tcW w:w="0" w:type="auto"/>
          </w:tcPr>
          <w:p w14:paraId="7F955BAA"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59,46%</w:t>
            </w:r>
          </w:p>
        </w:tc>
        <w:tc>
          <w:tcPr>
            <w:tcW w:w="0" w:type="auto"/>
          </w:tcPr>
          <w:p w14:paraId="1FEA7BC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80% - 110%</w:t>
            </w:r>
          </w:p>
        </w:tc>
        <w:tc>
          <w:tcPr>
            <w:tcW w:w="0" w:type="auto"/>
          </w:tcPr>
          <w:p w14:paraId="019B2DE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Kurang Sehat</w:t>
            </w:r>
          </w:p>
        </w:tc>
      </w:tr>
      <w:tr w:rsidR="00CF5395" w:rsidRPr="0032299D" w14:paraId="125B2060"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5535E9C"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BRI</w:t>
            </w:r>
          </w:p>
        </w:tc>
        <w:tc>
          <w:tcPr>
            <w:tcW w:w="0" w:type="auto"/>
          </w:tcPr>
          <w:p w14:paraId="2A616442"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85,28%</w:t>
            </w:r>
          </w:p>
        </w:tc>
        <w:tc>
          <w:tcPr>
            <w:tcW w:w="0" w:type="auto"/>
          </w:tcPr>
          <w:p w14:paraId="75500CC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80% - 110%</w:t>
            </w:r>
          </w:p>
        </w:tc>
        <w:tc>
          <w:tcPr>
            <w:tcW w:w="0" w:type="auto"/>
          </w:tcPr>
          <w:p w14:paraId="1B07B944"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33CD239D"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CF5BEF8"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BCA</w:t>
            </w:r>
          </w:p>
        </w:tc>
        <w:tc>
          <w:tcPr>
            <w:tcW w:w="0" w:type="auto"/>
          </w:tcPr>
          <w:p w14:paraId="0AABFD8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71,93%</w:t>
            </w:r>
          </w:p>
        </w:tc>
        <w:tc>
          <w:tcPr>
            <w:tcW w:w="0" w:type="auto"/>
          </w:tcPr>
          <w:p w14:paraId="0328BCF8"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80% - 110%</w:t>
            </w:r>
          </w:p>
        </w:tc>
        <w:tc>
          <w:tcPr>
            <w:tcW w:w="0" w:type="auto"/>
          </w:tcPr>
          <w:p w14:paraId="4CE622A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Kurang Sehat</w:t>
            </w:r>
          </w:p>
        </w:tc>
      </w:tr>
      <w:tr w:rsidR="00CF5395" w:rsidRPr="0032299D" w14:paraId="585AEF93"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FDC0391"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DANAMON</w:t>
            </w:r>
          </w:p>
        </w:tc>
        <w:tc>
          <w:tcPr>
            <w:tcW w:w="0" w:type="auto"/>
          </w:tcPr>
          <w:p w14:paraId="1681C11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91,91%</w:t>
            </w:r>
          </w:p>
        </w:tc>
        <w:tc>
          <w:tcPr>
            <w:tcW w:w="0" w:type="auto"/>
          </w:tcPr>
          <w:p w14:paraId="0AD99362"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80% - 110%</w:t>
            </w:r>
          </w:p>
        </w:tc>
        <w:tc>
          <w:tcPr>
            <w:tcW w:w="0" w:type="auto"/>
          </w:tcPr>
          <w:p w14:paraId="57F7CC06"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781FF342"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gridSpan w:val="4"/>
          </w:tcPr>
          <w:p w14:paraId="33A5BBBC" w14:textId="77777777" w:rsidR="00CF5395" w:rsidRPr="0032299D" w:rsidRDefault="00CF5395" w:rsidP="006F3332">
            <w:pPr>
              <w:jc w:val="center"/>
              <w:rPr>
                <w:rFonts w:ascii="Times New Roman" w:hAnsi="Times New Roman" w:cs="Times New Roman"/>
                <w:b w:val="0"/>
                <w:bCs w:val="0"/>
              </w:rPr>
            </w:pPr>
          </w:p>
        </w:tc>
      </w:tr>
      <w:tr w:rsidR="00CF5395" w:rsidRPr="0032299D" w14:paraId="6B57CBD6"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CC4349E" w14:textId="77777777" w:rsidR="00CF5395" w:rsidRPr="0032299D" w:rsidRDefault="00CF5395" w:rsidP="006F3332">
            <w:pPr>
              <w:rPr>
                <w:rFonts w:ascii="Times New Roman" w:hAnsi="Times New Roman" w:cs="Times New Roman"/>
                <w:b w:val="0"/>
                <w:bCs w:val="0"/>
              </w:rPr>
            </w:pPr>
          </w:p>
        </w:tc>
        <w:tc>
          <w:tcPr>
            <w:tcW w:w="0" w:type="auto"/>
          </w:tcPr>
          <w:p w14:paraId="0E23852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Rata-rata BOPO (%)</w:t>
            </w:r>
          </w:p>
        </w:tc>
        <w:tc>
          <w:tcPr>
            <w:tcW w:w="0" w:type="auto"/>
          </w:tcPr>
          <w:p w14:paraId="03B8682A"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Standar BI</w:t>
            </w:r>
          </w:p>
        </w:tc>
        <w:tc>
          <w:tcPr>
            <w:tcW w:w="0" w:type="auto"/>
          </w:tcPr>
          <w:p w14:paraId="5480C6CF"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2299D">
              <w:rPr>
                <w:rFonts w:ascii="Times New Roman" w:hAnsi="Times New Roman" w:cs="Times New Roman"/>
                <w:b/>
                <w:bCs/>
              </w:rPr>
              <w:t>Kriteria</w:t>
            </w:r>
          </w:p>
        </w:tc>
      </w:tr>
      <w:tr w:rsidR="00CF5395" w:rsidRPr="0032299D" w14:paraId="1F38912B"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233CC60"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BNI</w:t>
            </w:r>
          </w:p>
        </w:tc>
        <w:tc>
          <w:tcPr>
            <w:tcW w:w="0" w:type="auto"/>
          </w:tcPr>
          <w:p w14:paraId="38344DA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75,13%</w:t>
            </w:r>
          </w:p>
        </w:tc>
        <w:tc>
          <w:tcPr>
            <w:tcW w:w="0" w:type="auto"/>
          </w:tcPr>
          <w:p w14:paraId="4992C94B"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94%</w:t>
            </w:r>
          </w:p>
        </w:tc>
        <w:tc>
          <w:tcPr>
            <w:tcW w:w="0" w:type="auto"/>
          </w:tcPr>
          <w:p w14:paraId="1F4117BE"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5CBB1D6F"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825DA7D"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MANDIRI</w:t>
            </w:r>
          </w:p>
        </w:tc>
        <w:tc>
          <w:tcPr>
            <w:tcW w:w="0" w:type="auto"/>
          </w:tcPr>
          <w:p w14:paraId="3F3BCC45"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65,94%</w:t>
            </w:r>
          </w:p>
        </w:tc>
        <w:tc>
          <w:tcPr>
            <w:tcW w:w="0" w:type="auto"/>
          </w:tcPr>
          <w:p w14:paraId="74184B41"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94%</w:t>
            </w:r>
          </w:p>
        </w:tc>
        <w:tc>
          <w:tcPr>
            <w:tcW w:w="0" w:type="auto"/>
          </w:tcPr>
          <w:p w14:paraId="630BF4CC"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08513822"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16517AC"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BRI</w:t>
            </w:r>
          </w:p>
        </w:tc>
        <w:tc>
          <w:tcPr>
            <w:tcW w:w="0" w:type="auto"/>
          </w:tcPr>
          <w:p w14:paraId="6E49EDFC"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70,24%</w:t>
            </w:r>
          </w:p>
        </w:tc>
        <w:tc>
          <w:tcPr>
            <w:tcW w:w="0" w:type="auto"/>
          </w:tcPr>
          <w:p w14:paraId="253BC7D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94%</w:t>
            </w:r>
          </w:p>
        </w:tc>
        <w:tc>
          <w:tcPr>
            <w:tcW w:w="0" w:type="auto"/>
          </w:tcPr>
          <w:p w14:paraId="016E8782"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6D269AAB"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EE322C8"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BCA</w:t>
            </w:r>
          </w:p>
        </w:tc>
        <w:tc>
          <w:tcPr>
            <w:tcW w:w="0" w:type="auto"/>
          </w:tcPr>
          <w:p w14:paraId="5ABA1B00"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54,84%</w:t>
            </w:r>
          </w:p>
        </w:tc>
        <w:tc>
          <w:tcPr>
            <w:tcW w:w="0" w:type="auto"/>
          </w:tcPr>
          <w:p w14:paraId="30AAA402"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94%</w:t>
            </w:r>
          </w:p>
        </w:tc>
        <w:tc>
          <w:tcPr>
            <w:tcW w:w="0" w:type="auto"/>
          </w:tcPr>
          <w:p w14:paraId="1D62AA29"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r w:rsidR="00CF5395" w:rsidRPr="0032299D" w14:paraId="6580B8E0"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D087FAA" w14:textId="77777777" w:rsidR="00CF5395" w:rsidRPr="0032299D" w:rsidRDefault="00CF5395" w:rsidP="00921D9A">
            <w:pPr>
              <w:jc w:val="both"/>
              <w:rPr>
                <w:rFonts w:ascii="Times New Roman" w:hAnsi="Times New Roman" w:cs="Times New Roman"/>
                <w:b w:val="0"/>
                <w:bCs w:val="0"/>
              </w:rPr>
            </w:pPr>
            <w:r w:rsidRPr="0032299D">
              <w:rPr>
                <w:rFonts w:ascii="Times New Roman" w:hAnsi="Times New Roman" w:cs="Times New Roman"/>
                <w:b w:val="0"/>
                <w:bCs w:val="0"/>
              </w:rPr>
              <w:t>DANAMON</w:t>
            </w:r>
          </w:p>
        </w:tc>
        <w:tc>
          <w:tcPr>
            <w:tcW w:w="0" w:type="auto"/>
          </w:tcPr>
          <w:p w14:paraId="4A168C2D"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78,54%</w:t>
            </w:r>
          </w:p>
        </w:tc>
        <w:tc>
          <w:tcPr>
            <w:tcW w:w="0" w:type="auto"/>
          </w:tcPr>
          <w:p w14:paraId="5E0C7815"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 94%</w:t>
            </w:r>
          </w:p>
        </w:tc>
        <w:tc>
          <w:tcPr>
            <w:tcW w:w="0" w:type="auto"/>
          </w:tcPr>
          <w:p w14:paraId="1F67A063"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Sehat</w:t>
            </w:r>
          </w:p>
        </w:tc>
      </w:tr>
    </w:tbl>
    <w:p w14:paraId="3745DE2D" w14:textId="77777777" w:rsidR="005962F1" w:rsidRPr="0032299D" w:rsidRDefault="009924E7" w:rsidP="009924E7">
      <w:pPr>
        <w:pStyle w:val="Default"/>
        <w:tabs>
          <w:tab w:val="left" w:pos="426"/>
        </w:tabs>
        <w:jc w:val="both"/>
        <w:rPr>
          <w:color w:val="auto"/>
        </w:rPr>
      </w:pPr>
      <w:r w:rsidRPr="0032299D">
        <w:rPr>
          <w:color w:val="auto"/>
        </w:rPr>
        <w:tab/>
      </w:r>
    </w:p>
    <w:p w14:paraId="26D2F42B" w14:textId="0E692C48" w:rsidR="0008538E" w:rsidRPr="0032299D" w:rsidRDefault="005962F1" w:rsidP="009924E7">
      <w:pPr>
        <w:pStyle w:val="Default"/>
        <w:tabs>
          <w:tab w:val="left" w:pos="426"/>
        </w:tabs>
        <w:jc w:val="both"/>
        <w:rPr>
          <w:color w:val="auto"/>
        </w:rPr>
      </w:pPr>
      <w:r w:rsidRPr="0032299D">
        <w:rPr>
          <w:color w:val="auto"/>
        </w:rPr>
        <w:tab/>
      </w:r>
      <w:r w:rsidRPr="0032299D">
        <w:t xml:space="preserve">Pada tabel diatas, kinerja keuangan bank konvensional selama kurun waktu 2017-2023 menunjukkan capaian yang sangat baik, di mana seluruh indikator rasio keuangan berada diatas ketentuan standar Bank indonesia. Seluruh bank konvensional memperlihatkan rasio keuangan </w:t>
      </w:r>
      <w:r w:rsidRPr="0032299D">
        <w:lastRenderedPageBreak/>
        <w:t>yang sehat yang sehat pada sebagian besar indikator, yang mencerminkan keberhasilan penerapan strategi digitalisasi perbankan sepanjang masa tersebut</w:t>
      </w:r>
    </w:p>
    <w:p w14:paraId="29BA6411" w14:textId="3541D7AE" w:rsidR="00FB04B4" w:rsidRPr="0032299D" w:rsidRDefault="0008538E" w:rsidP="005962F1">
      <w:pPr>
        <w:pStyle w:val="Default"/>
        <w:tabs>
          <w:tab w:val="left" w:pos="426"/>
        </w:tabs>
        <w:jc w:val="both"/>
        <w:rPr>
          <w:color w:val="auto"/>
          <w:sz w:val="22"/>
          <w:szCs w:val="22"/>
        </w:rPr>
      </w:pPr>
      <w:r w:rsidRPr="0032299D">
        <w:rPr>
          <w:color w:val="auto"/>
        </w:rPr>
        <w:tab/>
      </w:r>
    </w:p>
    <w:p w14:paraId="706D0D80" w14:textId="1EE69377" w:rsidR="00CF5395" w:rsidRPr="0032299D" w:rsidRDefault="00903585" w:rsidP="00903585">
      <w:pPr>
        <w:pStyle w:val="Default"/>
        <w:jc w:val="center"/>
        <w:rPr>
          <w:b/>
          <w:bCs/>
          <w:color w:val="auto"/>
        </w:rPr>
      </w:pPr>
      <w:r w:rsidRPr="0032299D">
        <w:rPr>
          <w:b/>
          <w:bCs/>
          <w:color w:val="auto"/>
        </w:rPr>
        <w:t xml:space="preserve">Tabel 8. </w:t>
      </w:r>
      <w:r w:rsidR="00CF5395" w:rsidRPr="0032299D">
        <w:rPr>
          <w:b/>
          <w:bCs/>
          <w:color w:val="auto"/>
        </w:rPr>
        <w:t>Perbandingan kinerja keuangan bank syariah dan bank konvensional dalam era digitalisasi perbankan</w:t>
      </w:r>
    </w:p>
    <w:tbl>
      <w:tblPr>
        <w:tblStyle w:val="GridTable1Light"/>
        <w:tblW w:w="0" w:type="auto"/>
        <w:jc w:val="center"/>
        <w:tblLook w:val="04A0" w:firstRow="1" w:lastRow="0" w:firstColumn="1" w:lastColumn="0" w:noHBand="0" w:noVBand="1"/>
      </w:tblPr>
      <w:tblGrid>
        <w:gridCol w:w="1763"/>
        <w:gridCol w:w="1983"/>
        <w:gridCol w:w="2984"/>
      </w:tblGrid>
      <w:tr w:rsidR="00CF5395" w:rsidRPr="0032299D" w14:paraId="0843D2CD" w14:textId="77777777" w:rsidTr="009924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4013A8D" w14:textId="77777777" w:rsidR="00CF5395" w:rsidRPr="0032299D" w:rsidRDefault="00CF5395" w:rsidP="006F3332">
            <w:pPr>
              <w:jc w:val="center"/>
              <w:rPr>
                <w:rFonts w:ascii="Times New Roman" w:hAnsi="Times New Roman" w:cs="Times New Roman"/>
                <w:b w:val="0"/>
                <w:bCs w:val="0"/>
              </w:rPr>
            </w:pPr>
            <w:r w:rsidRPr="0032299D">
              <w:rPr>
                <w:rFonts w:ascii="Times New Roman" w:hAnsi="Times New Roman" w:cs="Times New Roman"/>
              </w:rPr>
              <w:t>Rasio Keuangan</w:t>
            </w:r>
          </w:p>
        </w:tc>
        <w:tc>
          <w:tcPr>
            <w:tcW w:w="0" w:type="auto"/>
          </w:tcPr>
          <w:p w14:paraId="1E300E30" w14:textId="77777777" w:rsidR="00CF5395" w:rsidRPr="0032299D" w:rsidRDefault="00CF5395" w:rsidP="006F33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2299D">
              <w:rPr>
                <w:rFonts w:ascii="Times New Roman" w:hAnsi="Times New Roman" w:cs="Times New Roman"/>
              </w:rPr>
              <w:t>Nilai Sig. (2-tailed)</w:t>
            </w:r>
          </w:p>
        </w:tc>
        <w:tc>
          <w:tcPr>
            <w:tcW w:w="0" w:type="auto"/>
          </w:tcPr>
          <w:p w14:paraId="349D0E8C" w14:textId="77777777" w:rsidR="00CF5395" w:rsidRPr="0032299D" w:rsidRDefault="00CF5395" w:rsidP="006F33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2299D">
              <w:rPr>
                <w:rFonts w:ascii="Times New Roman" w:hAnsi="Times New Roman" w:cs="Times New Roman"/>
              </w:rPr>
              <w:t>Keterangan</w:t>
            </w:r>
          </w:p>
        </w:tc>
      </w:tr>
      <w:tr w:rsidR="00CF5395" w:rsidRPr="0032299D" w14:paraId="68A8911F"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CFAAFF5"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ROA</w:t>
            </w:r>
          </w:p>
        </w:tc>
        <w:tc>
          <w:tcPr>
            <w:tcW w:w="0" w:type="auto"/>
          </w:tcPr>
          <w:p w14:paraId="283D074C"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0, 749</w:t>
            </w:r>
          </w:p>
        </w:tc>
        <w:tc>
          <w:tcPr>
            <w:tcW w:w="0" w:type="auto"/>
          </w:tcPr>
          <w:p w14:paraId="484DB86A" w14:textId="77777777" w:rsidR="00CF5395" w:rsidRPr="0032299D" w:rsidRDefault="00CF5395" w:rsidP="006F3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Tidak ada perbedaan signifikan</w:t>
            </w:r>
          </w:p>
        </w:tc>
      </w:tr>
      <w:tr w:rsidR="00CF5395" w:rsidRPr="0032299D" w14:paraId="58410D7D"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5D45191"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ROE</w:t>
            </w:r>
          </w:p>
        </w:tc>
        <w:tc>
          <w:tcPr>
            <w:tcW w:w="0" w:type="auto"/>
          </w:tcPr>
          <w:p w14:paraId="5D49F274"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0,006</w:t>
            </w:r>
          </w:p>
        </w:tc>
        <w:tc>
          <w:tcPr>
            <w:tcW w:w="0" w:type="auto"/>
          </w:tcPr>
          <w:p w14:paraId="78E7309E" w14:textId="77777777" w:rsidR="00CF5395" w:rsidRPr="0032299D" w:rsidRDefault="00CF5395" w:rsidP="006F3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Perbedaan signifikan</w:t>
            </w:r>
          </w:p>
        </w:tc>
      </w:tr>
      <w:tr w:rsidR="00CF5395" w:rsidRPr="0032299D" w14:paraId="3F918F17"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2AF6A6C"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NPF/NPL</w:t>
            </w:r>
          </w:p>
        </w:tc>
        <w:tc>
          <w:tcPr>
            <w:tcW w:w="0" w:type="auto"/>
          </w:tcPr>
          <w:p w14:paraId="2E928E4C"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0,025</w:t>
            </w:r>
          </w:p>
        </w:tc>
        <w:tc>
          <w:tcPr>
            <w:tcW w:w="0" w:type="auto"/>
          </w:tcPr>
          <w:p w14:paraId="4769C403" w14:textId="77777777" w:rsidR="00CF5395" w:rsidRPr="0032299D" w:rsidRDefault="00CF5395" w:rsidP="006F3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Perbedaan Signifikan</w:t>
            </w:r>
          </w:p>
        </w:tc>
      </w:tr>
      <w:tr w:rsidR="00CF5395" w:rsidRPr="0032299D" w14:paraId="5A7D53D1"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E2B43B1"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FDR/LDR</w:t>
            </w:r>
          </w:p>
        </w:tc>
        <w:tc>
          <w:tcPr>
            <w:tcW w:w="0" w:type="auto"/>
          </w:tcPr>
          <w:p w14:paraId="6CD0AB13"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0,406</w:t>
            </w:r>
          </w:p>
        </w:tc>
        <w:tc>
          <w:tcPr>
            <w:tcW w:w="0" w:type="auto"/>
          </w:tcPr>
          <w:p w14:paraId="1C3FE693" w14:textId="77777777" w:rsidR="00CF5395" w:rsidRPr="0032299D" w:rsidRDefault="00CF5395" w:rsidP="006F3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Tidak ada perbedaan signifikan</w:t>
            </w:r>
          </w:p>
        </w:tc>
      </w:tr>
      <w:tr w:rsidR="00CF5395" w:rsidRPr="0032299D" w14:paraId="554A2943" w14:textId="77777777" w:rsidTr="009924E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5055E88" w14:textId="77777777" w:rsidR="00CF5395" w:rsidRPr="0032299D" w:rsidRDefault="00CF5395" w:rsidP="006F3332">
            <w:pPr>
              <w:rPr>
                <w:rFonts w:ascii="Times New Roman" w:hAnsi="Times New Roman" w:cs="Times New Roman"/>
                <w:b w:val="0"/>
                <w:bCs w:val="0"/>
              </w:rPr>
            </w:pPr>
            <w:r w:rsidRPr="0032299D">
              <w:rPr>
                <w:rFonts w:ascii="Times New Roman" w:hAnsi="Times New Roman" w:cs="Times New Roman"/>
                <w:b w:val="0"/>
                <w:bCs w:val="0"/>
              </w:rPr>
              <w:t>BOPO</w:t>
            </w:r>
          </w:p>
        </w:tc>
        <w:tc>
          <w:tcPr>
            <w:tcW w:w="0" w:type="auto"/>
          </w:tcPr>
          <w:p w14:paraId="0A084693" w14:textId="77777777" w:rsidR="00CF5395" w:rsidRPr="0032299D" w:rsidRDefault="00CF5395" w:rsidP="006F3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0,004</w:t>
            </w:r>
          </w:p>
        </w:tc>
        <w:tc>
          <w:tcPr>
            <w:tcW w:w="0" w:type="auto"/>
          </w:tcPr>
          <w:p w14:paraId="7A882D98" w14:textId="77777777" w:rsidR="00CF5395" w:rsidRPr="0032299D" w:rsidRDefault="00CF5395" w:rsidP="006F33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299D">
              <w:rPr>
                <w:rFonts w:ascii="Times New Roman" w:hAnsi="Times New Roman" w:cs="Times New Roman"/>
              </w:rPr>
              <w:t>Perbedaan signifikan</w:t>
            </w:r>
          </w:p>
        </w:tc>
      </w:tr>
    </w:tbl>
    <w:p w14:paraId="1497199E" w14:textId="77777777" w:rsidR="0032299D" w:rsidRDefault="009924E7" w:rsidP="0032299D">
      <w:pPr>
        <w:pStyle w:val="Default"/>
        <w:tabs>
          <w:tab w:val="left" w:pos="426"/>
        </w:tabs>
        <w:jc w:val="both"/>
        <w:rPr>
          <w:color w:val="auto"/>
        </w:rPr>
      </w:pPr>
      <w:r w:rsidRPr="0032299D">
        <w:rPr>
          <w:color w:val="auto"/>
        </w:rPr>
        <w:tab/>
      </w:r>
    </w:p>
    <w:p w14:paraId="2555D264" w14:textId="43B2E7E2" w:rsidR="0032299D" w:rsidRDefault="00706FB9" w:rsidP="00706FB9">
      <w:pPr>
        <w:pStyle w:val="Default"/>
        <w:tabs>
          <w:tab w:val="left" w:pos="426"/>
        </w:tabs>
        <w:jc w:val="both"/>
      </w:pPr>
      <w:r>
        <w:tab/>
      </w:r>
      <w:r w:rsidRPr="0032299D">
        <w:t xml:space="preserve">Hasil uji </w:t>
      </w:r>
      <w:r w:rsidRPr="0032299D">
        <w:rPr>
          <w:i/>
          <w:iCs/>
        </w:rPr>
        <w:t>mann-whitney</w:t>
      </w:r>
      <w:r w:rsidRPr="0032299D">
        <w:t xml:space="preserve"> menunjukkan, bahwa terdapat perbedaan signifikan antara kinerja keuangan bank syariah dan bank konvensional pada rasio ROE, NPF/NPL, dan BOPO, dengan nilai signifikansi masing-masing sebesar 0,006, 0,025, dan 0,004 (</w:t>
      </w:r>
      <w:r w:rsidRPr="0032299D">
        <w:rPr>
          <w:i/>
          <w:iCs/>
        </w:rPr>
        <w:t>Asymp. Sig</w:t>
      </w:r>
      <w:r w:rsidRPr="0032299D">
        <w:t>. &lt; 0,05). Hal ini menunjukkan bahwa ketiga rasio tersebut menunjukkan perbedaan nyata antara kedua jenis bank. Sementara itu, pada rasio ROA dengan nilai sig. 0,749 dan FDR/LDR dengan sig. 0,406, artinya nilai signifikansinya &gt; 0,05 yang berarti tidak terdapat perbedaan signifikan antara bank syariah dan bank konvensional pada kedua rasio tersebut. Sehingga, perbedaan kinerja keuangan yang paling menonjol antara kedua jenis bank terletak pada tingkat profitabilitas , efisiensi operasional, dan kualitas pembiayaan atau kredit.</w:t>
      </w:r>
    </w:p>
    <w:p w14:paraId="7F196BEF" w14:textId="77777777" w:rsidR="00706FB9" w:rsidRPr="00706FB9" w:rsidRDefault="00706FB9" w:rsidP="00706FB9">
      <w:pPr>
        <w:pStyle w:val="Default"/>
        <w:tabs>
          <w:tab w:val="left" w:pos="426"/>
        </w:tabs>
        <w:jc w:val="both"/>
      </w:pPr>
    </w:p>
    <w:p w14:paraId="06402141" w14:textId="339C98C4" w:rsidR="00EB01A4" w:rsidRPr="0032299D" w:rsidRDefault="00EB01A4" w:rsidP="0008538E">
      <w:pPr>
        <w:pStyle w:val="Default"/>
        <w:tabs>
          <w:tab w:val="left" w:pos="426"/>
        </w:tabs>
        <w:jc w:val="both"/>
        <w:rPr>
          <w:b/>
          <w:bCs/>
          <w:color w:val="auto"/>
        </w:rPr>
      </w:pPr>
      <w:r w:rsidRPr="0032299D">
        <w:rPr>
          <w:b/>
          <w:bCs/>
          <w:color w:val="auto"/>
        </w:rPr>
        <w:t>PEMBAHASAN</w:t>
      </w:r>
    </w:p>
    <w:p w14:paraId="417E44C5" w14:textId="24210A44" w:rsidR="0032299D" w:rsidRPr="0032299D" w:rsidRDefault="0032299D" w:rsidP="0008538E">
      <w:pPr>
        <w:pStyle w:val="Default"/>
        <w:tabs>
          <w:tab w:val="left" w:pos="426"/>
        </w:tabs>
        <w:jc w:val="both"/>
        <w:rPr>
          <w:color w:val="auto"/>
        </w:rPr>
      </w:pPr>
      <w:r w:rsidRPr="0032299D">
        <w:rPr>
          <w:color w:val="auto"/>
        </w:rPr>
        <w:t xml:space="preserve">Pembahasan dalam penelitian adalah sebagai berikut: </w:t>
      </w:r>
    </w:p>
    <w:p w14:paraId="650F68CD" w14:textId="77777777" w:rsidR="005962F1" w:rsidRPr="0032299D" w:rsidRDefault="005962F1" w:rsidP="005962F1">
      <w:pPr>
        <w:pStyle w:val="Default"/>
        <w:numPr>
          <w:ilvl w:val="0"/>
          <w:numId w:val="4"/>
        </w:numPr>
        <w:tabs>
          <w:tab w:val="left" w:pos="426"/>
        </w:tabs>
        <w:jc w:val="both"/>
        <w:rPr>
          <w:color w:val="auto"/>
        </w:rPr>
      </w:pPr>
      <w:r w:rsidRPr="0032299D">
        <w:rPr>
          <w:color w:val="auto"/>
        </w:rPr>
        <w:t xml:space="preserve">Kinerja keuangan bank syariah pada era digitalisasi periode 2017–2023 menunjukkan tren yang cukup baik namun belum merata, di mana sebagian bank telah memenuhi standar profitabilitas dan efisiensi, sementara lainnya masih menghadapi kendala dalam optimalisasi aset, modal, dan penyaluran pembiayaan. Secara umum, kualitas pembiayaan tergolong baik, tetapi efisiensi operasional dan likuiditas masih bervariasi. Kondisi ini mencerminkan bahwa transformasi digital memberikan dampak positif terhadap kinerja perbankan syariah, terutama dalam meningkatkan efisiensi dan kualitas layanan, yang sejalan dengan teori </w:t>
      </w:r>
      <w:r w:rsidRPr="0032299D">
        <w:rPr>
          <w:i/>
          <w:iCs/>
          <w:color w:val="auto"/>
        </w:rPr>
        <w:t xml:space="preserve">Technology Acceptance Model </w:t>
      </w:r>
      <w:r w:rsidRPr="0032299D">
        <w:rPr>
          <w:color w:val="auto"/>
        </w:rPr>
        <w:t>(TAM) bahwa penerimaan teknologi dapat meningkatkan kinerja organisasi, meskipun masih diperlukan peningkatan dalam pemerataan kinerja antar bank.</w:t>
      </w:r>
    </w:p>
    <w:p w14:paraId="0A9F4FBF" w14:textId="56DECDCF" w:rsidR="005962F1" w:rsidRPr="0032299D" w:rsidRDefault="005962F1" w:rsidP="005962F1">
      <w:pPr>
        <w:pStyle w:val="Default"/>
        <w:numPr>
          <w:ilvl w:val="0"/>
          <w:numId w:val="4"/>
        </w:numPr>
        <w:tabs>
          <w:tab w:val="left" w:pos="426"/>
        </w:tabs>
        <w:jc w:val="both"/>
        <w:rPr>
          <w:color w:val="auto"/>
        </w:rPr>
      </w:pPr>
      <w:r w:rsidRPr="0032299D">
        <w:rPr>
          <w:color w:val="auto"/>
        </w:rPr>
        <w:t>Kinerja keuangan bank konvensional selama periode 2017–2023 menunjukkan hasil yang sangat baik, di mana sebagian besar rasio keuangan berada dalam kategori sehat sesuai standar Bank Indonesia. Hal ini tercermin dari tingginya profitabilitas (ROA dan ROE), kualitas kredit yang baik (NPL rendah), serta efisiensi operasional (BOPO rendah), meskipun masih terdapat beberapa bank yang belum optimal dalam aspek likuiditas. Pencapaian tersebut menunjukkan bahwa transformasi digital perbankan, yang didukung oleh kebijakan regulator dan percepatan penggunaan teknologi sejak pandemi covid-19, telah berhasil meningkatkan efisiensi, produktivitas, dan manajemen risiko. Kondisi ini sejalan dengan teori komparatif (Hidayah, 2016) yang menyatakan bahwa bank konvensional memiliki keunggulan dalam kesiapan teknologi dan infrastruktur, sehingga lebih adaptif dalam memanfaatkan digitalisasi untuk meningkatkan kinerja keuangan.</w:t>
      </w:r>
    </w:p>
    <w:p w14:paraId="1CAC621F" w14:textId="441C3EBA" w:rsidR="001023A0" w:rsidRPr="0032299D" w:rsidRDefault="005962F1" w:rsidP="005962F1">
      <w:pPr>
        <w:pStyle w:val="Default"/>
        <w:numPr>
          <w:ilvl w:val="0"/>
          <w:numId w:val="4"/>
        </w:numPr>
        <w:tabs>
          <w:tab w:val="left" w:pos="426"/>
        </w:tabs>
        <w:jc w:val="both"/>
        <w:rPr>
          <w:color w:val="auto"/>
        </w:rPr>
      </w:pPr>
      <w:r w:rsidRPr="0032299D">
        <w:rPr>
          <w:color w:val="auto"/>
        </w:rPr>
        <w:t xml:space="preserve">Hasil uji </w:t>
      </w:r>
      <w:r w:rsidRPr="0032299D">
        <w:rPr>
          <w:i/>
          <w:iCs/>
          <w:color w:val="auto"/>
        </w:rPr>
        <w:t>Mann-Whitney</w:t>
      </w:r>
      <w:r w:rsidRPr="0032299D">
        <w:rPr>
          <w:color w:val="auto"/>
        </w:rPr>
        <w:t xml:space="preserve"> menunjukkan bahwa tidak semua indikator kinerja keuangan memiliki perbedaan yang signifikan antara bank syariah dan bank konvensional. Pada rasio ROA dan FDR/LDR, tidak ditemukan perbedaan berarti, yang artinya kedua jenis bank memiliki kemampuan yang hampir sama dalam mengelola aset dan menyalurkan dana, apalagi dengan dukungan teknologi digital saat ini. Namun, pada rasio ROE, NPF/NPL, </w:t>
      </w:r>
      <w:r w:rsidRPr="0032299D">
        <w:rPr>
          <w:color w:val="auto"/>
        </w:rPr>
        <w:lastRenderedPageBreak/>
        <w:t>dan BOPO terlihat adanya perbedaan yang cukup jelas. Bank konvensional cenderung lebih unggul dalam hal efisiensi operasional dan kemampuan memanfaatkan modal untuk menghasilkan keuntungan, sementara bank syariah justru lebih baik dalam menjaga kualitas pembiayaan dan menekan risiko kredit bermasalah. Secara keseluruhan, bisa dibilang digitalisasi lebih terasa dampaknya pada peningkatan efisiensi dan profitabilitas bank konvensional, tetapi tidak terlalu membedakan kemampuan dasar kedua jenis bank dalam mengelola aset dan menjalankan fungsi penyaluran dana.</w:t>
      </w:r>
    </w:p>
    <w:p w14:paraId="09742ABA" w14:textId="77777777" w:rsidR="005962F1" w:rsidRPr="0032299D" w:rsidRDefault="005962F1" w:rsidP="005962F1">
      <w:pPr>
        <w:pStyle w:val="Default"/>
        <w:tabs>
          <w:tab w:val="left" w:pos="426"/>
        </w:tabs>
        <w:ind w:left="360"/>
        <w:jc w:val="both"/>
        <w:rPr>
          <w:color w:val="auto"/>
        </w:rPr>
      </w:pPr>
    </w:p>
    <w:p w14:paraId="0EA9B5F4" w14:textId="11CB2F58" w:rsidR="00FB04B4" w:rsidRPr="0032299D" w:rsidRDefault="00FB04B4" w:rsidP="00921D9A">
      <w:pPr>
        <w:pStyle w:val="Default"/>
        <w:jc w:val="both"/>
        <w:rPr>
          <w:b/>
          <w:bCs/>
          <w:color w:val="auto"/>
        </w:rPr>
      </w:pPr>
      <w:r w:rsidRPr="0032299D">
        <w:rPr>
          <w:b/>
          <w:bCs/>
          <w:color w:val="auto"/>
        </w:rPr>
        <w:t>KESIMPULAN</w:t>
      </w:r>
    </w:p>
    <w:p w14:paraId="1FBA0E7F" w14:textId="700D7B31" w:rsidR="0008538E" w:rsidRPr="0032299D" w:rsidRDefault="001023A0" w:rsidP="001023A0">
      <w:pPr>
        <w:pStyle w:val="Default"/>
        <w:tabs>
          <w:tab w:val="decimal" w:pos="284"/>
          <w:tab w:val="decimal" w:pos="426"/>
        </w:tabs>
        <w:jc w:val="both"/>
      </w:pPr>
      <w:r w:rsidRPr="0032299D">
        <w:tab/>
      </w:r>
      <w:r w:rsidRPr="0032299D">
        <w:tab/>
        <w:t>Dari hasil penelitian ini, dapat disimpulkan bahwa kinerja keuangan bank syariah dan bank konvensional di era digitalisasi periode 2017–2023 memang memiliki beberapa perbedaan. Bank konvensional terlihat lebih unggul dalam hal efisiensi dan kemampuan memanfaatkan modal untuk menghasilkan keuntungan, sementara bank syariah justru lebih baik dalam menjaga kualitas pembiayaan agar tetap aman. Walaupun begitu, dalam hal mengelola aset dan menyalurkan dana, keduanya sebenarnya memiliki kemampuan yang tidak jauh berbeda. Secara umum, digitalisasi perbankan memberikan dampak yang positif, terutama dalam meningkatkan efisiensi dan keuntungan, meskipun pengaruhnya belum sepenuhnya merata di semua aspek dan pada kedua jenis bank.</w:t>
      </w:r>
    </w:p>
    <w:p w14:paraId="677B704B" w14:textId="77777777" w:rsidR="0008538E" w:rsidRPr="0032299D" w:rsidRDefault="0008538E" w:rsidP="00921D9A">
      <w:pPr>
        <w:pStyle w:val="Default"/>
        <w:jc w:val="both"/>
        <w:rPr>
          <w:b/>
          <w:bCs/>
        </w:rPr>
      </w:pPr>
    </w:p>
    <w:p w14:paraId="65006121" w14:textId="1DEA7FFD" w:rsidR="007D4E14" w:rsidRPr="0032299D" w:rsidRDefault="007D4E14" w:rsidP="00921D9A">
      <w:pPr>
        <w:pStyle w:val="Default"/>
        <w:jc w:val="both"/>
        <w:rPr>
          <w:b/>
          <w:bCs/>
          <w:color w:val="auto"/>
        </w:rPr>
      </w:pPr>
      <w:r w:rsidRPr="0032299D">
        <w:rPr>
          <w:b/>
          <w:bCs/>
          <w:color w:val="auto"/>
        </w:rPr>
        <w:t>REFERENSI</w:t>
      </w:r>
      <w:r w:rsidR="00747F03" w:rsidRPr="0032299D">
        <w:rPr>
          <w:b/>
          <w:bCs/>
          <w:color w:val="auto"/>
        </w:rPr>
        <w:t xml:space="preserve"> </w:t>
      </w:r>
    </w:p>
    <w:p w14:paraId="3BD14C57" w14:textId="77777777" w:rsidR="009924E7"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b/>
          <w:bCs/>
        </w:rPr>
        <w:fldChar w:fldCharType="begin" w:fldLock="1"/>
      </w:r>
      <w:r w:rsidRPr="0032299D">
        <w:rPr>
          <w:rFonts w:ascii="Times New Roman" w:hAnsi="Times New Roman" w:cs="Times New Roman"/>
          <w:b/>
          <w:bCs/>
        </w:rPr>
        <w:instrText xml:space="preserve">ADDIN Mendeley Bibliography CSL_BIBLIOGRAPHY </w:instrText>
      </w:r>
      <w:r w:rsidRPr="0032299D">
        <w:rPr>
          <w:rFonts w:ascii="Times New Roman" w:hAnsi="Times New Roman" w:cs="Times New Roman"/>
          <w:b/>
          <w:bCs/>
        </w:rPr>
        <w:fldChar w:fldCharType="separate"/>
      </w:r>
      <w:r w:rsidRPr="0032299D">
        <w:rPr>
          <w:rFonts w:ascii="Times New Roman" w:hAnsi="Times New Roman" w:cs="Times New Roman"/>
        </w:rPr>
        <w:t xml:space="preserve">Akhmadi, A., Chaerunisa, S., &amp; Chaerunisa, R. (2021). </w:t>
      </w:r>
      <w:r w:rsidRPr="0032299D">
        <w:rPr>
          <w:rFonts w:ascii="Times New Roman" w:hAnsi="Times New Roman" w:cs="Times New Roman"/>
          <w:i/>
          <w:iCs/>
        </w:rPr>
        <w:t>Financial performance comparison: Empiric study on conventional commercial banks and sharia commercial banks (2012–2018)</w:t>
      </w:r>
      <w:r w:rsidRPr="0032299D">
        <w:rPr>
          <w:rFonts w:ascii="Times New Roman" w:hAnsi="Times New Roman" w:cs="Times New Roman"/>
        </w:rPr>
        <w:t xml:space="preserve">. </w:t>
      </w:r>
      <w:r w:rsidRPr="0032299D">
        <w:rPr>
          <w:rFonts w:ascii="Times New Roman" w:hAnsi="Times New Roman" w:cs="Times New Roman"/>
          <w:i/>
          <w:iCs/>
        </w:rPr>
        <w:t>International Journal of Business, Economics and Law</w:t>
      </w:r>
      <w:r w:rsidRPr="0032299D">
        <w:rPr>
          <w:rFonts w:ascii="Times New Roman" w:hAnsi="Times New Roman" w:cs="Times New Roman"/>
        </w:rPr>
        <w:t>, 24(5), 1–9</w:t>
      </w:r>
    </w:p>
    <w:p w14:paraId="313E322B" w14:textId="48107E7D"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Alamsyah, S., &amp; Meilyda, S. (2020). 4078-10050-2-Pb. </w:t>
      </w:r>
      <w:r w:rsidRPr="0032299D">
        <w:rPr>
          <w:rFonts w:ascii="Times New Roman" w:hAnsi="Times New Roman" w:cs="Times New Roman"/>
          <w:i/>
          <w:iCs/>
        </w:rPr>
        <w:t>Balance Vocation Accounting Journal</w:t>
      </w:r>
      <w:r w:rsidRPr="0032299D">
        <w:rPr>
          <w:rFonts w:ascii="Times New Roman" w:hAnsi="Times New Roman" w:cs="Times New Roman"/>
        </w:rPr>
        <w:t xml:space="preserve">, </w:t>
      </w:r>
      <w:r w:rsidRPr="0032299D">
        <w:rPr>
          <w:rFonts w:ascii="Times New Roman" w:hAnsi="Times New Roman" w:cs="Times New Roman"/>
          <w:i/>
          <w:iCs/>
        </w:rPr>
        <w:t>4</w:t>
      </w:r>
      <w:r w:rsidRPr="0032299D">
        <w:rPr>
          <w:rFonts w:ascii="Times New Roman" w:hAnsi="Times New Roman" w:cs="Times New Roman"/>
        </w:rPr>
        <w:t>(2), 137–152.</w:t>
      </w:r>
    </w:p>
    <w:p w14:paraId="2EC31B68"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Dangnga, M. T., &amp; Haeruddin, M. I. M. (2018). Kinerja Keuangan Perbankan: Upaya Untuk Menciptakan Sistem Perbankan yang Sehat. In </w:t>
      </w:r>
      <w:r w:rsidRPr="0032299D">
        <w:rPr>
          <w:rFonts w:ascii="Times New Roman" w:hAnsi="Times New Roman" w:cs="Times New Roman"/>
          <w:i/>
          <w:iCs/>
        </w:rPr>
        <w:t>Pustaka Taman Ilmu</w:t>
      </w:r>
      <w:r w:rsidRPr="0032299D">
        <w:rPr>
          <w:rFonts w:ascii="Times New Roman" w:hAnsi="Times New Roman" w:cs="Times New Roman"/>
        </w:rPr>
        <w:t>.</w:t>
      </w:r>
    </w:p>
    <w:p w14:paraId="110A0E5B"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Faradella, T. N., Nurrodiah, L. D., Fhathunnida, R., Hidayat, W., &amp; Ibrahim, Z. (2024). Analisis Komparatif Kinerja Keuangan Bank Syari’Ah Dengan Bank Konvensional Secara Umum Di Indonesia Periode 2019-2023. </w:t>
      </w:r>
      <w:r w:rsidRPr="0032299D">
        <w:rPr>
          <w:rFonts w:ascii="Times New Roman" w:hAnsi="Times New Roman" w:cs="Times New Roman"/>
          <w:i/>
          <w:iCs/>
        </w:rPr>
        <w:t>Assyarikah: Journal of Islamic Economic Business</w:t>
      </w:r>
      <w:r w:rsidRPr="0032299D">
        <w:rPr>
          <w:rFonts w:ascii="Times New Roman" w:hAnsi="Times New Roman" w:cs="Times New Roman"/>
        </w:rPr>
        <w:t xml:space="preserve">, </w:t>
      </w:r>
      <w:r w:rsidRPr="0032299D">
        <w:rPr>
          <w:rFonts w:ascii="Times New Roman" w:hAnsi="Times New Roman" w:cs="Times New Roman"/>
          <w:i/>
          <w:iCs/>
        </w:rPr>
        <w:t>5</w:t>
      </w:r>
      <w:r w:rsidRPr="0032299D">
        <w:rPr>
          <w:rFonts w:ascii="Times New Roman" w:hAnsi="Times New Roman" w:cs="Times New Roman"/>
        </w:rPr>
        <w:t>(1), 79. https://doi.org/10.28944/assyarikah.v5i1.1746</w:t>
      </w:r>
    </w:p>
    <w:p w14:paraId="1BA615F6"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Hidayah, N. (2016). Studi komparatif tingkat efisiensi perbankan konvensional dan perbankan syariah di Indonesia. </w:t>
      </w:r>
      <w:r w:rsidRPr="0032299D">
        <w:rPr>
          <w:rFonts w:ascii="Times New Roman" w:hAnsi="Times New Roman" w:cs="Times New Roman"/>
          <w:i/>
          <w:iCs/>
        </w:rPr>
        <w:t>Jurnal Ekonomi &amp; Keuangan Islam</w:t>
      </w:r>
      <w:r w:rsidRPr="0032299D">
        <w:rPr>
          <w:rFonts w:ascii="Times New Roman" w:hAnsi="Times New Roman" w:cs="Times New Roman"/>
        </w:rPr>
        <w:t xml:space="preserve">, </w:t>
      </w:r>
      <w:r w:rsidRPr="0032299D">
        <w:rPr>
          <w:rFonts w:ascii="Times New Roman" w:hAnsi="Times New Roman" w:cs="Times New Roman"/>
          <w:i/>
          <w:iCs/>
        </w:rPr>
        <w:t>2</w:t>
      </w:r>
      <w:r w:rsidRPr="0032299D">
        <w:rPr>
          <w:rFonts w:ascii="Times New Roman" w:hAnsi="Times New Roman" w:cs="Times New Roman"/>
        </w:rPr>
        <w:t>(2), 28–37. https://doi.org/10.20885/jeki.vol2.iss2.art4</w:t>
      </w:r>
    </w:p>
    <w:p w14:paraId="4DA541E1"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Indrayani, E., Berlian, S., Lestari, R. P., &amp; Purnomo, R. A. (2025). Peran Digitalisasi dalam Meningkatkan Kinerja Perbankan di Era Transformasi Teknologi. </w:t>
      </w:r>
      <w:r w:rsidRPr="0032299D">
        <w:rPr>
          <w:rFonts w:ascii="Times New Roman" w:hAnsi="Times New Roman" w:cs="Times New Roman"/>
          <w:i/>
          <w:iCs/>
        </w:rPr>
        <w:t>PESHUM : Jurnal Pendidikan, Sosial Dan Humaniora</w:t>
      </w:r>
      <w:r w:rsidRPr="0032299D">
        <w:rPr>
          <w:rFonts w:ascii="Times New Roman" w:hAnsi="Times New Roman" w:cs="Times New Roman"/>
        </w:rPr>
        <w:t xml:space="preserve">, </w:t>
      </w:r>
      <w:r w:rsidRPr="0032299D">
        <w:rPr>
          <w:rFonts w:ascii="Times New Roman" w:hAnsi="Times New Roman" w:cs="Times New Roman"/>
          <w:i/>
          <w:iCs/>
        </w:rPr>
        <w:t>4</w:t>
      </w:r>
      <w:r w:rsidRPr="0032299D">
        <w:rPr>
          <w:rFonts w:ascii="Times New Roman" w:hAnsi="Times New Roman" w:cs="Times New Roman"/>
        </w:rPr>
        <w:t>(3), 4835–4842. https://doi.org/10.56799/peshum.v4i3.9085</w:t>
      </w:r>
    </w:p>
    <w:p w14:paraId="57DD2177"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Ismanto, D., &amp; Laksono, D. K. A. (2020). Analisis Perbandingan Kinerja Keuangan pada Bank Umum Syariah BUMN (Bank BRI Syariah, Bank Syariah Mandiri dan Bank BNI Syariah). </w:t>
      </w:r>
      <w:r w:rsidRPr="0032299D">
        <w:rPr>
          <w:rFonts w:ascii="Times New Roman" w:hAnsi="Times New Roman" w:cs="Times New Roman"/>
          <w:i/>
          <w:iCs/>
        </w:rPr>
        <w:t>Jurnal Pasar Modal Dan Bisnis</w:t>
      </w:r>
      <w:r w:rsidRPr="0032299D">
        <w:rPr>
          <w:rFonts w:ascii="Times New Roman" w:hAnsi="Times New Roman" w:cs="Times New Roman"/>
        </w:rPr>
        <w:t xml:space="preserve">, </w:t>
      </w:r>
      <w:r w:rsidRPr="0032299D">
        <w:rPr>
          <w:rFonts w:ascii="Times New Roman" w:hAnsi="Times New Roman" w:cs="Times New Roman"/>
          <w:i/>
          <w:iCs/>
        </w:rPr>
        <w:t>2</w:t>
      </w:r>
      <w:r w:rsidRPr="0032299D">
        <w:rPr>
          <w:rFonts w:ascii="Times New Roman" w:hAnsi="Times New Roman" w:cs="Times New Roman"/>
        </w:rPr>
        <w:t>(2), 99–114. https://doi.org/10.37194/jpmb.v2i2.42</w:t>
      </w:r>
    </w:p>
    <w:p w14:paraId="602B0036"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Putra, F., &amp; Hasibuan, R. (2024). (n.d.). </w:t>
      </w:r>
      <w:r w:rsidRPr="0032299D">
        <w:rPr>
          <w:rFonts w:ascii="Times New Roman" w:hAnsi="Times New Roman" w:cs="Times New Roman"/>
          <w:i/>
          <w:iCs/>
        </w:rPr>
        <w:t>jurnaladm,+10.+FAISAL_166-171</w:t>
      </w:r>
      <w:r w:rsidRPr="0032299D">
        <w:rPr>
          <w:rFonts w:ascii="Times New Roman" w:hAnsi="Times New Roman" w:cs="Times New Roman"/>
        </w:rPr>
        <w:t>.</w:t>
      </w:r>
    </w:p>
    <w:p w14:paraId="6CB3F101"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Ramadhan, I., &amp; Wijaya, E. (2023). Analisis Kinerja Keuangan Perbankan Studi Kasus pada Bank Pembangunan Daerah Sebelum dan pada Saat Pandemi COVID-19. </w:t>
      </w:r>
      <w:r w:rsidRPr="0032299D">
        <w:rPr>
          <w:rFonts w:ascii="Times New Roman" w:hAnsi="Times New Roman" w:cs="Times New Roman"/>
          <w:i/>
          <w:iCs/>
        </w:rPr>
        <w:t>Jurnal Ekonomi, Manajemen Dan Perbankan (Journal of Economics, Management and Banking)</w:t>
      </w:r>
      <w:r w:rsidRPr="0032299D">
        <w:rPr>
          <w:rFonts w:ascii="Times New Roman" w:hAnsi="Times New Roman" w:cs="Times New Roman"/>
        </w:rPr>
        <w:t xml:space="preserve">, </w:t>
      </w:r>
      <w:r w:rsidRPr="0032299D">
        <w:rPr>
          <w:rFonts w:ascii="Times New Roman" w:hAnsi="Times New Roman" w:cs="Times New Roman"/>
          <w:i/>
          <w:iCs/>
        </w:rPr>
        <w:t>9</w:t>
      </w:r>
      <w:r w:rsidRPr="0032299D">
        <w:rPr>
          <w:rFonts w:ascii="Times New Roman" w:hAnsi="Times New Roman" w:cs="Times New Roman"/>
        </w:rPr>
        <w:t>(1), 49–66. https://doi.org/10.35384/jemp.v9i1.381</w:t>
      </w:r>
    </w:p>
    <w:p w14:paraId="4E31A7F3"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Ramadhan, S., &amp; Ahmar, N. (2025). </w:t>
      </w:r>
      <w:r w:rsidRPr="0032299D">
        <w:rPr>
          <w:rFonts w:ascii="Times New Roman" w:hAnsi="Times New Roman" w:cs="Times New Roman"/>
          <w:i/>
          <w:iCs/>
        </w:rPr>
        <w:t>Transformasi digital di sektor perbankan : sebuah kajian faktor-faktor kunci melalui systematic literature review</w:t>
      </w:r>
      <w:r w:rsidRPr="0032299D">
        <w:rPr>
          <w:rFonts w:ascii="Times New Roman" w:hAnsi="Times New Roman" w:cs="Times New Roman"/>
        </w:rPr>
        <w:t xml:space="preserve">. </w:t>
      </w:r>
      <w:r w:rsidRPr="0032299D">
        <w:rPr>
          <w:rFonts w:ascii="Times New Roman" w:hAnsi="Times New Roman" w:cs="Times New Roman"/>
          <w:i/>
          <w:iCs/>
        </w:rPr>
        <w:t>5</w:t>
      </w:r>
      <w:r w:rsidRPr="0032299D">
        <w:rPr>
          <w:rFonts w:ascii="Times New Roman" w:hAnsi="Times New Roman" w:cs="Times New Roman"/>
        </w:rPr>
        <w:t>(1), 11–25.</w:t>
      </w:r>
    </w:p>
    <w:p w14:paraId="75F979AA"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Shanti, R., Avianto, W., &amp; Wibowo, W. A. (2022). </w:t>
      </w:r>
      <w:r w:rsidRPr="0032299D">
        <w:rPr>
          <w:rFonts w:ascii="Times New Roman" w:hAnsi="Times New Roman" w:cs="Times New Roman"/>
          <w:i/>
          <w:iCs/>
        </w:rPr>
        <w:t>A Systematic Review on Banking Digital Transformation</w:t>
      </w:r>
      <w:r w:rsidRPr="0032299D">
        <w:rPr>
          <w:rFonts w:ascii="Times New Roman" w:hAnsi="Times New Roman" w:cs="Times New Roman"/>
        </w:rPr>
        <w:t xml:space="preserve">. </w:t>
      </w:r>
      <w:r w:rsidRPr="0032299D">
        <w:rPr>
          <w:rFonts w:ascii="Times New Roman" w:hAnsi="Times New Roman" w:cs="Times New Roman"/>
          <w:i/>
          <w:iCs/>
        </w:rPr>
        <w:t>9</w:t>
      </w:r>
      <w:r w:rsidRPr="0032299D">
        <w:rPr>
          <w:rFonts w:ascii="Times New Roman" w:hAnsi="Times New Roman" w:cs="Times New Roman"/>
        </w:rPr>
        <w:t>(2), 543–552.</w:t>
      </w:r>
    </w:p>
    <w:p w14:paraId="7EBD7600"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Simanungkalit, D. S. (2022). </w:t>
      </w:r>
      <w:r w:rsidRPr="0032299D">
        <w:rPr>
          <w:rFonts w:ascii="Times New Roman" w:hAnsi="Times New Roman" w:cs="Times New Roman"/>
          <w:i/>
          <w:iCs/>
        </w:rPr>
        <w:t>Analisis Kinerja Keuangan Bank Syariah Dan Bank Konvensional Di Masa PandemiCovid-19 (Periode Triwulan Ii2020 - Triwulan Iii 2021)</w:t>
      </w:r>
      <w:r w:rsidRPr="0032299D">
        <w:rPr>
          <w:rFonts w:ascii="Times New Roman" w:hAnsi="Times New Roman" w:cs="Times New Roman"/>
        </w:rPr>
        <w:t xml:space="preserve">. </w:t>
      </w:r>
      <w:r w:rsidRPr="0032299D">
        <w:rPr>
          <w:rFonts w:ascii="Times New Roman" w:hAnsi="Times New Roman" w:cs="Times New Roman"/>
          <w:i/>
          <w:iCs/>
        </w:rPr>
        <w:t>19</w:t>
      </w:r>
      <w:r w:rsidRPr="0032299D">
        <w:rPr>
          <w:rFonts w:ascii="Times New Roman" w:hAnsi="Times New Roman" w:cs="Times New Roman"/>
        </w:rPr>
        <w:t xml:space="preserve">, 1–51. </w:t>
      </w:r>
      <w:r w:rsidRPr="0032299D">
        <w:rPr>
          <w:rFonts w:ascii="Times New Roman" w:hAnsi="Times New Roman" w:cs="Times New Roman"/>
        </w:rPr>
        <w:lastRenderedPageBreak/>
        <w:t>https://repositori.uma.ac.id/handle/123456789/18314%0Ahttps://repositori.uma.ac.id/jspui/bitstream/123456789/18314/1/188320360 - Destria Sheren Simanungkalit - Fulltext.pdf</w:t>
      </w:r>
    </w:p>
    <w:p w14:paraId="354D5E16" w14:textId="142AA0B8" w:rsidR="00A1759D" w:rsidRPr="0032299D" w:rsidRDefault="00A1759D" w:rsidP="009924E7">
      <w:pPr>
        <w:widowControl w:val="0"/>
        <w:autoSpaceDE w:val="0"/>
        <w:autoSpaceDN w:val="0"/>
        <w:adjustRightInd w:val="0"/>
        <w:spacing w:after="0" w:line="240" w:lineRule="auto"/>
        <w:ind w:left="480" w:hanging="480"/>
        <w:jc w:val="both"/>
        <w:rPr>
          <w:rFonts w:ascii="Times New Roman" w:hAnsi="Times New Roman" w:cs="Times New Roman"/>
          <w:noProof/>
        </w:rPr>
      </w:pPr>
      <w:r w:rsidRPr="0032299D">
        <w:rPr>
          <w:rFonts w:ascii="Times New Roman" w:hAnsi="Times New Roman" w:cs="Times New Roman"/>
          <w:noProof/>
        </w:rPr>
        <w:t xml:space="preserve">Santoso, S. (2020). </w:t>
      </w:r>
      <w:r w:rsidRPr="0032299D">
        <w:rPr>
          <w:rFonts w:ascii="Times New Roman" w:hAnsi="Times New Roman" w:cs="Times New Roman"/>
          <w:i/>
          <w:iCs/>
          <w:noProof/>
        </w:rPr>
        <w:t>Panduan lengkap SPSS versi 26</w:t>
      </w:r>
      <w:r w:rsidRPr="0032299D">
        <w:rPr>
          <w:rFonts w:ascii="Times New Roman" w:hAnsi="Times New Roman" w:cs="Times New Roman"/>
          <w:noProof/>
        </w:rPr>
        <w:t>. Jakarta: Elex Media Komputindo</w:t>
      </w:r>
    </w:p>
    <w:p w14:paraId="48E40BB1"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Tiffani, I. (2023). 2039-Article Text-6906-2-10-20230605. </w:t>
      </w:r>
      <w:r w:rsidRPr="0032299D">
        <w:rPr>
          <w:rFonts w:ascii="Times New Roman" w:hAnsi="Times New Roman" w:cs="Times New Roman"/>
          <w:i/>
          <w:iCs/>
        </w:rPr>
        <w:t>Journal , Business, and Accounting</w:t>
      </w:r>
      <w:r w:rsidRPr="0032299D">
        <w:rPr>
          <w:rFonts w:ascii="Times New Roman" w:hAnsi="Times New Roman" w:cs="Times New Roman"/>
        </w:rPr>
        <w:t xml:space="preserve">, </w:t>
      </w:r>
      <w:r w:rsidRPr="0032299D">
        <w:rPr>
          <w:rFonts w:ascii="Times New Roman" w:hAnsi="Times New Roman" w:cs="Times New Roman"/>
          <w:i/>
          <w:iCs/>
        </w:rPr>
        <w:t>22</w:t>
      </w:r>
      <w:r w:rsidRPr="0032299D">
        <w:rPr>
          <w:rFonts w:ascii="Times New Roman" w:hAnsi="Times New Roman" w:cs="Times New Roman"/>
        </w:rPr>
        <w:t>(1), 152–167.</w:t>
      </w:r>
    </w:p>
    <w:p w14:paraId="6FA15339"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Wahyuni, A. D., Awaliah, P., Aryani, R., &amp; Sani, C. (2025). Peran Digitalisasi Dalam Meningkatkan Peran Perbankan Di Indonesia. </w:t>
      </w:r>
      <w:r w:rsidRPr="0032299D">
        <w:rPr>
          <w:rFonts w:ascii="Times New Roman" w:hAnsi="Times New Roman" w:cs="Times New Roman"/>
          <w:i/>
          <w:iCs/>
        </w:rPr>
        <w:t>Jurnal Ekonomi Dan Bisnis Digital (JEBD)</w:t>
      </w:r>
      <w:r w:rsidRPr="0032299D">
        <w:rPr>
          <w:rFonts w:ascii="Times New Roman" w:hAnsi="Times New Roman" w:cs="Times New Roman"/>
        </w:rPr>
        <w:t xml:space="preserve">, </w:t>
      </w:r>
      <w:r w:rsidRPr="0032299D">
        <w:rPr>
          <w:rFonts w:ascii="Times New Roman" w:hAnsi="Times New Roman" w:cs="Times New Roman"/>
          <w:i/>
          <w:iCs/>
        </w:rPr>
        <w:t>2</w:t>
      </w:r>
      <w:r w:rsidRPr="0032299D">
        <w:rPr>
          <w:rFonts w:ascii="Times New Roman" w:hAnsi="Times New Roman" w:cs="Times New Roman"/>
        </w:rPr>
        <w:t>(03), 1653–1656. https://jurnal.ittc.web.id/index.php/jebd/article/view/2293</w:t>
      </w:r>
    </w:p>
    <w:p w14:paraId="1B02AE51" w14:textId="77777777" w:rsidR="00A1759D" w:rsidRPr="0032299D" w:rsidRDefault="00A1759D" w:rsidP="009924E7">
      <w:pPr>
        <w:spacing w:after="0" w:line="240" w:lineRule="auto"/>
        <w:jc w:val="both"/>
        <w:rPr>
          <w:rFonts w:ascii="Times New Roman" w:hAnsi="Times New Roman" w:cs="Times New Roman"/>
        </w:rPr>
      </w:pPr>
      <w:r w:rsidRPr="0032299D">
        <w:rPr>
          <w:rFonts w:ascii="Times New Roman" w:hAnsi="Times New Roman" w:cs="Times New Roman"/>
        </w:rPr>
        <w:t xml:space="preserve">Yunita, P. (2021). the Digital Banking Profitability Challenges: Are They Different Between Conventional and Islamic Banks? </w:t>
      </w:r>
      <w:r w:rsidRPr="0032299D">
        <w:rPr>
          <w:rFonts w:ascii="Times New Roman" w:hAnsi="Times New Roman" w:cs="Times New Roman"/>
          <w:i/>
          <w:iCs/>
        </w:rPr>
        <w:t>Jurnal Akuntansi Dan Keuangan Indonesia</w:t>
      </w:r>
      <w:r w:rsidRPr="0032299D">
        <w:rPr>
          <w:rFonts w:ascii="Times New Roman" w:hAnsi="Times New Roman" w:cs="Times New Roman"/>
        </w:rPr>
        <w:t xml:space="preserve">, </w:t>
      </w:r>
      <w:r w:rsidRPr="0032299D">
        <w:rPr>
          <w:rFonts w:ascii="Times New Roman" w:hAnsi="Times New Roman" w:cs="Times New Roman"/>
          <w:i/>
          <w:iCs/>
        </w:rPr>
        <w:t>18</w:t>
      </w:r>
      <w:r w:rsidRPr="0032299D">
        <w:rPr>
          <w:rFonts w:ascii="Times New Roman" w:hAnsi="Times New Roman" w:cs="Times New Roman"/>
        </w:rPr>
        <w:t>(1), 55–74. https://doi.org/10.21002/jaki.2021.04</w:t>
      </w:r>
    </w:p>
    <w:p w14:paraId="50E60F99" w14:textId="77777777" w:rsidR="00A1759D" w:rsidRPr="0032299D" w:rsidRDefault="00A1759D" w:rsidP="009924E7">
      <w:pPr>
        <w:spacing w:after="0" w:line="240" w:lineRule="auto"/>
        <w:jc w:val="both"/>
        <w:rPr>
          <w:rFonts w:ascii="Times New Roman" w:hAnsi="Times New Roman" w:cs="Times New Roman"/>
          <w:b/>
          <w:bCs/>
        </w:rPr>
      </w:pPr>
      <w:r w:rsidRPr="0032299D">
        <w:rPr>
          <w:rFonts w:ascii="Times New Roman" w:hAnsi="Times New Roman" w:cs="Times New Roman"/>
        </w:rPr>
        <w:fldChar w:fldCharType="end"/>
      </w:r>
    </w:p>
    <w:p w14:paraId="5A9B24ED" w14:textId="57C81402" w:rsidR="00D9472D" w:rsidRPr="0032299D" w:rsidRDefault="00D9472D" w:rsidP="00921D9A">
      <w:pPr>
        <w:spacing w:line="240" w:lineRule="auto"/>
        <w:jc w:val="both"/>
        <w:rPr>
          <w:rFonts w:ascii="Times New Roman" w:hAnsi="Times New Roman" w:cs="Times New Roman"/>
        </w:rPr>
      </w:pPr>
    </w:p>
    <w:sectPr w:rsidR="00D9472D" w:rsidRPr="0032299D" w:rsidSect="002209F8">
      <w:headerReference w:type="default" r:id="rId1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77E26" w14:textId="77777777" w:rsidR="005C3B87" w:rsidRDefault="005C3B87" w:rsidP="00937B5B">
      <w:pPr>
        <w:spacing w:after="0" w:line="240" w:lineRule="auto"/>
      </w:pPr>
      <w:r>
        <w:separator/>
      </w:r>
    </w:p>
  </w:endnote>
  <w:endnote w:type="continuationSeparator" w:id="0">
    <w:p w14:paraId="1DBABDB8" w14:textId="77777777" w:rsidR="005C3B87" w:rsidRDefault="005C3B87" w:rsidP="0093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36CE" w14:textId="77777777" w:rsidR="00ED48AF" w:rsidRDefault="00ED48AF" w:rsidP="00ED48A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555816"/>
      <w:docPartObj>
        <w:docPartGallery w:val="Page Numbers (Bottom of Page)"/>
        <w:docPartUnique/>
      </w:docPartObj>
    </w:sdtPr>
    <w:sdtEndPr>
      <w:rPr>
        <w:noProof/>
      </w:rPr>
    </w:sdtEndPr>
    <w:sdtContent>
      <w:p w14:paraId="424260A0" w14:textId="1E3F859D" w:rsidR="00F058F1" w:rsidRDefault="002209F8" w:rsidP="002209F8">
        <w:pPr>
          <w:pStyle w:val="Footer"/>
          <w:tabs>
            <w:tab w:val="clear" w:pos="9360"/>
            <w:tab w:val="right" w:pos="9000"/>
          </w:tabs>
          <w:ind w:right="26"/>
          <w:jc w:val="right"/>
        </w:pPr>
        <w:r>
          <w:rPr>
            <w:noProof/>
          </w:rPr>
          <w:drawing>
            <wp:anchor distT="0" distB="0" distL="114300" distR="114300" simplePos="0" relativeHeight="251661312" behindDoc="1" locked="0" layoutInCell="1" allowOverlap="1" wp14:anchorId="112E7C79" wp14:editId="3914403B">
              <wp:simplePos x="0" y="0"/>
              <wp:positionH relativeFrom="column">
                <wp:posOffset>45720</wp:posOffset>
              </wp:positionH>
              <wp:positionV relativeFrom="paragraph">
                <wp:posOffset>-116840</wp:posOffset>
              </wp:positionV>
              <wp:extent cx="5861050" cy="452755"/>
              <wp:effectExtent l="0" t="0" r="0" b="0"/>
              <wp:wrapNone/>
              <wp:docPr id="1625014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1050"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8F1">
          <w:fldChar w:fldCharType="begin"/>
        </w:r>
        <w:r w:rsidR="00F058F1">
          <w:instrText xml:space="preserve"> PAGE   \* MERGEFORMAT </w:instrText>
        </w:r>
        <w:r w:rsidR="00F058F1">
          <w:fldChar w:fldCharType="separate"/>
        </w:r>
        <w:r w:rsidR="00F058F1">
          <w:rPr>
            <w:noProof/>
          </w:rPr>
          <w:t>2</w:t>
        </w:r>
        <w:r w:rsidR="00F058F1">
          <w:rPr>
            <w:noProof/>
          </w:rPr>
          <w:fldChar w:fldCharType="end"/>
        </w:r>
      </w:p>
    </w:sdtContent>
  </w:sdt>
  <w:p w14:paraId="1808E508" w14:textId="41074D1C" w:rsidR="003C1298" w:rsidRDefault="003C1298" w:rsidP="002209F8">
    <w:pPr>
      <w:pStyle w:val="Footer"/>
      <w:tabs>
        <w:tab w:val="clear" w:pos="9360"/>
        <w:tab w:val="right"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076256"/>
      <w:docPartObj>
        <w:docPartGallery w:val="Page Numbers (Bottom of Page)"/>
        <w:docPartUnique/>
      </w:docPartObj>
    </w:sdtPr>
    <w:sdtEndPr>
      <w:rPr>
        <w:noProof/>
      </w:rPr>
    </w:sdtEndPr>
    <w:sdtContent>
      <w:p w14:paraId="20E0057D" w14:textId="12FAC5AB" w:rsidR="00F058F1" w:rsidRDefault="00F058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B5F33" w14:textId="77777777" w:rsidR="00F058F1" w:rsidRDefault="00F05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88E60" w14:textId="77777777" w:rsidR="005C3B87" w:rsidRDefault="005C3B87" w:rsidP="00937B5B">
      <w:pPr>
        <w:spacing w:after="0" w:line="240" w:lineRule="auto"/>
      </w:pPr>
      <w:r>
        <w:separator/>
      </w:r>
    </w:p>
  </w:footnote>
  <w:footnote w:type="continuationSeparator" w:id="0">
    <w:p w14:paraId="38A0185C" w14:textId="77777777" w:rsidR="005C3B87" w:rsidRDefault="005C3B87" w:rsidP="0093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D340" w14:textId="00A3B59F" w:rsidR="00274792" w:rsidRDefault="00B67BE7" w:rsidP="00274792">
    <w:pPr>
      <w:pStyle w:val="Header"/>
      <w:jc w:val="center"/>
      <w:rPr>
        <w:rFonts w:ascii="Century Schoolbook" w:hAnsi="Century Schoolbook"/>
        <w:b/>
        <w:sz w:val="40"/>
        <w:lang w:val="en-GB"/>
      </w:rPr>
    </w:pPr>
    <w:proofErr w:type="gramStart"/>
    <w:r w:rsidRPr="00AC630D">
      <w:rPr>
        <w:rFonts w:ascii="Century Schoolbook" w:hAnsi="Century Schoolbook"/>
        <w:b/>
        <w:sz w:val="40"/>
        <w:lang w:val="en-GB"/>
      </w:rPr>
      <w:t>WORKSHEET</w:t>
    </w:r>
    <w:r w:rsidR="00D526D7">
      <w:rPr>
        <w:rFonts w:ascii="Century Schoolbook" w:hAnsi="Century Schoolbook"/>
        <w:b/>
        <w:sz w:val="40"/>
        <w:lang w:val="en-GB"/>
      </w:rPr>
      <w:t xml:space="preserve"> </w:t>
    </w:r>
    <w:r w:rsidR="00274792">
      <w:rPr>
        <w:rFonts w:ascii="Century Schoolbook" w:hAnsi="Century Schoolbook"/>
        <w:b/>
        <w:sz w:val="40"/>
        <w:lang w:val="en-GB"/>
      </w:rPr>
      <w:t>:</w:t>
    </w:r>
    <w:proofErr w:type="gramEnd"/>
    <w:r w:rsidR="00274792">
      <w:rPr>
        <w:rFonts w:ascii="Century Schoolbook" w:hAnsi="Century Schoolbook"/>
        <w:b/>
        <w:sz w:val="40"/>
        <w:lang w:val="en-GB"/>
      </w:rPr>
      <w:t xml:space="preserve"> </w:t>
    </w:r>
    <w:proofErr w:type="spellStart"/>
    <w:r w:rsidR="00274792">
      <w:rPr>
        <w:rFonts w:ascii="Century Schoolbook" w:hAnsi="Century Schoolbook"/>
        <w:b/>
        <w:sz w:val="40"/>
        <w:lang w:val="en-GB"/>
      </w:rPr>
      <w:t>Jurnal</w:t>
    </w:r>
    <w:proofErr w:type="spellEnd"/>
    <w:r w:rsidR="00274792">
      <w:rPr>
        <w:rFonts w:ascii="Century Schoolbook" w:hAnsi="Century Schoolbook"/>
        <w:b/>
        <w:sz w:val="40"/>
        <w:lang w:val="en-GB"/>
      </w:rPr>
      <w:t xml:space="preserve"> </w:t>
    </w:r>
    <w:proofErr w:type="spellStart"/>
    <w:r w:rsidR="00274792">
      <w:rPr>
        <w:rFonts w:ascii="Century Schoolbook" w:hAnsi="Century Schoolbook"/>
        <w:b/>
        <w:sz w:val="40"/>
        <w:lang w:val="en-GB"/>
      </w:rPr>
      <w:t>Akuntansi</w:t>
    </w:r>
    <w:proofErr w:type="spellEnd"/>
  </w:p>
  <w:p w14:paraId="61DF79E8" w14:textId="77777777" w:rsidR="00E43EE0" w:rsidRPr="00E43EE0" w:rsidRDefault="00E43EE0" w:rsidP="00274792">
    <w:pPr>
      <w:pStyle w:val="Header"/>
      <w:jc w:val="center"/>
      <w:rPr>
        <w:rFonts w:ascii="Century Schoolbook" w:hAnsi="Century Schoolbook"/>
        <w:b/>
        <w:sz w:val="18"/>
        <w:szCs w:val="8"/>
        <w:lang w:val="en-GB"/>
      </w:rPr>
    </w:pPr>
  </w:p>
  <w:p w14:paraId="01622A87" w14:textId="77777777" w:rsidR="00B67BE7" w:rsidRPr="00AC630D" w:rsidRDefault="00B67BE7" w:rsidP="00E43EE0">
    <w:pPr>
      <w:pStyle w:val="Header"/>
      <w:tabs>
        <w:tab w:val="clear" w:pos="9360"/>
      </w:tabs>
      <w:rPr>
        <w:rFonts w:ascii="Goudy Old Style" w:hAnsi="Goudy Old Style"/>
        <w:sz w:val="18"/>
        <w:lang w:val="en-GB"/>
      </w:rPr>
    </w:pPr>
    <w:proofErr w:type="spellStart"/>
    <w:r w:rsidRPr="00AC630D">
      <w:rPr>
        <w:rFonts w:ascii="Goudy Old Style" w:hAnsi="Goudy Old Style"/>
        <w:sz w:val="18"/>
        <w:lang w:val="en-GB"/>
      </w:rPr>
      <w:t>Fakultas</w:t>
    </w:r>
    <w:proofErr w:type="spellEnd"/>
    <w:r w:rsidRPr="00AC630D">
      <w:rPr>
        <w:rFonts w:ascii="Goudy Old Style" w:hAnsi="Goudy Old Style"/>
        <w:sz w:val="18"/>
        <w:lang w:val="en-GB"/>
      </w:rPr>
      <w:t xml:space="preserve"> Ekonomi dan </w:t>
    </w:r>
    <w:proofErr w:type="spellStart"/>
    <w:r w:rsidRPr="00AC630D">
      <w:rPr>
        <w:rFonts w:ascii="Goudy Old Style" w:hAnsi="Goudy Old Style"/>
        <w:sz w:val="18"/>
        <w:lang w:val="en-GB"/>
      </w:rPr>
      <w:t>Bisnis</w:t>
    </w:r>
    <w:proofErr w:type="spellEnd"/>
    <w:r w:rsidRPr="00AC630D">
      <w:rPr>
        <w:rFonts w:ascii="Goudy Old Style" w:hAnsi="Goudy Old Style"/>
        <w:sz w:val="18"/>
        <w:lang w:val="en-GB"/>
      </w:rPr>
      <w:t xml:space="preserve"> Universitas </w:t>
    </w:r>
    <w:proofErr w:type="spellStart"/>
    <w:r w:rsidRPr="00AC630D">
      <w:rPr>
        <w:rFonts w:ascii="Goudy Old Style" w:hAnsi="Goudy Old Style"/>
        <w:sz w:val="18"/>
        <w:lang w:val="en-GB"/>
      </w:rPr>
      <w:t>Dharmawangsa</w:t>
    </w:r>
    <w:proofErr w:type="spellEnd"/>
  </w:p>
  <w:p w14:paraId="2E061C4A" w14:textId="77777777"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ISSN (Print): 2808 – 8557 ISSN (Online): 2808 – 8573</w:t>
    </w:r>
  </w:p>
  <w:p w14:paraId="477F7817" w14:textId="7AA3F6FD" w:rsidR="00E43EE0" w:rsidRDefault="00274792"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sz w:val="18"/>
        <w:lang w:val="en-GB"/>
      </w:rPr>
      <w:t xml:space="preserve">Volume. </w:t>
    </w:r>
  </w:p>
  <w:p w14:paraId="43EE0317" w14:textId="23A12E72" w:rsidR="00E43EE0" w:rsidRDefault="00E43EE0"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noProof/>
        <w:sz w:val="18"/>
        <w:lang w:val="en-GB"/>
      </w:rPr>
      <mc:AlternateContent>
        <mc:Choice Requires="wps">
          <w:drawing>
            <wp:anchor distT="0" distB="0" distL="114300" distR="114300" simplePos="0" relativeHeight="251659264" behindDoc="0" locked="0" layoutInCell="1" allowOverlap="1" wp14:anchorId="797F894D" wp14:editId="2EBE51EA">
              <wp:simplePos x="0" y="0"/>
              <wp:positionH relativeFrom="column">
                <wp:posOffset>-15240</wp:posOffset>
              </wp:positionH>
              <wp:positionV relativeFrom="paragraph">
                <wp:posOffset>113030</wp:posOffset>
              </wp:positionV>
              <wp:extent cx="5772150" cy="0"/>
              <wp:effectExtent l="0" t="0" r="0" b="0"/>
              <wp:wrapNone/>
              <wp:docPr id="2028390694" name="Straight Connector 4"/>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127EEA"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pt" to="453.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YfmQEAAIg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" strokecolor="black [3040]"/>
          </w:pict>
        </mc:Fallback>
      </mc:AlternateContent>
    </w:r>
  </w:p>
  <w:p w14:paraId="0098CF68" w14:textId="77777777" w:rsidR="00E43EE0" w:rsidRDefault="00E43EE0" w:rsidP="00E43EE0">
    <w:pPr>
      <w:pStyle w:val="Header"/>
      <w:tabs>
        <w:tab w:val="clear" w:pos="9360"/>
      </w:tabs>
      <w:jc w:val="right"/>
      <w:rPr>
        <w:rFonts w:ascii="Goudy Old Style" w:hAnsi="Goudy Old Style"/>
        <w:sz w:val="18"/>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9641" w:type="dxa"/>
      <w:tblInd w:w="108" w:type="dxa"/>
      <w:tblLayout w:type="fixed"/>
      <w:tblLook w:val="0400" w:firstRow="0" w:lastRow="0" w:firstColumn="0" w:lastColumn="0" w:noHBand="0" w:noVBand="1"/>
    </w:tblPr>
    <w:tblGrid>
      <w:gridCol w:w="7513"/>
      <w:gridCol w:w="2128"/>
    </w:tblGrid>
    <w:tr w:rsidR="00F058F1" w14:paraId="65AACA09" w14:textId="77777777" w:rsidTr="0032189A">
      <w:tc>
        <w:tcPr>
          <w:tcW w:w="7513" w:type="dxa"/>
        </w:tcPr>
        <w:p w14:paraId="2C5FB483" w14:textId="77777777" w:rsidR="00F058F1" w:rsidRPr="001219DA" w:rsidRDefault="00F058F1" w:rsidP="00F058F1">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 xml:space="preserve">WORKSHEET: </w:t>
          </w:r>
          <w:proofErr w:type="spellStart"/>
          <w:r w:rsidRPr="007255D1">
            <w:rPr>
              <w:rFonts w:ascii="Goudy Old Style" w:eastAsia="Arial Narrow" w:hAnsi="Goudy Old Style" w:cs="Arial Narrow"/>
              <w:b/>
              <w:color w:val="000000"/>
              <w:sz w:val="28"/>
              <w:szCs w:val="28"/>
              <w:lang w:val="en-GB"/>
            </w:rPr>
            <w:t>Jurnal</w:t>
          </w:r>
          <w:proofErr w:type="spellEnd"/>
          <w:r w:rsidRPr="007255D1">
            <w:rPr>
              <w:rFonts w:ascii="Goudy Old Style" w:eastAsia="Arial Narrow" w:hAnsi="Goudy Old Style" w:cs="Arial Narrow"/>
              <w:b/>
              <w:color w:val="000000"/>
              <w:sz w:val="28"/>
              <w:szCs w:val="28"/>
              <w:lang w:val="en-GB"/>
            </w:rPr>
            <w:t xml:space="preserve"> </w:t>
          </w:r>
          <w:proofErr w:type="spellStart"/>
          <w:r w:rsidRPr="007255D1">
            <w:rPr>
              <w:rFonts w:ascii="Goudy Old Style" w:eastAsia="Arial Narrow" w:hAnsi="Goudy Old Style" w:cs="Arial Narrow"/>
              <w:b/>
              <w:color w:val="000000"/>
              <w:sz w:val="28"/>
              <w:szCs w:val="28"/>
              <w:lang w:val="en-GB"/>
            </w:rPr>
            <w:t>Akuntansi</w:t>
          </w:r>
          <w:proofErr w:type="spellEnd"/>
        </w:p>
        <w:p w14:paraId="6E9CC859" w14:textId="77777777" w:rsidR="00F058F1" w:rsidRPr="001219DA" w:rsidRDefault="00F058F1" w:rsidP="00F058F1">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Pr="001219DA">
            <w:rPr>
              <w:rFonts w:ascii="Goudy Old Style" w:eastAsia="Arial Narrow" w:hAnsi="Goudy Old Style" w:cs="Arial Narrow"/>
              <w:b/>
              <w:color w:val="000000"/>
            </w:rPr>
            <w:t xml:space="preserve"> </w:t>
          </w:r>
          <w:r>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2128" w:type="dxa"/>
        </w:tcPr>
        <w:p w14:paraId="0FBEF878" w14:textId="77777777" w:rsidR="00F058F1" w:rsidRPr="007255D1" w:rsidRDefault="00F058F1" w:rsidP="00F058F1">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2C4ECA11" w14:textId="77777777" w:rsidR="00F058F1" w:rsidRPr="001219DA" w:rsidRDefault="00F058F1" w:rsidP="00F058F1">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10F91F98" w14:textId="77777777" w:rsidR="006629DF" w:rsidRDefault="006629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Look w:val="0400" w:firstRow="0" w:lastRow="0" w:firstColumn="0" w:lastColumn="0" w:noHBand="0" w:noVBand="1"/>
    </w:tblPr>
    <w:tblGrid>
      <w:gridCol w:w="6895"/>
      <w:gridCol w:w="2121"/>
    </w:tblGrid>
    <w:tr w:rsidR="001219DA" w14:paraId="6C5E7A9F" w14:textId="77777777" w:rsidTr="002209F8">
      <w:tc>
        <w:tcPr>
          <w:tcW w:w="3824" w:type="pct"/>
        </w:tcPr>
        <w:p w14:paraId="4E35AFC9" w14:textId="48EFBFDE" w:rsidR="001219DA" w:rsidRPr="001219DA" w:rsidRDefault="001219DA"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7CA58D34" w14:textId="5D5ED4C8" w:rsidR="001219DA" w:rsidRPr="001219DA" w:rsidRDefault="001219DA"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00E43EE0">
            <w:rPr>
              <w:rFonts w:ascii="Goudy Old Style" w:eastAsia="Arial Narrow" w:hAnsi="Goudy Old Style" w:cs="Arial Narrow"/>
              <w:b/>
              <w:color w:val="000000"/>
            </w:rPr>
            <w:t>,</w:t>
          </w:r>
          <w:r w:rsidRPr="001219DA">
            <w:rPr>
              <w:rFonts w:ascii="Goudy Old Style" w:eastAsia="Arial Narrow" w:hAnsi="Goudy Old Style" w:cs="Arial Narrow"/>
              <w:b/>
              <w:color w:val="000000"/>
            </w:rPr>
            <w:t xml:space="preserve"> </w:t>
          </w:r>
          <w:r w:rsidR="00E43EE0">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sidR="00E43EE0">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1176" w:type="pct"/>
        </w:tcPr>
        <w:p w14:paraId="76270643" w14:textId="77777777" w:rsidR="001219DA" w:rsidRPr="007255D1" w:rsidRDefault="001219DA"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52283AA4" w14:textId="77777777" w:rsidR="001219DA" w:rsidRPr="001219DA" w:rsidRDefault="001219DA"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7F9305D1" w14:textId="77777777" w:rsidR="001219DA" w:rsidRPr="00AC630D" w:rsidRDefault="001219DA" w:rsidP="00E43EE0">
    <w:pPr>
      <w:pStyle w:val="Header"/>
      <w:tabs>
        <w:tab w:val="clear" w:pos="9360"/>
      </w:tabs>
      <w:rPr>
        <w:rFonts w:ascii="Goudy Old Style" w:hAnsi="Goudy Old Style"/>
        <w:sz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55BB0"/>
    <w:multiLevelType w:val="hybridMultilevel"/>
    <w:tmpl w:val="7AE8918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26A078E6"/>
    <w:multiLevelType w:val="hybridMultilevel"/>
    <w:tmpl w:val="A07AD12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A08137E"/>
    <w:multiLevelType w:val="hybridMultilevel"/>
    <w:tmpl w:val="1174E60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40F651D6"/>
    <w:multiLevelType w:val="hybridMultilevel"/>
    <w:tmpl w:val="4F3877A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63667218">
    <w:abstractNumId w:val="1"/>
  </w:num>
  <w:num w:numId="2" w16cid:durableId="1462457563">
    <w:abstractNumId w:val="3"/>
  </w:num>
  <w:num w:numId="3" w16cid:durableId="635909930">
    <w:abstractNumId w:val="2"/>
  </w:num>
  <w:num w:numId="4" w16cid:durableId="569198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E14"/>
    <w:rsid w:val="000334ED"/>
    <w:rsid w:val="00062E73"/>
    <w:rsid w:val="00077846"/>
    <w:rsid w:val="0008538E"/>
    <w:rsid w:val="001023A0"/>
    <w:rsid w:val="001219DA"/>
    <w:rsid w:val="001257EA"/>
    <w:rsid w:val="001258FE"/>
    <w:rsid w:val="00161ECD"/>
    <w:rsid w:val="00175C1C"/>
    <w:rsid w:val="001902F3"/>
    <w:rsid w:val="001D4256"/>
    <w:rsid w:val="001D6438"/>
    <w:rsid w:val="001F05B2"/>
    <w:rsid w:val="002209F8"/>
    <w:rsid w:val="00274792"/>
    <w:rsid w:val="002B6537"/>
    <w:rsid w:val="0032299D"/>
    <w:rsid w:val="00345E15"/>
    <w:rsid w:val="003642DF"/>
    <w:rsid w:val="00390DE4"/>
    <w:rsid w:val="003C1298"/>
    <w:rsid w:val="003D458D"/>
    <w:rsid w:val="00407572"/>
    <w:rsid w:val="00416A8F"/>
    <w:rsid w:val="00436E9A"/>
    <w:rsid w:val="00443D4B"/>
    <w:rsid w:val="004C0852"/>
    <w:rsid w:val="004F1FF0"/>
    <w:rsid w:val="00512341"/>
    <w:rsid w:val="00552D90"/>
    <w:rsid w:val="00557114"/>
    <w:rsid w:val="00591988"/>
    <w:rsid w:val="00593212"/>
    <w:rsid w:val="005962F1"/>
    <w:rsid w:val="005C3B87"/>
    <w:rsid w:val="00641E89"/>
    <w:rsid w:val="0064249A"/>
    <w:rsid w:val="006629DF"/>
    <w:rsid w:val="0067004F"/>
    <w:rsid w:val="006877E4"/>
    <w:rsid w:val="0069440C"/>
    <w:rsid w:val="00694FC2"/>
    <w:rsid w:val="00697E03"/>
    <w:rsid w:val="006F3332"/>
    <w:rsid w:val="006F7B33"/>
    <w:rsid w:val="00706FB9"/>
    <w:rsid w:val="007255D1"/>
    <w:rsid w:val="00747F03"/>
    <w:rsid w:val="00761966"/>
    <w:rsid w:val="00765121"/>
    <w:rsid w:val="007C3897"/>
    <w:rsid w:val="007D4E14"/>
    <w:rsid w:val="007D56AF"/>
    <w:rsid w:val="0082576D"/>
    <w:rsid w:val="00880240"/>
    <w:rsid w:val="00903585"/>
    <w:rsid w:val="009217A0"/>
    <w:rsid w:val="00921D9A"/>
    <w:rsid w:val="00937B5B"/>
    <w:rsid w:val="009550F5"/>
    <w:rsid w:val="009924E7"/>
    <w:rsid w:val="009F1661"/>
    <w:rsid w:val="009F195B"/>
    <w:rsid w:val="009F4B04"/>
    <w:rsid w:val="00A1759D"/>
    <w:rsid w:val="00A41868"/>
    <w:rsid w:val="00A64D30"/>
    <w:rsid w:val="00A84DAF"/>
    <w:rsid w:val="00AB439A"/>
    <w:rsid w:val="00AC6193"/>
    <w:rsid w:val="00AC630D"/>
    <w:rsid w:val="00B31D26"/>
    <w:rsid w:val="00B53733"/>
    <w:rsid w:val="00B54BD4"/>
    <w:rsid w:val="00B67BE7"/>
    <w:rsid w:val="00B7195C"/>
    <w:rsid w:val="00B7701C"/>
    <w:rsid w:val="00C105D1"/>
    <w:rsid w:val="00C22367"/>
    <w:rsid w:val="00C9789D"/>
    <w:rsid w:val="00CF5395"/>
    <w:rsid w:val="00D526D7"/>
    <w:rsid w:val="00D9472D"/>
    <w:rsid w:val="00E318AD"/>
    <w:rsid w:val="00E43EE0"/>
    <w:rsid w:val="00E66E35"/>
    <w:rsid w:val="00E821E6"/>
    <w:rsid w:val="00EB01A4"/>
    <w:rsid w:val="00ED48AF"/>
    <w:rsid w:val="00F058F1"/>
    <w:rsid w:val="00FB04B4"/>
    <w:rsid w:val="00FD0A37"/>
    <w:rsid w:val="00FF50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2CF7F"/>
  <w15:docId w15:val="{BE6B93C3-527F-4051-BAD1-086092E9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rsid w:val="00C97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550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219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8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274792"/>
    <w:rPr>
      <w:color w:val="0000FF" w:themeColor="hyperlink"/>
      <w:u w:val="single"/>
    </w:rPr>
  </w:style>
  <w:style w:type="character" w:styleId="UnresolvedMention">
    <w:name w:val="Unresolved Mention"/>
    <w:basedOn w:val="DefaultParagraphFont"/>
    <w:uiPriority w:val="99"/>
    <w:semiHidden/>
    <w:unhideWhenUsed/>
    <w:rsid w:val="00A64D30"/>
    <w:rPr>
      <w:color w:val="605E5C"/>
      <w:shd w:val="clear" w:color="auto" w:fill="E1DFDD"/>
    </w:rPr>
  </w:style>
  <w:style w:type="table" w:styleId="GridTable1Light">
    <w:name w:val="Grid Table 1 Light"/>
    <w:basedOn w:val="TableNormal"/>
    <w:uiPriority w:val="46"/>
    <w:rsid w:val="006F33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0853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gsihfebria6@gmail.com"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gsihfebria6@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gustina@unsam.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yangmurni@unsam.ac.id"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BA95E-1FFD-4651-8350-3607B17C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5147</Words>
  <Characters>29343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febria ningsih</cp:lastModifiedBy>
  <cp:revision>4</cp:revision>
  <dcterms:created xsi:type="dcterms:W3CDTF">2026-04-03T06:06:00Z</dcterms:created>
  <dcterms:modified xsi:type="dcterms:W3CDTF">2026-04-03T13:39:00Z</dcterms:modified>
</cp:coreProperties>
</file>