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FB42" w14:textId="359375F5"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5222F6">
        <w:rPr>
          <w:rFonts w:ascii="Times New Roman" w:eastAsia="Times New Roman" w:hAnsi="Times New Roman" w:cs="Times New Roman"/>
          <w:b/>
          <w:bCs/>
          <w:sz w:val="24"/>
          <w:szCs w:val="24"/>
        </w:rPr>
        <w:t>Pengaruh Tata Kelola Perusahaan dan Carbon Emission Disclosure terhadap Kualitas Pelaporan Keberlanjutan (Studi pada Perusahaan Sektor Maritim dan Logistik yang Terdaftar di Bursa Efek Indonesia Periode 2021–2024)</w:t>
      </w:r>
      <w:r w:rsidRPr="005222F6">
        <w:rPr>
          <w:rFonts w:ascii="Times New Roman" w:eastAsia="Times New Roman" w:hAnsi="Times New Roman" w:cs="Times New Roman"/>
          <w:color w:val="000000"/>
        </w:rPr>
        <w:tab/>
      </w:r>
      <w:r w:rsidRPr="005222F6">
        <w:rPr>
          <w:rFonts w:ascii="Times New Roman" w:eastAsia="Times New Roman" w:hAnsi="Times New Roman" w:cs="Times New Roman"/>
          <w:color w:val="000000"/>
        </w:rPr>
        <w:tab/>
      </w:r>
    </w:p>
    <w:p w14:paraId="4384E852" w14:textId="77777777" w:rsidR="00756DF6" w:rsidRPr="005222F6" w:rsidRDefault="00756DF6"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5CD1675B" w14:textId="74FB3908"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rPr>
      </w:pPr>
      <w:r w:rsidRPr="005222F6">
        <w:rPr>
          <w:rFonts w:ascii="Times New Roman" w:eastAsia="Times New Roman" w:hAnsi="Times New Roman" w:cs="Times New Roman"/>
        </w:rPr>
        <w:t>Zeynep Aslan</w:t>
      </w:r>
      <w:r w:rsidRPr="005222F6">
        <w:rPr>
          <w:rFonts w:ascii="Times New Roman" w:eastAsia="Times New Roman" w:hAnsi="Times New Roman" w:cs="Times New Roman"/>
          <w:color w:val="000000"/>
        </w:rPr>
        <w:t xml:space="preserve"> </w:t>
      </w:r>
      <w:r w:rsidRPr="005222F6">
        <w:rPr>
          <w:rFonts w:ascii="Times New Roman" w:eastAsia="Times New Roman" w:hAnsi="Times New Roman" w:cs="Times New Roman"/>
          <w:color w:val="000000"/>
          <w:vertAlign w:val="superscript"/>
        </w:rPr>
        <w:t>1*)</w:t>
      </w:r>
      <w:r w:rsidRPr="005222F6">
        <w:rPr>
          <w:rFonts w:ascii="Times New Roman" w:eastAsia="Times New Roman" w:hAnsi="Times New Roman" w:cs="Times New Roman"/>
          <w:color w:val="000000"/>
        </w:rPr>
        <w:t xml:space="preserve">; </w:t>
      </w:r>
      <w:r w:rsidR="0029280D" w:rsidRPr="005222F6">
        <w:rPr>
          <w:rFonts w:ascii="Times New Roman" w:eastAsia="Times New Roman" w:hAnsi="Times New Roman" w:cs="Times New Roman"/>
        </w:rPr>
        <w:t>Meutia Riany</w:t>
      </w:r>
      <w:r w:rsidRPr="005222F6">
        <w:rPr>
          <w:rFonts w:ascii="Times New Roman" w:eastAsia="Times New Roman" w:hAnsi="Times New Roman" w:cs="Times New Roman"/>
          <w:color w:val="000000"/>
        </w:rPr>
        <w:t xml:space="preserve"> </w:t>
      </w:r>
      <w:r w:rsidRPr="005222F6">
        <w:rPr>
          <w:rFonts w:ascii="Times New Roman" w:eastAsia="Times New Roman" w:hAnsi="Times New Roman" w:cs="Times New Roman"/>
          <w:color w:val="000000"/>
          <w:vertAlign w:val="superscript"/>
        </w:rPr>
        <w:t>2)</w:t>
      </w:r>
    </w:p>
    <w:p w14:paraId="37295784" w14:textId="77777777" w:rsidR="00756DF6" w:rsidRPr="005222F6" w:rsidRDefault="00756DF6" w:rsidP="00607EBC">
      <w:pPr>
        <w:pBdr>
          <w:top w:val="nil"/>
          <w:left w:val="nil"/>
          <w:bottom w:val="nil"/>
          <w:right w:val="nil"/>
          <w:between w:val="nil"/>
        </w:pBdr>
        <w:spacing w:after="0" w:line="240" w:lineRule="auto"/>
        <w:rPr>
          <w:rFonts w:ascii="Times New Roman" w:eastAsia="Times New Roman" w:hAnsi="Times New Roman" w:cs="Times New Roman"/>
          <w:color w:val="000000"/>
          <w:sz w:val="13"/>
          <w:szCs w:val="13"/>
        </w:rPr>
      </w:pPr>
    </w:p>
    <w:p w14:paraId="480F4230" w14:textId="560AB934"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5222F6">
        <w:rPr>
          <w:rFonts w:ascii="Times New Roman" w:eastAsia="Times New Roman" w:hAnsi="Times New Roman" w:cs="Times New Roman"/>
          <w:color w:val="000000"/>
          <w:sz w:val="20"/>
          <w:szCs w:val="20"/>
        </w:rPr>
        <w:t xml:space="preserve">1). </w:t>
      </w:r>
      <w:r w:rsidR="003155A0">
        <w:rPr>
          <w:rFonts w:ascii="Times New Roman" w:eastAsia="Times New Roman" w:hAnsi="Times New Roman" w:cs="Times New Roman"/>
          <w:color w:val="000000"/>
          <w:sz w:val="20"/>
          <w:szCs w:val="20"/>
        </w:rPr>
        <w:t xml:space="preserve">Fakultas </w:t>
      </w:r>
      <w:r w:rsidR="0038516A" w:rsidRPr="0038516A">
        <w:rPr>
          <w:rFonts w:ascii="Times New Roman" w:eastAsia="Times New Roman" w:hAnsi="Times New Roman" w:cs="Times New Roman"/>
          <w:sz w:val="20"/>
          <w:szCs w:val="20"/>
        </w:rPr>
        <w:t>Bisnis hukum dan pendidikan</w:t>
      </w:r>
      <w:r w:rsidRPr="005222F6">
        <w:rPr>
          <w:rFonts w:ascii="Times New Roman" w:eastAsia="Times New Roman" w:hAnsi="Times New Roman" w:cs="Times New Roman"/>
          <w:color w:val="000000"/>
          <w:sz w:val="20"/>
          <w:szCs w:val="20"/>
        </w:rPr>
        <w:t xml:space="preserve">, </w:t>
      </w:r>
      <w:r w:rsidRPr="005222F6">
        <w:rPr>
          <w:rFonts w:ascii="Times New Roman" w:eastAsia="Times New Roman" w:hAnsi="Times New Roman" w:cs="Times New Roman"/>
          <w:sz w:val="20"/>
          <w:szCs w:val="20"/>
        </w:rPr>
        <w:t>Universitas Nusa Putra</w:t>
      </w:r>
    </w:p>
    <w:p w14:paraId="0C6B001C" w14:textId="77777777"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5222F6">
        <w:rPr>
          <w:rFonts w:ascii="Times New Roman" w:eastAsia="Times New Roman" w:hAnsi="Times New Roman" w:cs="Times New Roman"/>
          <w:color w:val="000000"/>
          <w:sz w:val="20"/>
          <w:szCs w:val="20"/>
        </w:rPr>
        <w:t xml:space="preserve">email: </w:t>
      </w:r>
      <w:r w:rsidRPr="005222F6">
        <w:rPr>
          <w:rFonts w:ascii="Times New Roman" w:eastAsia="Times New Roman" w:hAnsi="Times New Roman" w:cs="Times New Roman"/>
          <w:sz w:val="20"/>
          <w:szCs w:val="20"/>
        </w:rPr>
        <w:t>zeynep.aslan_ak23@nusaputra.ac.id</w:t>
      </w:r>
    </w:p>
    <w:p w14:paraId="7FEFEF62" w14:textId="7C64EBB6"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5222F6">
        <w:rPr>
          <w:rFonts w:ascii="Times New Roman" w:eastAsia="Times New Roman" w:hAnsi="Times New Roman" w:cs="Times New Roman"/>
          <w:color w:val="000000"/>
          <w:sz w:val="20"/>
          <w:szCs w:val="20"/>
        </w:rPr>
        <w:t xml:space="preserve">2). </w:t>
      </w:r>
      <w:r w:rsidR="003155A0">
        <w:rPr>
          <w:rFonts w:ascii="Times New Roman" w:eastAsia="Times New Roman" w:hAnsi="Times New Roman" w:cs="Times New Roman"/>
          <w:color w:val="000000"/>
          <w:sz w:val="20"/>
          <w:szCs w:val="20"/>
        </w:rPr>
        <w:t xml:space="preserve">Fakultas </w:t>
      </w:r>
      <w:r w:rsidR="0038516A" w:rsidRPr="0038516A">
        <w:rPr>
          <w:rFonts w:ascii="Times New Roman" w:eastAsia="Times New Roman" w:hAnsi="Times New Roman" w:cs="Times New Roman"/>
          <w:color w:val="000000"/>
          <w:sz w:val="20"/>
          <w:szCs w:val="20"/>
        </w:rPr>
        <w:t>Bisnis hukum dan pendidikan</w:t>
      </w:r>
      <w:r w:rsidRPr="005222F6">
        <w:rPr>
          <w:rFonts w:ascii="Times New Roman" w:eastAsia="Times New Roman" w:hAnsi="Times New Roman" w:cs="Times New Roman"/>
          <w:color w:val="000000"/>
          <w:sz w:val="20"/>
          <w:szCs w:val="20"/>
        </w:rPr>
        <w:t xml:space="preserve">, </w:t>
      </w:r>
      <w:r w:rsidR="0038516A" w:rsidRPr="005222F6">
        <w:rPr>
          <w:rFonts w:ascii="Times New Roman" w:eastAsia="Times New Roman" w:hAnsi="Times New Roman" w:cs="Times New Roman"/>
          <w:sz w:val="20"/>
          <w:szCs w:val="20"/>
        </w:rPr>
        <w:t>Universitas Nusa Putra</w:t>
      </w:r>
    </w:p>
    <w:p w14:paraId="32BF922A" w14:textId="77777777"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5222F6">
        <w:rPr>
          <w:rFonts w:ascii="Times New Roman" w:eastAsia="Times New Roman" w:hAnsi="Times New Roman" w:cs="Times New Roman"/>
          <w:color w:val="000000"/>
          <w:sz w:val="20"/>
          <w:szCs w:val="20"/>
        </w:rPr>
        <w:t xml:space="preserve">email: </w:t>
      </w:r>
      <w:r w:rsidRPr="005222F6">
        <w:rPr>
          <w:rFonts w:ascii="Times New Roman" w:eastAsia="Times New Roman" w:hAnsi="Times New Roman" w:cs="Times New Roman"/>
          <w:sz w:val="20"/>
          <w:szCs w:val="20"/>
        </w:rPr>
        <w:t>meutia.riany@nusaputra.ac.id</w:t>
      </w:r>
    </w:p>
    <w:p w14:paraId="7A572FFE" w14:textId="4710C512"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5222F6">
        <w:rPr>
          <w:rFonts w:ascii="Times New Roman" w:eastAsia="Times New Roman" w:hAnsi="Times New Roman" w:cs="Times New Roman"/>
          <w:color w:val="000000"/>
          <w:sz w:val="20"/>
          <w:szCs w:val="20"/>
        </w:rPr>
        <w:t xml:space="preserve">*Corresponding email: </w:t>
      </w:r>
      <w:r w:rsidR="00607EBC" w:rsidRPr="005222F6">
        <w:rPr>
          <w:rFonts w:ascii="Times New Roman" w:eastAsia="Times New Roman" w:hAnsi="Times New Roman" w:cs="Times New Roman"/>
          <w:sz w:val="20"/>
          <w:szCs w:val="20"/>
        </w:rPr>
        <w:t>zeynep.aslan_ak23@nusaputra.ac.id</w:t>
      </w:r>
    </w:p>
    <w:p w14:paraId="7DD92233" w14:textId="77777777"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5222F6">
        <w:rPr>
          <w:rFonts w:ascii="Times New Roman" w:hAnsi="Times New Roman" w:cs="Times New Roman"/>
          <w:noProof/>
        </w:rPr>
        <mc:AlternateContent>
          <mc:Choice Requires="wpg">
            <w:drawing>
              <wp:anchor distT="0" distB="0" distL="114300" distR="114300" simplePos="0" relativeHeight="251658240" behindDoc="0" locked="0" layoutInCell="1" hidden="0" allowOverlap="1" wp14:anchorId="31CA779E" wp14:editId="3F5BC0AA">
                <wp:simplePos x="0" y="0"/>
                <wp:positionH relativeFrom="column">
                  <wp:posOffset>-14286</wp:posOffset>
                </wp:positionH>
                <wp:positionV relativeFrom="paragraph">
                  <wp:posOffset>132397</wp:posOffset>
                </wp:positionV>
                <wp:extent cx="5781675" cy="74294"/>
                <wp:effectExtent l="0" t="0" r="0" b="0"/>
                <wp:wrapNone/>
                <wp:docPr id="2" name="Straight Arrow Connector 2"/>
                <wp:cNvGraphicFramePr/>
                <a:graphic xmlns:a="http://schemas.openxmlformats.org/drawingml/2006/main">
                  <a:graphicData uri="http://schemas.microsoft.com/office/word/2010/wordprocessingShape">
                    <wps:wsp>
                      <wps:cNvCnPr/>
                      <wps:spPr>
                        <a:xfrm>
                          <a:off x="2469450" y="3757141"/>
                          <a:ext cx="5753100" cy="45719"/>
                        </a:xfrm>
                        <a:prstGeom prst="straightConnector1">
                          <a:avLst/>
                        </a:prstGeom>
                        <a:noFill/>
                        <a:ln w="2857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-14286</wp:posOffset>
                </wp:positionH>
                <wp:positionV relativeFrom="paragraph">
                  <wp:posOffset>132397</wp:posOffset>
                </wp:positionV>
                <wp:extent cx="5781675" cy="74294"/>
                <wp:effectExtent b="0" l="0" r="0" t="0"/>
                <wp:wrapNone/>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81675" cy="74294"/>
                        </a:xfrm>
                        <a:prstGeom prst="rect"/>
                        <a:ln/>
                      </pic:spPr>
                    </pic:pic>
                  </a:graphicData>
                </a:graphic>
              </wp:anchor>
            </w:drawing>
          </mc:Fallback>
        </mc:AlternateContent>
      </w:r>
    </w:p>
    <w:p w14:paraId="0E01F358" w14:textId="77777777" w:rsidR="00756DF6" w:rsidRPr="005222F6" w:rsidRDefault="00756DF6" w:rsidP="00607EB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7BE13156" w14:textId="77777777" w:rsidR="00756DF6" w:rsidRPr="005222F6" w:rsidRDefault="00000000" w:rsidP="00607EBC">
      <w:pPr>
        <w:pBdr>
          <w:top w:val="nil"/>
          <w:left w:val="nil"/>
          <w:bottom w:val="nil"/>
          <w:right w:val="nil"/>
          <w:between w:val="nil"/>
        </w:pBdr>
        <w:spacing w:after="0" w:line="240" w:lineRule="auto"/>
        <w:jc w:val="center"/>
        <w:rPr>
          <w:rFonts w:ascii="Times New Roman" w:eastAsia="Times New Roman" w:hAnsi="Times New Roman" w:cs="Times New Roman"/>
          <w:b/>
          <w:bCs/>
          <w:i/>
          <w:iCs/>
          <w:color w:val="000000"/>
        </w:rPr>
      </w:pPr>
      <w:r w:rsidRPr="005222F6">
        <w:rPr>
          <w:rFonts w:ascii="Times New Roman" w:eastAsia="Times New Roman" w:hAnsi="Times New Roman" w:cs="Times New Roman"/>
          <w:b/>
          <w:bCs/>
          <w:i/>
          <w:iCs/>
          <w:color w:val="000000"/>
        </w:rPr>
        <w:t>Abstract</w:t>
      </w:r>
    </w:p>
    <w:p w14:paraId="5C511879" w14:textId="75210B06" w:rsidR="00756DF6" w:rsidRPr="005222F6" w:rsidRDefault="00000000" w:rsidP="00607EBC">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5222F6">
        <w:rPr>
          <w:rFonts w:ascii="Times New Roman" w:eastAsia="Times New Roman" w:hAnsi="Times New Roman" w:cs="Times New Roman"/>
          <w:i/>
          <w:iCs/>
        </w:rPr>
        <w:t>This study aims to empirically examine and analyze the partial and simultaneous effects of corporate governance and carbon emission disclosure on the quality of sustainability reporting. This study uses a quantitative approach with a causal research design. The population in this study consists of maritime and logistics companies listed on the Indonesia Stock Exchange during the 2021–2024 period. Based on the sample selection criteria, 17 companies were obtained as research samples with a total of 68 observations. Data analysis used panel data regression, where the most consistent and appropriate model used was the Common Effect Model (CEM). The results show that corporate governance partially has no significant effect on the quality of sustainability reporting. On the contrary, carbon emission disclosure is convincingly proven to have a positive and significant effect on improving the quality of sustainability reporting. Furthermore, simultaneous testing proves that the integration between corporate governance structure and transparency of carbon emission disclosure is simultaneously able to provide a significant effect on the quality of sustainability reporting. The synergy of these two elements creates a highly effective dual control ecosystem in validating the push of Legitimacy Theory , even though current internal oversight mechanisms tend to still be oriented toward administrative compliance and financial targets alone</w:t>
      </w:r>
      <w:r w:rsidRPr="005222F6">
        <w:rPr>
          <w:rFonts w:ascii="Times New Roman" w:eastAsia="Times New Roman" w:hAnsi="Times New Roman" w:cs="Times New Roman"/>
          <w:i/>
          <w:iCs/>
          <w:color w:val="000000"/>
        </w:rPr>
        <w:t xml:space="preserve">. </w:t>
      </w:r>
    </w:p>
    <w:p w14:paraId="2E24B239" w14:textId="77777777" w:rsidR="00756DF6" w:rsidRPr="005222F6" w:rsidRDefault="00000000" w:rsidP="00607EBC">
      <w:pPr>
        <w:pBdr>
          <w:top w:val="nil"/>
          <w:left w:val="nil"/>
          <w:bottom w:val="nil"/>
          <w:right w:val="nil"/>
          <w:between w:val="nil"/>
        </w:pBdr>
        <w:spacing w:after="0" w:line="240" w:lineRule="auto"/>
        <w:rPr>
          <w:rFonts w:ascii="Times New Roman" w:eastAsia="Times New Roman" w:hAnsi="Times New Roman" w:cs="Times New Roman"/>
          <w:b/>
          <w:bCs/>
          <w:i/>
          <w:iCs/>
          <w:color w:val="000000"/>
        </w:rPr>
      </w:pPr>
      <w:r w:rsidRPr="005222F6">
        <w:rPr>
          <w:rFonts w:ascii="Times New Roman" w:eastAsia="Times New Roman" w:hAnsi="Times New Roman" w:cs="Times New Roman"/>
          <w:b/>
          <w:bCs/>
          <w:i/>
          <w:iCs/>
          <w:color w:val="000000"/>
        </w:rPr>
        <w:t>Keyword:</w:t>
      </w:r>
    </w:p>
    <w:p w14:paraId="50D60D7F" w14:textId="0FB0D460" w:rsidR="00756DF6" w:rsidRPr="005222F6" w:rsidRDefault="00000000" w:rsidP="00607EBC">
      <w:pPr>
        <w:pBdr>
          <w:top w:val="nil"/>
          <w:left w:val="nil"/>
          <w:bottom w:val="nil"/>
          <w:right w:val="nil"/>
          <w:between w:val="nil"/>
        </w:pBdr>
        <w:spacing w:line="240" w:lineRule="auto"/>
        <w:rPr>
          <w:rFonts w:ascii="Times New Roman" w:eastAsia="Times New Roman" w:hAnsi="Times New Roman" w:cs="Times New Roman"/>
          <w:color w:val="000000"/>
        </w:rPr>
      </w:pPr>
      <w:r w:rsidRPr="005222F6">
        <w:rPr>
          <w:rFonts w:ascii="Times New Roman" w:eastAsia="Times New Roman" w:hAnsi="Times New Roman" w:cs="Times New Roman"/>
          <w:i/>
          <w:iCs/>
        </w:rPr>
        <w:t>Sustainability Reporting Quality, Corporate Governance, Carbon Emission Disclosure, Legitimacy Theory, Maritime and Logistics Sector.</w:t>
      </w:r>
      <w:r w:rsidRPr="005222F6">
        <w:rPr>
          <w:rFonts w:ascii="Times New Roman" w:eastAsia="Times New Roman" w:hAnsi="Times New Roman" w:cs="Times New Roman"/>
          <w:color w:val="000000"/>
        </w:rPr>
        <w:t xml:space="preserve"> </w:t>
      </w:r>
    </w:p>
    <w:p w14:paraId="3ED0A458" w14:textId="77777777" w:rsidR="00756DF6" w:rsidRPr="005222F6" w:rsidRDefault="00756DF6" w:rsidP="00607EBC">
      <w:pPr>
        <w:pBdr>
          <w:top w:val="nil"/>
          <w:left w:val="nil"/>
          <w:bottom w:val="nil"/>
          <w:right w:val="nil"/>
          <w:between w:val="nil"/>
        </w:pBdr>
        <w:spacing w:line="240" w:lineRule="auto"/>
        <w:rPr>
          <w:rFonts w:ascii="Times New Roman" w:eastAsia="Times New Roman" w:hAnsi="Times New Roman" w:cs="Times New Roman"/>
          <w:b/>
          <w:bCs/>
          <w:color w:val="000000"/>
        </w:rPr>
        <w:sectPr w:rsidR="00756DF6" w:rsidRPr="005222F6">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20"/>
        </w:sectPr>
      </w:pPr>
    </w:p>
    <w:p w14:paraId="653D8A53" w14:textId="12F1287D" w:rsidR="00756DF6" w:rsidRPr="005222F6" w:rsidRDefault="00000000" w:rsidP="00607EBC">
      <w:pPr>
        <w:pBdr>
          <w:top w:val="nil"/>
          <w:left w:val="nil"/>
          <w:bottom w:val="nil"/>
          <w:right w:val="nil"/>
          <w:between w:val="nil"/>
        </w:pBdr>
        <w:spacing w:before="240" w:line="240" w:lineRule="auto"/>
        <w:ind w:left="-1134" w:firstLine="1134"/>
        <w:rPr>
          <w:rFonts w:ascii="Times New Roman" w:eastAsia="Times New Roman" w:hAnsi="Times New Roman" w:cs="Times New Roman"/>
          <w:color w:val="000000"/>
        </w:rPr>
        <w:sectPr w:rsidR="00756DF6" w:rsidRPr="005222F6">
          <w:type w:val="continuous"/>
          <w:pgSz w:w="11906" w:h="16838"/>
          <w:pgMar w:top="1440" w:right="1440" w:bottom="1440" w:left="1440" w:header="708" w:footer="708" w:gutter="0"/>
          <w:cols w:space="720"/>
        </w:sectPr>
      </w:pPr>
      <w:r w:rsidRPr="005222F6">
        <w:rPr>
          <w:rFonts w:ascii="Times New Roman" w:eastAsia="Times New Roman" w:hAnsi="Times New Roman" w:cs="Times New Roman"/>
          <w:b/>
          <w:bCs/>
          <w:color w:val="000000"/>
        </w:rPr>
        <w:t xml:space="preserve">PENDAHULUAN </w:t>
      </w:r>
    </w:p>
    <w:p w14:paraId="19A4BBD5" w14:textId="10EDCCEE" w:rsidR="00756DF6" w:rsidRPr="005222F6" w:rsidRDefault="00000000" w:rsidP="00607EBC">
      <w:pPr>
        <w:pBdr>
          <w:top w:val="nil"/>
          <w:left w:val="nil"/>
          <w:bottom w:val="nil"/>
          <w:right w:val="nil"/>
          <w:between w:val="nil"/>
        </w:pBdr>
        <w:spacing w:before="24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Kualitas pelaporan keberlanjutan kini telah menjadi fokus utama dalam praktik bisnis modern (Gamar &amp; Widoretno, 2024). Laporan keberlanjutan tidak lagi dipandang sekadar pelengkap dokumen perusahaan, melainkan sebagai instrumen penting untuk membuktikan transparansi dan komitmen entitas terhadap aspek lingkungan, sosial, serta tata kelola. Laporan </w:t>
      </w:r>
      <w:r w:rsidRPr="00B50588">
        <w:rPr>
          <w:rFonts w:ascii="Times New Roman" w:eastAsia="Times New Roman" w:hAnsi="Times New Roman" w:cs="Times New Roman"/>
          <w:i/>
          <w:iCs/>
          <w:sz w:val="24"/>
          <w:szCs w:val="24"/>
        </w:rPr>
        <w:t>Survey of Sustainability Reporting</w:t>
      </w:r>
      <w:r w:rsidRPr="005222F6">
        <w:rPr>
          <w:rFonts w:ascii="Times New Roman" w:eastAsia="Times New Roman" w:hAnsi="Times New Roman" w:cs="Times New Roman"/>
          <w:sz w:val="24"/>
          <w:szCs w:val="24"/>
        </w:rPr>
        <w:t xml:space="preserve"> 2024 yang dirilis oleh </w:t>
      </w:r>
      <w:r w:rsidR="0029280D">
        <w:rPr>
          <w:rFonts w:ascii="Times New Roman" w:eastAsia="Times New Roman" w:hAnsi="Times New Roman" w:cs="Times New Roman"/>
          <w:sz w:val="24"/>
          <w:szCs w:val="24"/>
        </w:rPr>
        <w:fldChar w:fldCharType="begin" w:fldLock="1"/>
      </w:r>
      <w:r w:rsidR="0029280D">
        <w:rPr>
          <w:rFonts w:ascii="Times New Roman" w:eastAsia="Times New Roman" w:hAnsi="Times New Roman" w:cs="Times New Roman"/>
          <w:sz w:val="24"/>
          <w:szCs w:val="24"/>
        </w:rPr>
        <w:instrText>ADDIN CSL_CITATION {"citationItems":[{"id":"ITEM-1","itemData":{"author":[{"dropping-particle":"","family":"KPMG","given":"","non-dropping-particle":"","parse-names":false,"suffix":""}],"id":"ITEM-1","issued":{"date-parts":[["2024"]]},"title":"The move to mandatory sustainability reporting","type":"article-journal"},"uris":["http://www.mendeley.com/documents/?uuid=5c318d2f-6459-403a-bed1-6e7b16c5aaed"]}],"mendeley":{"formattedCitation":"(KPMG, 2024)","plainTextFormattedCitation":"(KPMG, 2024)","previouslyFormattedCitation":"(KPMG, 2024)"},"properties":{"noteIndex":0},"schema":"https://github.com/citation-style-language/schema/raw/master/csl-citation.json"}</w:instrText>
      </w:r>
      <w:r w:rsidR="0029280D">
        <w:rPr>
          <w:rFonts w:ascii="Times New Roman" w:eastAsia="Times New Roman" w:hAnsi="Times New Roman" w:cs="Times New Roman"/>
          <w:sz w:val="24"/>
          <w:szCs w:val="24"/>
        </w:rPr>
        <w:fldChar w:fldCharType="separate"/>
      </w:r>
      <w:r w:rsidR="0029280D" w:rsidRPr="0029280D">
        <w:rPr>
          <w:rFonts w:ascii="Times New Roman" w:eastAsia="Times New Roman" w:hAnsi="Times New Roman" w:cs="Times New Roman"/>
          <w:noProof/>
          <w:sz w:val="24"/>
          <w:szCs w:val="24"/>
        </w:rPr>
        <w:t>(KPMG, 2024)</w:t>
      </w:r>
      <w:r w:rsidR="0029280D">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membuktikan bahwa sebanyak 96 persen perusahaan kategori Global 250 dan 79 persen perusahaan N100 secara konsisten telah menerbitkan laporan keberlanjutan. Survei tersebut juga mencatat bahwa sebagian besar dari perusahaan tersebut sudah menetapkan target pengurangan emisi karbon dengan merujuk pada standar global </w:t>
      </w:r>
      <w:r w:rsidRPr="00B50588">
        <w:rPr>
          <w:rFonts w:ascii="Times New Roman" w:eastAsia="Times New Roman" w:hAnsi="Times New Roman" w:cs="Times New Roman"/>
          <w:i/>
          <w:iCs/>
          <w:sz w:val="24"/>
          <w:szCs w:val="24"/>
        </w:rPr>
        <w:t>Global Reporting Initiative</w:t>
      </w:r>
      <w:r w:rsidRPr="005222F6">
        <w:rPr>
          <w:rFonts w:ascii="Times New Roman" w:eastAsia="Times New Roman" w:hAnsi="Times New Roman" w:cs="Times New Roman"/>
          <w:sz w:val="24"/>
          <w:szCs w:val="24"/>
        </w:rPr>
        <w:t xml:space="preserve"> </w:t>
      </w:r>
      <w:r w:rsidR="0029280D">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{"citationItems":[{"id":"ITEM-1","itemData":{"id":"ITEM-1","issued":{"date-parts":[["0"]]},"title":"GRI - Home","type":"article"},"uris":["http://www.mendeley.com/documents/?uuid=1836210e-e02c-4797-8125-c53874f9fd32"]}],"mendeley":{"formattedCitation":"(&lt;i&gt;GRI - Home&lt;/i&gt;, n.d.)","manualFormatting":"(GRI)","plainTextFormattedCitation":"(GRI - Home, n.d.)","previouslyFormattedCitation":"(&lt;i&gt;GRI - Home&lt;/i&gt;, n.d.)"},"properties":{"noteIndex":0},"schema":"https://github.com/citation-style-language/schema/raw/master/csl-citation.json"}</w:instrText>
      </w:r>
      <w:r w:rsidR="0029280D">
        <w:rPr>
          <w:rFonts w:ascii="Times New Roman" w:eastAsia="Times New Roman" w:hAnsi="Times New Roman" w:cs="Times New Roman"/>
          <w:sz w:val="24"/>
          <w:szCs w:val="24"/>
        </w:rPr>
        <w:fldChar w:fldCharType="separate"/>
      </w:r>
      <w:r w:rsidR="0029280D" w:rsidRPr="0029280D">
        <w:rPr>
          <w:rFonts w:ascii="Times New Roman" w:eastAsia="Times New Roman" w:hAnsi="Times New Roman" w:cs="Times New Roman"/>
          <w:noProof/>
          <w:sz w:val="24"/>
          <w:szCs w:val="24"/>
        </w:rPr>
        <w:t>(</w:t>
      </w:r>
      <w:r w:rsidR="0029280D" w:rsidRPr="0029280D">
        <w:rPr>
          <w:rFonts w:ascii="Times New Roman" w:eastAsia="Times New Roman" w:hAnsi="Times New Roman" w:cs="Times New Roman"/>
          <w:i/>
          <w:noProof/>
          <w:sz w:val="24"/>
          <w:szCs w:val="24"/>
        </w:rPr>
        <w:t>GRI</w:t>
      </w:r>
      <w:r w:rsidR="0029280D" w:rsidRPr="0029280D">
        <w:rPr>
          <w:rFonts w:ascii="Times New Roman" w:eastAsia="Times New Roman" w:hAnsi="Times New Roman" w:cs="Times New Roman"/>
          <w:noProof/>
          <w:sz w:val="24"/>
          <w:szCs w:val="24"/>
        </w:rPr>
        <w:t>)</w:t>
      </w:r>
      <w:r w:rsidR="0029280D">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Fakta ini menegaskan bahwa paradigma dunia usaha telah bergeser untuk lebih mengutamakan kelengkapan dan kredibilitas informasi, bukan sekadar menggugurkan kewajiban pelaporan administratif semata.</w:t>
      </w:r>
    </w:p>
    <w:p w14:paraId="6025B1C1" w14:textId="168D9F4D" w:rsidR="00756DF6" w:rsidRPr="005222F6" w:rsidRDefault="00000000" w:rsidP="00607EBC">
      <w:pPr>
        <w:pBdr>
          <w:top w:val="nil"/>
          <w:left w:val="nil"/>
          <w:bottom w:val="nil"/>
          <w:right w:val="nil"/>
          <w:between w:val="nil"/>
        </w:pBdr>
        <w:spacing w:before="240" w:after="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lastRenderedPageBreak/>
        <w:t xml:space="preserve">Praktik pelaporan keberlanjutan ini sangat berkaitan erat dengan Teori Legitimasi yang mempostulatkan bahwa setiap perusahaan terikat oleh kontrak sosial dengan masyarakat di lingkungan tempat mereka beroperasi. Untuk memastikan kelangsungan hidupnya, perusahaan harus menjamin bahwa seluruh aktivitas operasional mereka sejalan dengan norma dan nilai sosial yang berlaku. Salah satu sektor yang memiliki urgensi tinggi terkait hal ini adalah sektor maritim dan logistik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{"citationItems":[{"id":"ITEM-1","itemData":{"abstract":"This study aims to analyze the factors that influence carbon emission disclosure in non- financial companies that disclose sustainability reports and are listed on the Indonesia Stock Exchange in 2015 -2017. The factors tested in this study are carbon emission disclosure as the dependent variable while the industry type, company size, profitability, leverage, and quality of corporate governance as independent variables The sample of this study consisted of 57 companies listed on the Indonesia Stock Exchange (IDX) and revealed the sustainability report in the period 2015-2017. This study uses secondary data and in the selection of samples using a purposive sampling method. Analysis model using multiple linear regression analysis. The results of this study indicate that the variables of industry type, company size, and quality of governance have a significant effect on carbon emission disclosure. While the profitability and leverage variables have no significant effect on carbon emission disclosure.","author":[{"dropping-particle":"","family":"Mulya","given":"Fatkhi Asri","non-dropping-particle":"","parse-names":false,"suffix":""},{"dropping-particle":"","family":"Rohman","given":"Abdul","non-dropping-particle":"","parse-names":false,"suffix":""}],"container-title":"Diponegoro Journal of Accounting","id":"ITEM-1","issue":"4","issued":{"date-parts":[["2020"]]},"page":"1-12","title":"Analisis Pengaruh Tipe Industri, Ukuran Perusahaan, Profitabilitas, Leverage dan Tata Kelola Perusahaan Terhadap Carbon Emission Discloure","type":"article-journal","volume":"9"},"uris":["http://www.mendeley.com/documents/?uuid=2f05d705-7a8c-45ee-ba89-d307ff1c493f"]}],"mendeley":{"formattedCitation":"(Mulya &amp; Rohman, 2020)","plainTextFormattedCitation":"(Mulya &amp; Rohman, 2020)","previouslyFormattedCitation":"(Mulya &amp; Rohman, 2020)"},"properties":{"noteIndex":0},"schema":"https://github.com/citation-style-language/schema/raw/master/csl-citation.json"}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(Mulya &amp; Rohman, 2020)</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Catatan dari </w:t>
      </w:r>
      <w:r w:rsidRPr="00B50588">
        <w:rPr>
          <w:rFonts w:ascii="Times New Roman" w:eastAsia="Times New Roman" w:hAnsi="Times New Roman" w:cs="Times New Roman"/>
          <w:i/>
          <w:iCs/>
          <w:sz w:val="24"/>
          <w:szCs w:val="24"/>
        </w:rPr>
        <w:t>International Maritime Organization</w:t>
      </w:r>
      <w:r w:rsidRPr="005222F6">
        <w:rPr>
          <w:rFonts w:ascii="Times New Roman" w:eastAsia="Times New Roman" w:hAnsi="Times New Roman" w:cs="Times New Roman"/>
          <w:sz w:val="24"/>
          <w:szCs w:val="24"/>
        </w:rPr>
        <w:t xml:space="preserve">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{"citationItems":[{"id":"ITEM-1","itemData":{"DOI":"10.4337/9781035317189.ch86","ISBN":"9781035317189","abstract":"Against the backdrop of the global climate emergency, the sport sector, too, should seek to advance its literacy on environmental issues, questioning its environmental impact, and accelerating positive climate action. Yet, apparent competitive pressures with constant and extensive travel and consumption appear to hamper this. Nevertheless, sports has significant potential to act as a social facilitator, initiating collaborations, raising awareness and inspiring action of followers. The United Nations Sports for Climate Action is introduced as encouraging international framework. Furthermore, several organisations have implemented sustainability criteria in their licensing and decision making. Increasingly, the Climate Action and other environmental initiatives in sports are becoming embedded in holistic sustainable approaches. Especially through environmental education and networks, sports can encourage more Climate Action. Furthermore, this also involves adaptation measures to mitigate increasing risks through climate change (e.g. heat on health effects).","author":[{"dropping-particle":"","family":"Breitbarth","given":"Tim","non-dropping-particle":"","parse-names":false,"suffix":""},{"dropping-particle":"","family":"Martens","given":"Hanno","non-dropping-particle":"","parse-names":false,"suffix":""}],"container-title":"Encyclopedia of Sport Management, Second Edition","id":"ITEM-1","issued":{"date-parts":[["2024"]]},"page":"146-148","title":"Climate action","type":"article"},"uris":["http://www.mendeley.com/documents/?uuid=733fe865-0e9e-4b65-8fb9-ec785b2dab91"]}],"mendeley":{"formattedCitation":"(Breitbarth &amp; Martens, 2024)","plainTextFormattedCitation":"(Breitbarth &amp; Martens, 2024)","previouslyFormattedCitation":"(Breitbarth &amp; Martens, 2024)"},"properties":{"noteIndex":0},"schema":"https://github.com/citation-style-language/schema/raw/master/csl-citation.json"}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(Breitbarth &amp; Martens, 2024)</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menunjukkan bahwa volume emisi dari sektor pelayaran menyumbang sekitar 2,89 persen dari total emisi global. Di tingkat nasional, Kementerian Energi dan Sumber Daya Mineral melaporkan bahwa sektor transportasi merupakan penyumbang emisi gas rumah kaca terbesar kedua di Indonesia. Tuntutan transparansi pada sektor ini semakin dipertegas oleh kebijakan Otoritas Jasa Keuangan yang mewajibkan penerapan keuangan berkelanjutan melalui regulasi POJK Nomor 51/POJK.03/2017 serta pedoman SEOJK Nomor 16/SEOJK.04/2021.</w:t>
      </w:r>
    </w:p>
    <w:p w14:paraId="0E87794E" w14:textId="56D664BA" w:rsidR="00756DF6" w:rsidRPr="005222F6" w:rsidRDefault="00000000" w:rsidP="00607EBC">
      <w:pPr>
        <w:pBdr>
          <w:top w:val="nil"/>
          <w:left w:val="nil"/>
          <w:bottom w:val="nil"/>
          <w:right w:val="nil"/>
          <w:between w:val="nil"/>
        </w:pBdr>
        <w:spacing w:before="24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Untuk merespons tingginya tuntutan transparansi tersebut, perusahaan membutuhkan dukungan tata kelola perusahaan yang kuat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author":[{"dropping-particle":"","family":"Fujianti","given":"Anisa","non-dropping-particle":"","parse-names":false,"suffix":""},{"dropping-particle":"","family":"Nasihin","given":"Ihsan","non-dropping-particle":"","parse-names":false,"suffix":""},{"dropping-particle":"","family":"Sujaya","given":"Fista Apriani","non-dropping-particle":"","parse-names":false,"suffix":""},{"dropping-particle":"","family":"Akuntansi","given":"Program Studi","non-dropping-particle":"","parse-names":false,"suffix":""},{"dropping-particle":"","family":"Perjuangan","given":"Universitas Buana","non-dropping-particle":"","parse-names":false,"suffix":""}],"id":"ITEM-1","issued":{"date-parts":[["2025"]]},"page":"2312-2324","title":"1 , 2 , 3","type":"article-journal","volume":"8"},"uris":["http://www.mendeley.com/documents/?uuid=a8605fa4-6bd0-4875-976d-34103e2cf785"]}],"mendeley":{"formattedCitation":"(A. Fujianti et al., 2025)","plainTextFormattedCitation":"(A. Fujianti et al., 2025)","previouslyFormattedCitation":"(A. Fujianti et al., 2025)"},"properties":{"noteIndex":0},"schema":"https://github.com/citation-style-language/schema/raw/master/csl-citation.json"}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(A. Fujianti et al., 2025)</w:t>
      </w:r>
      <w:r w:rsidR="00B50588">
        <w:rPr>
          <w:rFonts w:ascii="Times New Roman" w:eastAsia="Times New Roman" w:hAnsi="Times New Roman" w:cs="Times New Roman"/>
          <w:sz w:val="24"/>
          <w:szCs w:val="24"/>
        </w:rPr>
        <w:fldChar w:fldCharType="end"/>
      </w:r>
      <w:r w:rsidR="00B50588">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Mekanisme pengawasan yang ideal, khususnya melalui peran aktif dewan komisaris independen, berfungsi untuk menjamin bahwa laporan keberlanjutan yang dipublikasikan benar-benar mencerminkan kondisi riil perusahaan. Pengawasan internal ini akan menekan potensi manipulasi informasi sehingga perusahaan mampu menyajikan laporan yang lebih akuntabel. Argumentasi ini sejalan dengan temuan riset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{"citationItems":[{"id":"ITEM-1","itemData":{"DOI":"10.35912/jastaka.v4i1.3403","abstract":"Purpose: This study aims to identify the impact of carbon emission disclosure, independent commissioners, and institutional ownership on firm value. Research methodology: The population used in this study consists of transportation and logistics sector business entities registered on the Indonesia Stock Exchange during the period of 2017-2022, quatitative methods, and SPSS applications. Result: This study concludes that carbon emission disclosure has an effect on firm value. Meanwhile, independent commissioners have no effect on firm value and institutional ownership has an effect on firm value. Limitations: This study identified limitations, specifically in the examination where several business entities were not included in the research sample, resulting in an incomplete sample. Contribution: This study provides empirical evidence that contributes to the literature on the impact of carbon emission disclosures, independent commissioners, and institutional ownership on firm value. Additionally, this study is expected to inform policies related to environmental responsibility in compliance with the Republic of Indonesia Presidential Regulation Number 98 of 2021 on greenhouse gas emission control in national development and OJK Regulation No. 30/SEOJK.04/2016 on corporate obligations to include environmental disclosures in annual reports.","author":[{"dropping-particle":"","family":"Fasya","given":"Muhammad","non-dropping-particle":"","parse-names":false,"suffix":""},{"dropping-particle":"","family":"Susilowati","given":"Retno Yuni Nur","non-dropping-particle":"","parse-names":false,"suffix":""},{"dropping-particle":"","family":"Septiyanti","given":"Ratna","non-dropping-particle":"","parse-names":false,"suffix":""},{"dropping-particle":"","family":"Kusumawardani","given":"Niken","non-dropping-particle":"","parse-names":false,"suffix":""}],"container-title":"Jurnal Studi Pemerintahan dan Akuntabilitas","id":"ITEM-1","issue":"1","issued":{"date-parts":[["2024"]]},"page":"1-16","title":"Pengaruh Carbon Emission Disclosure dan Good Corporate Governance terhadap Nilai Perusahaan: Studi Empiris pada Perusahaan Sektor Transportasi dan Logistik yang Terdaftar di Bursa Efek Indonesia Periode 2017-2022","type":"article-journal","volume":"4"},"uris":["http://www.mendeley.com/documents/?uuid=85155804-8831-4321-9b42-f433e010e30f"]}],"mendeley":{"formattedCitation":"(Fasya et al., 2024)","plainTextFormattedCitation":"(Fasya et al., 2024)","previouslyFormattedCitation":"(Fasya et al., 2024)"},"properties":{"noteIndex":0},"schema":"https://github.com/citation-style-language/schema/raw/master/csl-citation.json"}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(Fasya et al., 2024)</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serta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{"citationItems":[{"id":"ITEM-1","itemData":{"DOI":"10.22219/jrak.v14i1.28986","ISSN":"2088-0685","abstract":"Purpose: This research aims to confirm the roles of Good Corporate Governance (GCG) and Environmentalal, Social, Governance (ESG) Disclosures in Indonesia. Methodology/approach: The research method employed is a quantitative approach using secondary data. The sample was selected using purposive sampling, resulting in 161 manufacturing companies listed on the Indonesia Stock Exchange in 2021. The research analysis technique utilizes multiple linear regression. Findings:The research results reveal a significant positive role of the Board of Commissioners and Independent Board of Commissioners in ESG disclosure, whereas the Audit Committee does not play a significant role in ESG. Practical implications: The number of members in the Board of Commissioners and Independent Board of Commissioners can stimulate an improvement in ESQ disclosure. However, the presence of the Audit Committee has not been able to demonstrate a role because Indonesian companies form an audit committee merely to comply with existing regulations. Originality/value: The limited research examining Environmentalal, Social, Governance Disclosures in Indonesia has been identified. Previous research results indicate that the variable playing a significant role in promoting disclosure improvement is Good Corporate Governance (GCG). Therefore, this study further investigates the role of GCG in enhancing ESQ disclosures.","author":[{"dropping-particle":"","family":"Fujianti","given":"Lailah","non-dropping-particle":"","parse-names":false,"suffix":""},{"dropping-particle":"","family":"Nelyumna","given":"Nelyumna","non-dropping-particle":"","parse-names":false,"suffix":""},{"dropping-particle":"","family":"Azizah","given":"Widyaningsih","non-dropping-particle":"","parse-names":false,"suffix":""},{"dropping-particle":"","family":"Astuti","given":"Sinta Budi","non-dropping-particle":"","parse-names":false,"suffix":""},{"dropping-particle":"","family":"Hilmiyah","given":"Nurul","non-dropping-particle":"","parse-names":false,"suffix":""},{"dropping-particle":"","family":"Qodriyah","given":"Anninsa Lailatul","non-dropping-particle":"","parse-names":false,"suffix":""}],"container-title":"Jurnal Reviu Akuntansi dan Keuangan","id":"ITEM-1","issue":"1","issued":{"date-parts":[["2024"]]},"page":"19-36","title":"Good Corporate Governance Dan Environmentalal, Social, Governance Disclosures Di Indonesia","type":"article-journal","volume":"14"},"uris":["http://www.mendeley.com/documents/?uuid=fc38ca3d-e88d-43e8-9739-3cea34d96f18"]}],"mendeley":{"formattedCitation":"(L. Fujianti et al., 2024)","plainTextFormattedCitation":"(L. Fujianti et al., 2024)","previouslyFormattedCitation":"(L. Fujianti et al., 2024)"},"properties":{"noteIndex":0},"schema":"https://github.com/citation-style-language/schema/raw/master/csl-citation.json"}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(L. Fujianti et al., 2024)</w:t>
      </w:r>
      <w:r w:rsidR="00B50588">
        <w:rPr>
          <w:rFonts w:ascii="Times New Roman" w:eastAsia="Times New Roman" w:hAnsi="Times New Roman" w:cs="Times New Roman"/>
          <w:sz w:val="24"/>
          <w:szCs w:val="24"/>
        </w:rPr>
        <w:fldChar w:fldCharType="end"/>
      </w:r>
      <w:r w:rsidR="00B50588">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yang menyimpulkan bahwa mekanisme tata kelola berkontribusi positif terhadap keluasan pengungkapan informasi nonkeuangan. Selain itu,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{"citationItems":[{"id":"ITEM-1","itemData":{"DOI":"10.24034/j25485024.y2024.v8.i4.6670","ISSN":"2548-298X","abstract":"This study examines the influence of green strategy, green investment, and environmental performance on carbon emission disclosure, with good corporate governance as a moderating variable. The research adopts a quantitative approach using secondary data. The research method employed is documentation, with data collected from annual and company sustainability reports. The sample in this study consists of non-financial companies listed on the Indonesia Stock Exchange from 2020 to 2022, using a purposive sampling method. The sample obtained includes 91 companies out of a population of 772 companies. The data analysis technique used in this study is multiple linear regression analysis. The results show that the variables of green strategy and environmental performance have a positive influence on carbon emission disclosure, while green investment does not affect carbon emission disclosure. In the MRA testing, good corporate governance does not moderate the relationship between green strategy and environmental performance with carbon emission disclosure. In contrast, good corporate governance weakens the relationship between green investment and carbon emission disclosure.","author":[{"dropping-particle":"","family":"Jaenudin","given":"Jaenudin","non-dropping-particle":"","parse-names":false,"suffix":""},{"dropping-particle":"","family":"Ruhiyat","given":"Endang","non-dropping-particle":"","parse-names":false,"suffix":""},{"dropping-particle":"","family":"Sugiyanto","given":"Sugiyanto","non-dropping-particle":"","parse-names":false,"suffix":""}],"container-title":"EKUITAS (Jurnal Ekonomi dan Keuangan)","id":"ITEM-1","issue":"4","issued":{"date-parts":[["2025"]]},"page":"613-631","title":"Factors Affecting Carbon Emission Disclosure: Good Corporate Governance As a Moderating Variable","type":"article-journal","volume":"8"},"uris":["http://www.mendeley.com/documents/?uuid=5932e165-15a1-4f14-83df-afb6667d673a"]}],"mendeley":{"formattedCitation":"(Jaenudin et al., 2025)","plainTextFormattedCitation":"(Jaenudin et al., 2025)","previouslyFormattedCitation":"(Jaenudin et al., 2025)"},"properties":{"noteIndex":0},"schema":"https://github.com/citation-style-language/schema/raw/master/csl-citation.json"}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(Jaenudin et al., 2025)</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juga membuktikan bahwa tata kelola perusahaan memiliki keterkaitan yang kuat dengan konsistensi pengungkapan emisi karbon entitas bisnis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{"citationItems":[{"id":"ITEM-1","itemData":{"abstract":"This study aims to examine the determinants of factors influencing the management of earnings management practices in Islamic banks in Indonesia. The factors affecting earnings management are reflected in the Camel Ratio in the form of capital adequacy, return on assets, return on equity and financing to deposit ratio. The population in this study are all Islamic commercial banks in Indonesia, with a sample of 60 companies. The data analysis technique used in this research is multiple linear regression. The results of this study indicate that CAR, RORA, ROE have no significant effect on earnings management, then the FDR variable has a significant effect on earnings management and furthermore, together the variables CAR, RORA, ROE and FDR have an influence on earnings management at banks. general sharia in Indonesia.","author":[{"dropping-particle":"","family":"Astuti Intan Novia","given":"","non-dropping-particle":"","parse-names":false,"suffix":""},{"dropping-particle":"","family":"Ainul Ridha","given":"","non-dropping-particle":"","parse-names":false,"suffix":""},{"dropping-particle":"","family":"Eliana","given":"","non-dropping-particle":"","parse-names":false,"suffix":""}],"container-title":"Jurnal Riset Akuntansi dan Bisnis","id":"ITEM-1","issue":"2","issued":{"date-parts":[["2024"]]},"page":"140-152","title":"Jurnal Riset Akuntansi Dan Bisnis Jurnal Riset Akuntansi Dan Bisnis","type":"article-journal","volume":"18"},"uris":["http://www.mendeley.com/documents/?uuid=c7a0c5b1-3f80-47db-8c1a-c604defb4027"]}],"mendeley":{"formattedCitation":"(Astuti Intan Novia et al., 2024)","plainTextFormattedCitation":"(Astuti Intan Novia et al., 2024)","previouslyFormattedCitation":"(Astuti Intan Novia et al., 2024)"},"properties":{"noteIndex":0},"schema":"https://github.com/citation-style-language/schema/raw/master/csl-citation.json"}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(Astuti Intan Novia et al., 2024)</w:t>
      </w:r>
      <w:r w:rsidR="00B50588">
        <w:rPr>
          <w:rFonts w:ascii="Times New Roman" w:eastAsia="Times New Roman" w:hAnsi="Times New Roman" w:cs="Times New Roman"/>
          <w:sz w:val="24"/>
          <w:szCs w:val="24"/>
        </w:rPr>
        <w:fldChar w:fldCharType="end"/>
      </w:r>
      <w:r w:rsidR="00B50588">
        <w:rPr>
          <w:rFonts w:ascii="Times New Roman" w:eastAsia="Times New Roman" w:hAnsi="Times New Roman" w:cs="Times New Roman"/>
          <w:sz w:val="24"/>
          <w:szCs w:val="24"/>
        </w:rPr>
        <w:t>.</w:t>
      </w:r>
    </w:p>
    <w:p w14:paraId="468F482C" w14:textId="1FD5946C" w:rsidR="00756DF6" w:rsidRPr="005222F6" w:rsidRDefault="00000000" w:rsidP="00607EBC">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Selain mekanisme tata kelola, transparansi pengungkapan emisi karbon juga menjadi faktor penting yang memengaruhi kualitas pelaporan keberlanjutan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{"citationItems":[{"id":"ITEM-1","itemData":{"DOI":"10.11594/untad.jan.7.1.24713","ISSN":"2622-3082","abstract":"This study aims to examine the effect of environmental, social, and governance disclosures on firm value with the moderating variable of carbon emission disclosure. The method used in this research is the quantitative method. The population in this study amounted to 76 mining sector companies listed on the Indonesia Stock Exchange for the period 2020 - 2023. The sample was selected using purposive sampling method, resulting in a total sample of 20 companies. The analysis technique used is multiple linear regression analysis and moderate regression analysis. The results of this study indicate that environmental disclosure has a significant positive effect on firm value. Social disclosure has a significant negative effect on firm value. Governance disclosure has a significant negative effect on firm value. Carbon emission disclosure cannot moderate the relationship between environmental disclosure and firm value. Carbon emission disclosure can moderate the relationship between social disclosure on firm value. Carbon emission disclosure cannot moderate the relationship between governance disclosure on firm value.","author":[{"dropping-particle":"","family":"Meidhita Alauddin","given":"A.Alvira","non-dropping-particle":"","parse-names":false,"suffix":""},{"dropping-particle":"","family":"Tenriwaru","given":"","non-dropping-particle":"","parse-names":false,"suffix":""},{"dropping-particle":"","family":"Nurafifah Ibrahim","given":"Fifi","non-dropping-particle":"","parse-names":false,"suffix":""}],"container-title":"Jurnal Akun Nabelo : Jurnal Akuntansi Netral, Akuntabel, Objektif","id":"ITEM-1","issue":"1","issued":{"date-parts":[["2025"]]},"page":"1176-1195","title":"Pengungkapan Lingkungan, Sosial, Dan Tata Kelola Terhadap Nilai Perusahaan Dengan Pengungkapan Emisi Karbon Sebagai Variabel Moderasi (Studi Pada Perusahaan Pertambangan Yang Terdaftar Di Bursa Efek Indonesia)","type":"article-journal","volume":"7"},"uris":["http://www.mendeley.com/documents/?uuid=2bbb8e59-df72-4b43-8fa2-09d8202fff27"]}],"mendeley":{"formattedCitation":"(Meidhita Alauddin et al., 2025)","plainTextFormattedCitation":"(Meidhita Alauddin et al., 2025)","previouslyFormattedCitation":"(Meidhita Alauddin et al., 2025)"},"properties":{"noteIndex":0},"schema":"https://github.com/citation-style-language/schema/raw/master/csl-citation.json"}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(Meidhita Alauddin et al., 2025)</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Ketersediaan informasi yang rinci mengenai volume emisi, sumber polusi, dan strategi mitigasi iklim merupakan wujud nyata dari tanggung jawab perusahaan terhadap kelestarian lingkungan. Keterbukaan data karbon ini akan secara langsung memperkaya substansi laporan keberlanjutan secara keseluruhan</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{"citationItems":[{"id":"ITEM-1","itemData":{"abstract":"This study aims to analyze the factors that influence carbon emission disclosure in non- financial companies that disclose sustainability reports and are listed on the Indonesia Stock Exchange in 2015 -2017. The factors tested in this study are carbon emission disclosure as the dependent variable while the industry type, company size, profitability, leverage, and quality of corporate governance as independent variables The sample of this study consisted of 57 companies listed on the Indonesia Stock Exchange (IDX) and revealed the sustainability report in the period 2015-2017. This study uses secondary data and in the selection of samples using a purposive sampling method. Analysis model using multiple linear regression analysis. The results of this study indicate that the variables of industry type, company size, and quality of governance have a significant effect on carbon emission disclosure. While the profitability and leverage variables have no significant effect on carbon emission disclosure.","author":[{"dropping-particle":"","family":"Mulya","given":"Fatkhi Asri","non-dropping-particle":"","parse-names":false,"suffix":""},{"dropping-particle":"","family":"Rohman","given":"Abdul","non-dropping-particle":"","parse-names":false,"suffix":""}],"container-title":"Diponegoro Journal of Accounting","id":"ITEM-1","issue":"4","issued":{"date-parts":[["2020"]]},"page":"1-12","title":"Analisis Pengaruh Tipe Industri, Ukuran Perusahaan, Profitabilitas, Leverage dan Tata Kelola Perusahaan Terhadap Carbon Emission Discloure","type":"article-journal","volume":"9"},"uris":["http://www.mendeley.com/documents/?uuid=2f05d705-7a8c-45ee-ba89-d307ff1c493f"]}],"mendeley":{"formattedCitation":"(Mulya &amp; Rohman, 2020)","plainTextFormattedCitation":"(Mulya &amp; Rohman, 2020)","previouslyFormattedCitation":"(Mulya &amp; Rohman, 2020)"},"properties":{"noteIndex":0},"schema":"https://github.com/citation-style-language/schema/raw/master/csl-citation.json"}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(Mulya &amp; Rohman, 2020)</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Logika ini didukung oleh temuan empiris dari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{"citationItems":[{"id":"ITEM-1","itemData":{"abstract":"This study aims to examine the determinants of factors influencing the management of earnings management practices in Islamic banks in Indonesia. The factors affecting earnings management are reflected in the Camel Ratio in the form of capital adequacy, return on assets, return on equity and financing to deposit ratio. The population in this study are all Islamic commercial banks in Indonesia, with a sample of 60 companies. The data analysis technique used in this research is multiple linear regression. The results of this study indicate that CAR, RORA, ROE have no significant effect on earnings management, then the FDR variable has a significant effect on earnings management and furthermore, together the variables CAR, RORA, ROE and FDR have an influence on earnings management at banks. general sharia in Indonesia.","author":[{"dropping-particle":"","family":"Astuti Intan Novia","given":"","non-dropping-particle":"","parse-names":false,"suffix":""},{"dropping-particle":"","family":"Ainul Ridha","given":"","non-dropping-particle":"","parse-names":false,"suffix":""},{"dropping-particle":"","family":"Eliana","given":"","non-dropping-particle":"","parse-names":false,"suffix":""}],"container-title":"Jurnal Riset Akuntansi dan Bisnis","id":"ITEM-1","issue":"2","issued":{"date-parts":[["2024"]]},"page":"140-152","title":"Jurnal Riset Akuntansi Dan Bisnis Jurnal Riset Akuntansi Dan Bisnis","type":"article-journal","volume":"18"},"uris":["http://www.mendeley.com/documents/?uuid=c7a0c5b1-3f80-47db-8c1a-c604defb4027"]}],"mendeley":{"formattedCitation":"(Astuti Intan Novia et al., 2024)","plainTextFormattedCitation":"(Astuti Intan Novia et al., 2024)","previouslyFormattedCitation":"(Astuti Intan Novia et al., 2024)"},"properties":{"noteIndex":0},"schema":"https://github.com/citation-style-language/schema/raw/master/csl-citation.json"}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(Astuti Intan Novia et al., 2024)</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serta </w:t>
      </w:r>
      <w:r w:rsidR="00B50588">
        <w:rPr>
          <w:rFonts w:ascii="Times New Roman" w:eastAsia="Times New Roman" w:hAnsi="Times New Roman" w:cs="Times New Roman"/>
          <w:sz w:val="24"/>
          <w:szCs w:val="24"/>
        </w:rPr>
        <w:fldChar w:fldCharType="begin" w:fldLock="1"/>
      </w:r>
      <w:r w:rsidR="00B50588">
        <w:rPr>
          <w:rFonts w:ascii="Times New Roman" w:eastAsia="Times New Roman" w:hAnsi="Times New Roman" w:cs="Times New Roman"/>
          <w:sz w:val="24"/>
          <w:szCs w:val="24"/>
        </w:rPr>
        <w:instrText>ADDIN CSL_CITATION {"citationItems":[{"id":"ITEM-1","itemData":{"DOI":"10.37817/ikraith-ekonomika.v8i2.4317","ISSN":"2654-4946","abstract":"Penelitian ini bertujuan untuk mengetahui Pengungkapan Emisi Karbon, Kinerja Lingkungan danSustainability Report terhadap Nilai Perusahaan pada Perusahaan Basic Material yang terdaftar diBursa Efek Indonesia pada tahun 2020-2023, baik secara parsial maupun simultan. Sampel dalampenelitian ini adalah perusahaan basic material yang terdaftar di Bursa Efek Indonesia (BEI) padatahun 2020-2023. Populasi dalam penelitian ini yang di dapat pada perusahaan basic materialberdasarkan kriteria yang dipilih mendapatkan 9 perusahaan dan 36 jumlah sampel denganpengambilan sampel menggunakan metode purposive sampling yang dianalisis menggunakanEviews 12. Hasil dari penelitian ini berdasarkan Uji Parsial (Uji t) menunjukkan secara parsialvariabel Pengungkapan Emisi Karbon dan Sustainability Report berpengaruh negatif signifikanterhadap Nilai Perusahaan, sedangkan Kinerja Lingkungan berpengaruh positif signifikan terhadapNilai Perusahaan. Secara simultan (Uji f) menunjukan bahwa Pengungkapan Emisi Karbon,Kinerja Lingkungan dan Sustainbaility Report berpengrauh secara bersama-sama terhadap NilaiPerusahaan.","author":[{"dropping-particle":"","family":"Pratiwi","given":"Sandrina Miscka","non-dropping-particle":"","parse-names":false,"suffix":""},{"dropping-particle":"","family":"Suryanti","given":"Laili","non-dropping-particle":"","parse-names":false,"suffix":""},{"dropping-particle":"","family":"Indrianty","given":"Lely","non-dropping-particle":"","parse-names":false,"suffix":""},{"dropping-particle":"","family":"Wanialisa","given":"Mery","non-dropping-particle":"","parse-names":false,"suffix":""}],"container-title":"Ikraith-Ekonomika","id":"ITEM-1","issue":"2","issued":{"date-parts":[["2024"]]},"page":"181-191","title":"Pengaruh Pengungkapan Emisi Karbon, Kinerja Lingkungan dan SR Terhadap Nilai Perusahaan (Pada Perusahaan Basic Material Yang Terdaftar di BEI Periode 2020-2023)","type":"article-journal","volume":"8"},"uris":["http://www.mendeley.com/documents/?uuid=13af91cf-4ba7-435d-9e47-1be6f536fb59"]}],"mendeley":{"formattedCitation":"(Pratiwi et al., 2024)","plainTextFormattedCitation":"(Pratiwi et al., 2024)","previouslyFormattedCitation":"(Pratiwi et al., 2024)"},"properties":{"noteIndex":0},"schema":"https://github.com/citation-style-language/schema/raw/master/csl-citation.json"}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(Pratiwi et al., 2024)</w:t>
      </w:r>
      <w:r w:rsidR="00B50588">
        <w:rPr>
          <w:rFonts w:ascii="Times New Roman" w:eastAsia="Times New Roman" w:hAnsi="Times New Roman" w:cs="Times New Roman"/>
          <w:sz w:val="24"/>
          <w:szCs w:val="24"/>
        </w:rPr>
        <w:fldChar w:fldCharType="end"/>
      </w:r>
      <w:r w:rsidR="00B50588">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yang menegaskan bahwa pengungkapan emisi karbon memainkan peran penting dalam membentuk persepsi positif publik dan mendongkrak kualitas pelaporan secara utuh.</w:t>
      </w:r>
    </w:p>
    <w:p w14:paraId="3B78FC03" w14:textId="0520A9B9" w:rsidR="00756DF6" w:rsidRPr="005222F6" w:rsidRDefault="00000000" w:rsidP="00607EBC">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Meskipun pengungkapan emisi dan tata kelola memiliki peran yang sangat penting, penelusuran terhadap sejumlah literatur terdahulu masih menemukan adanya celah riset </w:t>
      </w:r>
      <w:r w:rsidR="00B50588">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{"citationItems":[{"id":"ITEM-1","itemData":{"DOI":"10.24815/jdab.v10i1.27974","ISSN":"2355-9462","abstract":"This study aims to provide a systematic review of research on carbon emission disclosures in the context of Indonesia. Thirty articles published in Indonesian Journals indexed by Science and Technology Index (SINTA) were selected using mapping approach (charting the field). The review found that 87% of the studies employing secondary data based quantitative method, while the other 10% studies used survey method. The resarch findings also revealed two group of determinants of carbon emission disclosure in Indonesia. 53% of the reviewed articles tested the impact of non-financial variables, for example firm age, type of industry. Meanwhile, 47% of the studies investigated the influence of financial variables (for example, leverage, firm value, and profitability) for the carbon emission disclosure. The results of this study provide an updated evaluation of prior studies and research agend for further research in carbon emission.","author":[{"dropping-particle":"","family":"Nursulistyo","given":"Emy Dwi","non-dropping-particle":"","parse-names":false,"suffix":""},{"dropping-particle":"","family":"Aryani","given":"Y Anni","non-dropping-particle":"","parse-names":false,"suffix":""},{"dropping-particle":"","family":"Bandi","given":"Bandi","non-dropping-particle":"","parse-names":false,"suffix":""}],"container-title":"Jurnal Dinamika Akuntansi dan Bisnis","id":"ITEM-1","issue":"1","issued":{"date-parts":[["2022"]]},"page":"1-18","title":"The Disclosure of Carbon Emission in Indonesia: A Systematic Literature Review","type":"article-journal","volume":"10"},"uris":["http://www.mendeley.com/documents/?uuid=1a22d857-4750-4dd0-9497-b8627dacab0a"]}],"mendeley":{"formattedCitation":"(Nursulistyo et al., 2022)","plainTextFormattedCitation":"(Nursulistyo et al., 2022)","previouslyFormattedCitation":"(Nursulistyo et al., 2022)"},"properties":{"noteIndex":0},"schema":"https://github.com/citation-style-language/schema/raw/master/csl-citation.json"}</w:instrText>
      </w:r>
      <w:r w:rsidR="00B50588">
        <w:rPr>
          <w:rFonts w:ascii="Times New Roman" w:eastAsia="Times New Roman" w:hAnsi="Times New Roman" w:cs="Times New Roman"/>
          <w:sz w:val="24"/>
          <w:szCs w:val="24"/>
        </w:rPr>
        <w:fldChar w:fldCharType="separate"/>
      </w:r>
      <w:r w:rsidR="00B50588" w:rsidRPr="00B50588">
        <w:rPr>
          <w:rFonts w:ascii="Times New Roman" w:eastAsia="Times New Roman" w:hAnsi="Times New Roman" w:cs="Times New Roman"/>
          <w:noProof/>
          <w:sz w:val="24"/>
          <w:szCs w:val="24"/>
        </w:rPr>
        <w:t>(Nursulistyo et al., 2022)</w:t>
      </w:r>
      <w:r w:rsidR="00B50588">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Mayoritas penelitian sebelumnya lebih terfokus pada pengujian variabel tersebut terhadap nilai valuasi atau kinerja keuangan perusahaan. Riset yang secara spesifik menempatkan kualitas pelaporan keberlanjutan sebagai variabel terikat masih sangat terbatas. Selain itu, objek observasi pada penelitian terdahulu umumnya didominasi oleh sektor pertambangan dan energi, sementara sektor maritim dan logistik belum banyak dieksplorasi secara mendalam.</w:t>
      </w:r>
    </w:p>
    <w:p w14:paraId="2B68E2AC" w14:textId="77777777" w:rsidR="00756DF6" w:rsidRPr="005222F6" w:rsidRDefault="00000000" w:rsidP="00607EBC">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lastRenderedPageBreak/>
        <w:t>Berdasarkan kesenjangan literatur tersebut, penelitian ini disusun dengan tujuan untuk menguji dan menganalisis secara empiris pengaruh tata kelola perusahaan dan pengungkapan emisi karbon secara parsial maupun simultan terhadap kualitas pelaporan keberlanjutan. Pemilihan rentang waktu pengamatan dari tahun 2021 hingga tahun 2024 dilakukan untuk memperluas ketersediaan data guna memperoleh hasil representatif yang dapat memberikan kontribusi teoretis maupun praktis bagi pengembangan literatur akuntansi keberlanjutan pada perusahaan sektor maritim dan logistik yang terdaftar di Bursa Efek Indonesia.</w:t>
      </w:r>
    </w:p>
    <w:p w14:paraId="71CCBA52" w14:textId="77777777" w:rsidR="00756DF6" w:rsidRPr="005222F6" w:rsidRDefault="00000000" w:rsidP="00607EBC">
      <w:pPr>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KAJIAN PUSTAKA</w:t>
      </w:r>
    </w:p>
    <w:p w14:paraId="5614D3D3" w14:textId="77777777" w:rsidR="00756DF6" w:rsidRPr="00B50588" w:rsidRDefault="00000000" w:rsidP="00607EBC">
      <w:pPr>
        <w:pBdr>
          <w:top w:val="nil"/>
          <w:left w:val="nil"/>
          <w:bottom w:val="nil"/>
          <w:right w:val="nil"/>
          <w:between w:val="nil"/>
        </w:pBdr>
        <w:spacing w:line="240" w:lineRule="auto"/>
        <w:jc w:val="both"/>
        <w:rPr>
          <w:rFonts w:ascii="Times New Roman" w:eastAsia="Times New Roman" w:hAnsi="Times New Roman" w:cs="Times New Roman"/>
          <w:b/>
          <w:bCs/>
          <w:i/>
          <w:iCs/>
          <w:sz w:val="24"/>
          <w:szCs w:val="24"/>
        </w:rPr>
      </w:pPr>
      <w:r w:rsidRPr="00B50588">
        <w:rPr>
          <w:rFonts w:ascii="Times New Roman" w:eastAsia="Times New Roman" w:hAnsi="Times New Roman" w:cs="Times New Roman"/>
          <w:b/>
          <w:bCs/>
          <w:i/>
          <w:iCs/>
          <w:sz w:val="24"/>
          <w:szCs w:val="24"/>
        </w:rPr>
        <w:t>Legitimacy Theory</w:t>
      </w:r>
    </w:p>
    <w:p w14:paraId="780F1F30" w14:textId="2688296D" w:rsidR="00756DF6" w:rsidRPr="005222F6" w:rsidRDefault="00000000" w:rsidP="00607EBC">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B50588">
        <w:rPr>
          <w:rFonts w:ascii="Times New Roman" w:eastAsia="Times New Roman" w:hAnsi="Times New Roman" w:cs="Times New Roman"/>
          <w:i/>
          <w:iCs/>
          <w:sz w:val="24"/>
          <w:szCs w:val="24"/>
        </w:rPr>
        <w:t>Legitimacy Theory</w:t>
      </w:r>
      <w:r w:rsidRPr="005222F6">
        <w:rPr>
          <w:rFonts w:ascii="Times New Roman" w:eastAsia="Times New Roman" w:hAnsi="Times New Roman" w:cs="Times New Roman"/>
          <w:sz w:val="24"/>
          <w:szCs w:val="24"/>
        </w:rPr>
        <w:t xml:space="preserve"> menjelaskan bahwa perusahaan berupaya memperoleh dan mempertahankan legitimasi dari masyarakat melalui aktivitas yang sesuai dengan nilai, norma, dan harapan sosial</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{"citationItems":[{"id":"ITEM-1","itemData":{"abstract":"This study examines the effects of profitability, carbon emissions disclosure, sustainability reporting, and green accounting on the firm value of energy sector businesses listed on the Indonesian Stock Exchange (IDX). We employed linear regression analysis with panel data from 16 different companies. These samples were selected using a purposive sampling approach, and 80 were evaluated. The findings indicate that the disclosure of sustainability reports and green accounting notably impact firm value. However, disclosure of carbon emissions does not affect firm value. Firm value is significantly determined by profitability. The study's findings emphasize the importance of openness and social accountability through sustainability reports and green accounting, offering valuable stakeholder insights.","author":[{"dropping-particle":"Al","family":"Gamar","given":"Moh Frisal","non-dropping-particle":"","parse-names":false,"suffix":""},{"dropping-particle":"","family":"Widoretno","given":"Astrini Aning","non-dropping-particle":"","parse-names":false,"suffix":""}],"container-title":"Keberlanjutan : Jurnal Manajemen dan Jurnal Akuntansi","id":"ITEM-1","issue":"1","issued":{"date-parts":[["2024"]]},"page":"1-12","title":"Keberlanjutan : Jurnal Manajemen dan Jurnal Akuntansi accounting on the firm value of Indonesia energy companies","type":"article-journal","volume":"9"},"uris":["http://www.mendeley.com/documents/?uuid=dbb93ccf-2d4c-49f4-8ad4-d7b0fbe2df6e"]}],"mendeley":{"formattedCitation":"(Gamar &amp; Widoretno, 2024)","plainTextFormattedCitation":"(Gamar &amp; Widoretno, 2024)","previouslyFormattedCitation":"(Gamar &amp; Widoretno,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(Gamar &amp; Widoretno, 2024)</w:t>
      </w:r>
      <w:r w:rsidR="00FB4E76">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Legitimasi diperoleh ketika masyarakat menilai bahwa aktivitas perusahaan telah berjalan sesuai dengan sistem nilai yang berlaku. Dalam konteks bisnis modern, perusahaan tidak hanya dituntut menghasilkan keuntungan ekonomi, tetapi juga menunjukkan tanggung jawab sosial dan lingkungan melalui keterbukaan informasi kepada para pemangku kepentingan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{"citationItems":[{"id":"ITEM-1","itemData":{"DOI":"10.35912/jastaka.v4i1.3403","abstract":"Purpose: This study aims to identify the impact of carbon emission disclosure, independent commissioners, and institutional ownership on firm value. Research methodology: The population used in this study consists of transportation and logistics sector business entities registered on the Indonesia Stock Exchange during the period of 2017-2022, quatitative methods, and SPSS applications. Result: This study concludes that carbon emission disclosure has an effect on firm value. Meanwhile, independent commissioners have no effect on firm value and institutional ownership has an effect on firm value. Limitations: This study identified limitations, specifically in the examination where several business entities were not included in the research sample, resulting in an incomplete sample. Contribution: This study provides empirical evidence that contributes to the literature on the impact of carbon emission disclosures, independent commissioners, and institutional ownership on firm value. Additionally, this study is expected to inform policies related to environmental responsibility in compliance with the Republic of Indonesia Presidential Regulation Number 98 of 2021 on greenhouse gas emission control in national development and OJK Regulation No. 30/SEOJK.04/2016 on corporate obligations to include environmental disclosures in annual reports.","author":[{"dropping-particle":"","family":"Fasya","given":"Muhammad","non-dropping-particle":"","parse-names":false,"suffix":""},{"dropping-particle":"","family":"Susilowati","given":"Retno Yuni Nur","non-dropping-particle":"","parse-names":false,"suffix":""},{"dropping-particle":"","family":"Septiyanti","given":"Ratna","non-dropping-particle":"","parse-names":false,"suffix":""},{"dropping-particle":"","family":"Kusumawardani","given":"Niken","non-dropping-particle":"","parse-names":false,"suffix":""}],"container-title":"Jurnal Studi Pemerintahan dan Akuntabilitas","id":"ITEM-1","issue":"1","issued":{"date-parts":[["2024"]]},"page":"1-16","title":"Pengaruh Carbon Emission Disclosure dan Good Corporate Governance terhadap Nilai Perusahaan: Studi Empiris pada Perusahaan Sektor Transportasi dan Logistik yang Terdaftar di Bursa Efek Indonesia Periode 2017-2022","type":"article-journal","volume":"4"},"uris":["http://www.mendeley.com/documents/?uuid=85155804-8831-4321-9b42-f433e010e30f"]}],"mendeley":{"formattedCitation":"(Fasya et al., 2024)","plainTextFormattedCitation":"(Fasya et al., 2024)","previouslyFormattedCitation":"(Fasya et al.,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(Fasya et al., 2024)</w:t>
      </w:r>
      <w:r w:rsidR="00FB4E76">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ab/>
      </w:r>
    </w:p>
    <w:p w14:paraId="772C76F6" w14:textId="3B9333BE" w:rsidR="00756DF6" w:rsidRPr="005222F6" w:rsidRDefault="005222F6" w:rsidP="00607EBC">
      <w:pPr>
        <w:pBdr>
          <w:top w:val="nil"/>
          <w:left w:val="nil"/>
          <w:bottom w:val="nil"/>
          <w:right w:val="nil"/>
          <w:between w:val="nil"/>
        </w:pBd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222F6">
        <w:rPr>
          <w:rFonts w:ascii="Times New Roman" w:eastAsia="Times New Roman" w:hAnsi="Times New Roman" w:cs="Times New Roman"/>
          <w:sz w:val="24"/>
          <w:szCs w:val="24"/>
        </w:rPr>
        <w:t>Pelaporan keberlanjutan menjadi salah satu sarana perusahaan untuk mempertahankan legitimasi publik. Melalui laporan keberlanjutan, perusahaan dapat menunjukkan komitmen terhadap aspek lingkungan, sosial, dan tata kelola, termasuk pengungkapan emisi karbon serta praktik tata kelola perusahaan</w:t>
      </w:r>
      <w:r w:rsidR="00FB4E76">
        <w:rPr>
          <w:rFonts w:ascii="Times New Roman" w:eastAsia="Times New Roman" w:hAnsi="Times New Roman" w:cs="Times New Roman"/>
          <w:sz w:val="24"/>
          <w:szCs w:val="24"/>
        </w:rPr>
        <w:t xml:space="preserve">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{"citationItems":[{"id":"ITEM-1","itemData":{"DOI":"10.24815/jdab.v10i1.27974","ISSN":"2355-9462","abstract":"This study aims to provide a systematic review of research on carbon emission disclosures in the context of Indonesia. Thirty articles published in Indonesian Journals indexed by Science and Technology Index (SINTA) were selected using mapping approach (charting the field). The review found that 87% of the studies employing secondary data based quantitative method, while the other 10% studies used survey method. The resarch findings also revealed two group of determinants of carbon emission disclosure in Indonesia. 53% of the reviewed articles tested the impact of non-financial variables, for example firm age, type of industry. Meanwhile, 47% of the studies investigated the influence of financial variables (for example, leverage, firm value, and profitability) for the carbon emission disclosure. The results of this study provide an updated evaluation of prior studies and research agend for further research in carbon emission.","author":[{"dropping-particle":"","family":"Nursulistyo","given":"Emy Dwi","non-dropping-particle":"","parse-names":false,"suffix":""},{"dropping-particle":"","family":"Aryani","given":"Y Anni","non-dropping-particle":"","parse-names":false,"suffix":""},{"dropping-particle":"","family":"Bandi","given":"Bandi","non-dropping-particle":"","parse-names":false,"suffix":""}],"container-title":"Jurnal Dinamika Akuntansi dan Bisnis","id":"ITEM-1","issue":"1","issued":{"date-parts":[["2022"]]},"page":"1-18","title":"The Disclosure of Carbon Emission in Indonesia: A Systematic Literature Review","type":"article-journal","volume":"10"},"uris":["http://www.mendeley.com/documents/?uuid=1a22d857-4750-4dd0-9497-b8627dacab0a"]}],"mendeley":{"formattedCitation":"(Nursulistyo et al., 2022)","plainTextFormattedCitation":"(Nursulistyo et al., 2022)","previouslyFormattedCitation":"(Nursulistyo et al., 2022)"},"properties":{"noteIndex":0},"schema":"https://github.com/citation-style-language/schema/raw/master/csl-citation.json"}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(Nursulistyo et al., 2022)</w:t>
      </w:r>
      <w:r w:rsidR="00FB4E76">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Semakin baik kualitas informasi yang disampaikan, semakin besar peluang perusahaan memperoleh kepercayaan dan penerimaan dari masyarakat. Oleh karena itu, </w:t>
      </w:r>
      <w:r w:rsidRPr="00B50588">
        <w:rPr>
          <w:rFonts w:ascii="Times New Roman" w:eastAsia="Times New Roman" w:hAnsi="Times New Roman" w:cs="Times New Roman"/>
          <w:i/>
          <w:iCs/>
          <w:sz w:val="24"/>
          <w:szCs w:val="24"/>
        </w:rPr>
        <w:t>Legitimacy Theory</w:t>
      </w:r>
      <w:r w:rsidRPr="005222F6">
        <w:rPr>
          <w:rFonts w:ascii="Times New Roman" w:eastAsia="Times New Roman" w:hAnsi="Times New Roman" w:cs="Times New Roman"/>
          <w:sz w:val="24"/>
          <w:szCs w:val="24"/>
        </w:rPr>
        <w:t xml:space="preserve"> digunakan dalam penelitian ini untuk menjelaskan hubungan antara tata kelola perusahaan dan </w:t>
      </w:r>
      <w:r w:rsidRPr="00FB4E76">
        <w:rPr>
          <w:rFonts w:ascii="Times New Roman" w:eastAsia="Times New Roman" w:hAnsi="Times New Roman" w:cs="Times New Roman"/>
          <w:i/>
          <w:iCs/>
          <w:sz w:val="24"/>
          <w:szCs w:val="24"/>
        </w:rPr>
        <w:t>Carbon Emission Disclosure</w:t>
      </w:r>
      <w:r w:rsidRPr="005222F6">
        <w:rPr>
          <w:rFonts w:ascii="Times New Roman" w:eastAsia="Times New Roman" w:hAnsi="Times New Roman" w:cs="Times New Roman"/>
          <w:sz w:val="24"/>
          <w:szCs w:val="24"/>
        </w:rPr>
        <w:t xml:space="preserve"> terhadap kualitas pelaporan keberlanjutan.</w:t>
      </w:r>
    </w:p>
    <w:p w14:paraId="7FDCA563" w14:textId="77777777" w:rsidR="00756DF6" w:rsidRPr="005222F6" w:rsidRDefault="00000000" w:rsidP="00607EBC">
      <w:pPr>
        <w:pBdr>
          <w:top w:val="nil"/>
          <w:left w:val="nil"/>
          <w:bottom w:val="nil"/>
          <w:right w:val="nil"/>
          <w:between w:val="nil"/>
        </w:pBdr>
        <w:spacing w:before="240" w:after="0"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Kualitas Pelaporan Keberlanjutan</w:t>
      </w:r>
    </w:p>
    <w:p w14:paraId="4EC1C811" w14:textId="77E9AC4B" w:rsidR="00756DF6" w:rsidRPr="005222F6" w:rsidRDefault="00000000" w:rsidP="00607EBC">
      <w:pPr>
        <w:pBdr>
          <w:top w:val="nil"/>
          <w:left w:val="nil"/>
          <w:bottom w:val="nil"/>
          <w:right w:val="nil"/>
          <w:between w:val="nil"/>
        </w:pBdr>
        <w:spacing w:before="24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Kualitas pelaporan keberlanjutan merupakan tingkat kemampuan perusahaan dalam menyajikan informasi keberlanjutan secara relevan, lengkap, transparan, dapat dipercaya, dan sesuai dengan standar pelaporan yang berlaku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{"citationItems":[{"id":"ITEM-1","itemData":{"DOI":"10.11594/untad.jan.7.1.24713","ISSN":"2622-3082","abstract":"This study aims to examine the effect of environmental, social, and governance disclosures on firm value with the moderating variable of carbon emission disclosure. The method used in this research is the quantitative method. The population in this study amounted to 76 mining sector companies listed on the Indonesia Stock Exchange for the period 2020 - 2023. The sample was selected using purposive sampling method, resulting in a total sample of 20 companies. The analysis technique used is multiple linear regression analysis and moderate regression analysis. The results of this study indicate that environmental disclosure has a significant positive effect on firm value. Social disclosure has a significant negative effect on firm value. Governance disclosure has a significant negative effect on firm value. Carbon emission disclosure cannot moderate the relationship between environmental disclosure and firm value. Carbon emission disclosure can moderate the relationship between social disclosure on firm value. Carbon emission disclosure cannot moderate the relationship between governance disclosure on firm value.","author":[{"dropping-particle":"","family":"Meidhita Alauddin","given":"A.Alvira","non-dropping-particle":"","parse-names":false,"suffix":""},{"dropping-particle":"","family":"Tenriwaru","given":"","non-dropping-particle":"","parse-names":false,"suffix":""},{"dropping-particle":"","family":"Nurafifah Ibrahim","given":"Fifi","non-dropping-particle":"","parse-names":false,"suffix":""}],"container-title":"Jurnal Akun Nabelo : Jurnal Akuntansi Netral, Akuntabel, Objektif","id":"ITEM-1","issue":"1","issued":{"date-parts":[["2025"]]},"page":"1176-1195","title":"Pengungkapan Lingkungan, Sosial, Dan Tata Kelola Terhadap Nilai Perusahaan Dengan Pengungkapan Emisi Karbon Sebagai Variabel Moderasi (Studi Pada Perusahaan Pertambangan Yang Terdaftar Di Bursa Efek Indonesia)","type":"article-journal","volume":"7"},"uris":["http://www.mendeley.com/documents/?uuid=2bbb8e59-df72-4b43-8fa2-09d8202fff27"]}],"mendeley":{"formattedCitation":"(Meidhita Alauddin et al., 2025)","plainTextFormattedCitation":"(Meidhita Alauddin et al., 2025)","previouslyFormattedCitation":"(Meidhita Alauddin et al., 2025)"},"properties":{"noteIndex":0},"schema":"https://github.com/citation-style-language/schema/raw/master/csl-citation.json"}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(Meidhita Alauddin et al., 2025)</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Laporan keberlanjutan yang berkualitas tidak hanya menunjukkan bahwa perusahaan telah menerbitkan laporan, tetapi juga mencerminkan sejauh mana informasi yang diungkapkan mampu menggambarkan kinerja lingkungan, sosial, dan tata kelola perusahaan secara memadai.</w:t>
      </w:r>
    </w:p>
    <w:p w14:paraId="7B250CD0" w14:textId="2A06004B" w:rsidR="00756DF6" w:rsidRPr="005222F6" w:rsidRDefault="00000000" w:rsidP="00607EBC">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Dalam penelitian ini, kualitas pelaporan keberlanjutan diukur menggunakan indeks pengungkapan berdasarkan GRI 2: General Disclosures. Pengukuran dilakukan melalui metode content analysis dengan pendekatan dikotomi, yaitu skor 1 apabila item diungkapkan dan skor 0 apabila item tidak diungkapkan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{"citationItems":[{"id":"ITEM-1","itemData":{"abstract":"This study aims to examine the determinants of factors influencing the management of earnings management practices in Islamic banks in Indonesia. The factors affecting earnings management are reflected in the Camel Ratio in the form of capital adequacy, return on assets, return on equity and financing to deposit ratio. The population in this study are all Islamic commercial banks in Indonesia, with a sample of 60 companies. The data analysis technique used in this research is multiple linear regression. The results of this study indicate that CAR, RORA, ROE have no significant effect on earnings management, then the FDR variable has a significant effect on earnings management and furthermore, together the variables CAR, RORA, ROE and FDR have an influence on earnings management at banks. general sharia in Indonesia.","author":[{"dropping-particle":"","family":"Astuti Intan Novia","given":"","non-dropping-particle":"","parse-names":false,"suffix":""},{"dropping-particle":"","family":"Ainul Ridha","given":"","non-dropping-particle":"","parse-names":false,"suffix":""},{"dropping-particle":"","family":"Eliana","given":"","non-dropping-particle":"","parse-names":false,"suffix":""}],"container-title":"Jurnal Riset Akuntansi dan Bisnis","id":"ITEM-1","issue":"2","issued":{"date-parts":[["2024"]]},"page":"140-152","title":"Jurnal Riset Akuntansi Dan Bisnis Jurnal Riset Akuntansi Dan Bisnis","type":"article-journal","volume":"18"},"uris":["http://www.mendeley.com/documents/?uuid=c7a0c5b1-3f80-47db-8c1a-c604defb4027"]}],"mendeley":{"formattedCitation":"(Astuti Intan Novia et al., 2024)","plainTextFormattedCitation":"(Astuti Intan Novia et al., 2024)","previouslyFormattedCitation":"(Astuti Intan Novia et al.,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(Astuti Intan Novia et al., 2024)</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Semakin banyak item GRI yang diungkapkan perusahaan, semakin tinggi kualitas pelaporan keberlanjutan yang dihasilkan.</w:t>
      </w:r>
    </w:p>
    <w:p w14:paraId="57698331" w14:textId="77777777" w:rsidR="00756DF6" w:rsidRPr="005222F6" w:rsidRDefault="00000000" w:rsidP="00607EB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Tata Kelola Perusahaan</w:t>
      </w:r>
    </w:p>
    <w:p w14:paraId="05DAE3EB" w14:textId="6529C5F1" w:rsidR="00756DF6" w:rsidRPr="005222F6" w:rsidRDefault="00000000" w:rsidP="00607EBC">
      <w:pPr>
        <w:pBdr>
          <w:top w:val="nil"/>
          <w:left w:val="nil"/>
          <w:bottom w:val="nil"/>
          <w:right w:val="nil"/>
          <w:between w:val="nil"/>
        </w:pBdr>
        <w:spacing w:before="240" w:after="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lastRenderedPageBreak/>
        <w:t xml:space="preserve">Tata kelola perusahaan merupakan sistem yang mengatur dan mengendalikan perusahaan untuk menciptakan hubungan yang seimbang antara manajemen, pemegang saham, dan pemangku kepentingan lainnya. Tata kelola perusahaan yang baik bertujuan meningkatkan transparansi, akuntabilitas, tanggung jawab, independensi, dan kewajaran dalam pengelolaan perusahaan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author":[{"dropping-particle":"","family":"Fujianti","given":"Anisa","non-dropping-particle":"","parse-names":false,"suffix":""},{"dropping-particle":"","family":"Nasihin","given":"Ihsan","non-dropping-particle":"","parse-names":false,"suffix":""},{"dropping-particle":"","family":"Sujaya","given":"Fista Apriani","non-dropping-particle":"","parse-names":false,"suffix":""},{"dropping-particle":"","family":"Akuntansi","given":"Program Studi","non-dropping-particle":"","parse-names":false,"suffix":""},{"dropping-particle":"","family":"Perjuangan","given":"Universitas Buana","non-dropping-particle":"","parse-names":false,"suffix":""}],"id":"ITEM-1","issued":{"date-parts":[["2025"]]},"page":"2312-2324","title":"1 , 2 , 3","type":"article-journal","volume":"8"},"uris":["http://www.mendeley.com/documents/?uuid=a8605fa4-6bd0-4875-976d-34103e2cf785"]}],"mendeley":{"formattedCitation":"(A. Fujianti et al., 2025)","plainTextFormattedCitation":"(A. Fujianti et al., 2025)","previouslyFormattedCitation":"(A. Fujianti et al., 2025)"},"properties":{"noteIndex":0},"schema":"https://github.com/citation-style-language/schema/raw/master/csl-citation.json"}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(A. Fujianti et al., 2025)</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Dalam penelitian ini, tata kelola perusahaan diproksikan melalui Dewan Komisaris Independen.</w:t>
      </w:r>
    </w:p>
    <w:p w14:paraId="39665E2D" w14:textId="59151391" w:rsidR="00756DF6" w:rsidRPr="005222F6" w:rsidRDefault="00000000" w:rsidP="00607EBC">
      <w:pPr>
        <w:pBdr>
          <w:top w:val="nil"/>
          <w:left w:val="nil"/>
          <w:bottom w:val="nil"/>
          <w:right w:val="nil"/>
          <w:between w:val="nil"/>
        </w:pBdr>
        <w:spacing w:before="240" w:after="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Dewan Komisaris Independen merupakan anggota dewan komisaris yang tidak memiliki hubungan keuangan, kepengurusan, kepemilikan saham, maupun hubungan keluarga dengan pihak manajemen atau pemegang saham pengendali. Keberadaan komisaris independen diharapkan mampu meningkatkan efektivitas fungsi pengawasan terhadap manajemen, termasuk dalam proses penyusunan laporan keberlanjutan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{"citationItems":[{"id":"ITEM-1","itemData":{"abstract":"This study aims to analyze the factors that influence carbon emission disclosure in non- financial companies that disclose sustainability reports and are listed on the Indonesia Stock Exchange in 2015 -2017. The factors tested in this study are carbon emission disclosure as the dependent variable while the industry type, company size, profitability, leverage, and quality of corporate governance as independent variables The sample of this study consisted of 57 companies listed on the Indonesia Stock Exchange (IDX) and revealed the sustainability report in the period 2015-2017. This study uses secondary data and in the selection of samples using a purposive sampling method. Analysis model using multiple linear regression analysis. The results of this study indicate that the variables of industry type, company size, and quality of governance have a significant effect on carbon emission disclosure. While the profitability and leverage variables have no significant effect on carbon emission disclosure.","author":[{"dropping-particle":"","family":"Mulya","given":"Fatkhi Asri","non-dropping-particle":"","parse-names":false,"suffix":""},{"dropping-particle":"","family":"Rohman","given":"Abdul","non-dropping-particle":"","parse-names":false,"suffix":""}],"container-title":"Diponegoro Journal of Accounting","id":"ITEM-1","issue":"4","issued":{"date-parts":[["2020"]]},"page":"1-12","title":"Analisis Pengaruh Tipe Industri, Ukuran Perusahaan, Profitabilitas, Leverage dan Tata Kelola Perusahaan Terhadap Carbon Emission Discloure","type":"article-journal","volume":"9"},"uris":["http://www.mendeley.com/documents/?uuid=2f05d705-7a8c-45ee-ba89-d307ff1c493f"]}],"mendeley":{"formattedCitation":"(Mulya &amp; Rohman, 2020)","plainTextFormattedCitation":"(Mulya &amp; Rohman, 2020)","previouslyFormattedCitation":"(Mulya &amp; Rohman, 2020)"},"properties":{"noteIndex":0},"schema":"https://github.com/citation-style-language/schema/raw/master/csl-citation.json"}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(Mulya &amp; Rohman, 2020)</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Hal ini sejalan dengan temuan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{"citationItems":[{"id":"ITEM-1","itemData":{"DOI":"10.22219/jrak.v14i1.28986","ISSN":"2088-0685","abstract":"Purpose: This research aims to confirm the roles of Good Corporate Governance (GCG) and Environmentalal, Social, Governance (ESG) Disclosures in Indonesia. Methodology/approach: The research method employed is a quantitative approach using secondary data. The sample was selected using purposive sampling, resulting in 161 manufacturing companies listed on the Indonesia Stock Exchange in 2021. The research analysis technique utilizes multiple linear regression. Findings:The research results reveal a significant positive role of the Board of Commissioners and Independent Board of Commissioners in ESG disclosure, whereas the Audit Committee does not play a significant role in ESG. Practical implications: The number of members in the Board of Commissioners and Independent Board of Commissioners can stimulate an improvement in ESQ disclosure. However, the presence of the Audit Committee has not been able to demonstrate a role because Indonesian companies form an audit committee merely to comply with existing regulations. Originality/value: The limited research examining Environmentalal, Social, Governance Disclosures in Indonesia has been identified. Previous research results indicate that the variable playing a significant role in promoting disclosure improvement is Good Corporate Governance (GCG). Therefore, this study further investigates the role of GCG in enhancing ESQ disclosures.","author":[{"dropping-particle":"","family":"Fujianti","given":"Lailah","non-dropping-particle":"","parse-names":false,"suffix":""},{"dropping-particle":"","family":"Nelyumna","given":"Nelyumna","non-dropping-particle":"","parse-names":false,"suffix":""},{"dropping-particle":"","family":"Azizah","given":"Widyaningsih","non-dropping-particle":"","parse-names":false,"suffix":""},{"dropping-particle":"","family":"Astuti","given":"Sinta Budi","non-dropping-particle":"","parse-names":false,"suffix":""},{"dropping-particle":"","family":"Hilmiyah","given":"Nurul","non-dropping-particle":"","parse-names":false,"suffix":""},{"dropping-particle":"","family":"Qodriyah","given":"Anninsa Lailatul","non-dropping-particle":"","parse-names":false,"suffix":""}],"container-title":"Jurnal Reviu Akuntansi dan Keuangan","id":"ITEM-1","issue":"1","issued":{"date-parts":[["2024"]]},"page":"19-36","title":"Good Corporate Governance Dan Environmentalal, Social, Governance Disclosures Di Indonesia","type":"article-journal","volume":"14"},"uris":["http://www.mendeley.com/documents/?uuid=fc38ca3d-e88d-43e8-9739-3cea34d96f18"]}],"mendeley":{"formattedCitation":"(L. Fujianti et al., 2024)","plainTextFormattedCitation":"(L. Fujianti et al., 2024)","previouslyFormattedCitation":"(L. Fujianti et al.,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(L. Fujianti et al., 2024)</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yang menunjukkan bahwa dewan komisaris dan komisaris independen berpengaruh positif terhadap ESG disclosure.</w:t>
      </w:r>
    </w:p>
    <w:p w14:paraId="2737B9D8" w14:textId="77777777" w:rsidR="00756DF6" w:rsidRPr="00FB4E76" w:rsidRDefault="00000000" w:rsidP="00607EBC">
      <w:pPr>
        <w:pBdr>
          <w:top w:val="nil"/>
          <w:left w:val="nil"/>
          <w:bottom w:val="nil"/>
          <w:right w:val="nil"/>
          <w:between w:val="nil"/>
        </w:pBdr>
        <w:spacing w:before="240" w:after="0" w:line="240" w:lineRule="auto"/>
        <w:jc w:val="both"/>
        <w:rPr>
          <w:rFonts w:ascii="Times New Roman" w:eastAsia="Times New Roman" w:hAnsi="Times New Roman" w:cs="Times New Roman"/>
          <w:b/>
          <w:bCs/>
          <w:i/>
          <w:iCs/>
          <w:sz w:val="24"/>
          <w:szCs w:val="24"/>
        </w:rPr>
      </w:pPr>
      <w:r w:rsidRPr="00FB4E76">
        <w:rPr>
          <w:rFonts w:ascii="Times New Roman" w:eastAsia="Times New Roman" w:hAnsi="Times New Roman" w:cs="Times New Roman"/>
          <w:b/>
          <w:bCs/>
          <w:i/>
          <w:iCs/>
          <w:sz w:val="24"/>
          <w:szCs w:val="24"/>
        </w:rPr>
        <w:t>Carbon Emission Disclosure</w:t>
      </w:r>
    </w:p>
    <w:p w14:paraId="1FE1509D" w14:textId="041B36C5" w:rsidR="00756DF6" w:rsidRPr="005222F6" w:rsidRDefault="00000000" w:rsidP="00607EBC">
      <w:pPr>
        <w:pBdr>
          <w:top w:val="nil"/>
          <w:left w:val="nil"/>
          <w:bottom w:val="nil"/>
          <w:right w:val="nil"/>
          <w:between w:val="nil"/>
        </w:pBdr>
        <w:spacing w:before="240" w:after="0" w:line="240" w:lineRule="auto"/>
        <w:ind w:firstLine="720"/>
        <w:jc w:val="both"/>
        <w:rPr>
          <w:rFonts w:ascii="Times New Roman" w:eastAsia="Times New Roman" w:hAnsi="Times New Roman" w:cs="Times New Roman"/>
          <w:sz w:val="24"/>
          <w:szCs w:val="24"/>
        </w:rPr>
      </w:pPr>
      <w:r w:rsidRPr="00FB4E76">
        <w:rPr>
          <w:rFonts w:ascii="Times New Roman" w:eastAsia="Times New Roman" w:hAnsi="Times New Roman" w:cs="Times New Roman"/>
          <w:i/>
          <w:iCs/>
          <w:sz w:val="24"/>
          <w:szCs w:val="24"/>
        </w:rPr>
        <w:t>Carbon Emission Disclosure</w:t>
      </w:r>
      <w:r w:rsidRPr="005222F6">
        <w:rPr>
          <w:rFonts w:ascii="Times New Roman" w:eastAsia="Times New Roman" w:hAnsi="Times New Roman" w:cs="Times New Roman"/>
          <w:sz w:val="24"/>
          <w:szCs w:val="24"/>
        </w:rPr>
        <w:t xml:space="preserve"> merupakan pengungkapan informasi perusahaan mengenai emisi karbon yang dihasilkan dari aktivitas operasionalnya. Pengungkapan ini mencakup informasi mengenai emisi gas rumah kaca, sumber emisi, intensitas emisi, upaya pengurangan emisi, serta komitmen perusahaan dalam menghadapi perubahan iklim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{"citationItems":[{"id":"ITEM-1","itemData":{"DOI":"10.24034/j25485024.y2024.v8.i4.6670","ISSN":"2548-298X","abstract":"This study examines the influence of green strategy, green investment, and environmental performance on carbon emission disclosure, with good corporate governance as a moderating variable. The research adopts a quantitative approach using secondary data. The research method employed is documentation, with data collected from annual and company sustainability reports. The sample in this study consists of non-financial companies listed on the Indonesia Stock Exchange from 2020 to 2022, using a purposive sampling method. The sample obtained includes 91 companies out of a population of 772 companies. The data analysis technique used in this study is multiple linear regression analysis. The results show that the variables of green strategy and environmental performance have a positive influence on carbon emission disclosure, while green investment does not affect carbon emission disclosure. In the MRA testing, good corporate governance does not moderate the relationship between green strategy and environmental performance with carbon emission disclosure. In contrast, good corporate governance weakens the relationship between green investment and carbon emission disclosure.","author":[{"dropping-particle":"","family":"Jaenudin","given":"Jaenudin","non-dropping-particle":"","parse-names":false,"suffix":""},{"dropping-particle":"","family":"Ruhiyat","given":"Endang","non-dropping-particle":"","parse-names":false,"suffix":""},{"dropping-particle":"","family":"Sugiyanto","given":"Sugiyanto","non-dropping-particle":"","parse-names":false,"suffix":""}],"container-title":"EKUITAS (Jurnal Ekonomi dan Keuangan)","id":"ITEM-1","issue":"4","issued":{"date-parts":[["2025"]]},"page":"613-631","title":"Factors Affecting Carbon Emission Disclosure: Good Corporate Governance As a Moderating Variable","type":"article-journal","volume":"8"},"uris":["http://www.mendeley.com/documents/?uuid=5932e165-15a1-4f14-83df-afb6667d673a"]}],"mendeley":{"formattedCitation":"(Jaenudin et al., 2025)","plainTextFormattedCitation":"(Jaenudin et al., 2025)","previouslyFormattedCitation":"(Jaenudin et al., 2025)"},"properties":{"noteIndex":0},"schema":"https://github.com/citation-style-language/schema/raw/master/csl-citation.json"}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(Jaenudin et al., 2025)</w:t>
      </w:r>
      <w:r w:rsidR="00FB4E76">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w:t>
      </w:r>
    </w:p>
    <w:p w14:paraId="21DE52E8" w14:textId="6A24F374" w:rsidR="00756DF6" w:rsidRPr="005222F6" w:rsidRDefault="00000000" w:rsidP="00607EBC">
      <w:pPr>
        <w:pBdr>
          <w:top w:val="nil"/>
          <w:left w:val="nil"/>
          <w:bottom w:val="nil"/>
          <w:right w:val="nil"/>
          <w:between w:val="nil"/>
        </w:pBdr>
        <w:spacing w:before="24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Pengungkapan emisi karbon menjadi bagian penting dalam pelaporan keberlanjutan karena mencerminkan transparansi perusahaan terhadap dampak lingkungan yang ditimbulkan. Semakin luas pengungkapan emisi karbon yang dilakukan perusahaan, semakin besar pula komitmen perusahaan dalam menunjukkan tanggung jawab lingkungan kepada para pemangku kepentingan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{"citationItems":[{"id":"ITEM-1","itemData":{"DOI":"10.37817/ikraith-ekonomika.v8i2.4317","ISSN":"2654-4946","abstract":"Penelitian ini bertujuan untuk mengetahui Pengungkapan Emisi Karbon, Kinerja Lingkungan danSustainability Report terhadap Nilai Perusahaan pada Perusahaan Basic Material yang terdaftar diBursa Efek Indonesia pada tahun 2020-2023, baik secara parsial maupun simultan. Sampel dalampenelitian ini adalah perusahaan basic material yang terdaftar di Bursa Efek Indonesia (BEI) padatahun 2020-2023. Populasi dalam penelitian ini yang di dapat pada perusahaan basic materialberdasarkan kriteria yang dipilih mendapatkan 9 perusahaan dan 36 jumlah sampel denganpengambilan sampel menggunakan metode purposive sampling yang dianalisis menggunakanEviews 12. Hasil dari penelitian ini berdasarkan Uji Parsial (Uji t) menunjukkan secara parsialvariabel Pengungkapan Emisi Karbon dan Sustainability Report berpengaruh negatif signifikanterhadap Nilai Perusahaan, sedangkan Kinerja Lingkungan berpengaruh positif signifikan terhadapNilai Perusahaan. Secara simultan (Uji f) menunjukan bahwa Pengungkapan Emisi Karbon,Kinerja Lingkungan dan Sustainbaility Report berpengrauh secara bersama-sama terhadap NilaiPerusahaan.","author":[{"dropping-particle":"","family":"Pratiwi","given":"Sandrina Miscka","non-dropping-particle":"","parse-names":false,"suffix":""},{"dropping-particle":"","family":"Suryanti","given":"Laili","non-dropping-particle":"","parse-names":false,"suffix":""},{"dropping-particle":"","family":"Indrianty","given":"Lely","non-dropping-particle":"","parse-names":false,"suffix":""},{"dropping-particle":"","family":"Wanialisa","given":"Mery","non-dropping-particle":"","parse-names":false,"suffix":""}],"container-title":"Ikraith-Ekonomika","id":"ITEM-1","issue":"2","issued":{"date-parts":[["2024"]]},"page":"181-191","title":"Pengaruh Pengungkapan Emisi Karbon, Kinerja Lingkungan dan SR Terhadap Nilai Perusahaan (Pada Perusahaan Basic Material Yang Terdaftar di BEI Periode 2020-2023)","type":"article-journal","volume":"8"},"uris":["http://www.mendeley.com/documents/?uuid=13af91cf-4ba7-435d-9e47-1be6f536fb59"]}],"mendeley":{"formattedCitation":"(Pratiwi et al., 2024)","plainTextFormattedCitation":"(Pratiwi et al., 2024)","previouslyFormattedCitation":"(Pratiwi et al.,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(Pratiwi et al., 2024)</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{"citationItems":[{"id":"ITEM-1","itemData":{"abstract":"This study aims to examine the determinants of factors influencing the management of earnings management practices in Islamic banks in Indonesia. The factors affecting earnings management are reflected in the Camel Ratio in the form of capital adequacy, return on assets, return on equity and financing to deposit ratio. The population in this study are all Islamic commercial banks in Indonesia, with a sample of 60 companies. The data analysis technique used in this research is multiple linear regression. The results of this study indicate that CAR, RORA, ROE have no significant effect on earnings management, then the FDR variable has a significant effect on earnings management and furthermore, together the variables CAR, RORA, ROE and FDR have an influence on earnings management at banks. general sharia in Indonesia.","author":[{"dropping-particle":"","family":"Astuti Intan Novia","given":"","non-dropping-particle":"","parse-names":false,"suffix":""},{"dropping-particle":"","family":"Ainul Ridha","given":"","non-dropping-particle":"","parse-names":false,"suffix":""},{"dropping-particle":"","family":"Eliana","given":"","non-dropping-particle":"","parse-names":false,"suffix":""}],"container-title":"Jurnal Riset Akuntansi dan Bisnis","id":"ITEM-1","issue":"2","issued":{"date-parts":[["2024"]]},"page":"140-152","title":"Jurnal Riset Akuntansi Dan Bisnis Jurnal Riset Akuntansi Dan Bisnis","type":"article-journal","volume":"18"},"uris":["http://www.mendeley.com/documents/?uuid=c7a0c5b1-3f80-47db-8c1a-c604defb4027"]}],"mendeley":{"formattedCitation":"(Astuti Intan Novia et al., 2024)","plainTextFormattedCitation":"(Astuti Intan Novia et al., 2024)","previouslyFormattedCitation":"(Astuti Intan Novia et al.,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(Astuti Intan Novia et al., 2024)</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menunjukkan bahwa pengungkapan emisi karbon berpengaruh terhadap nilai perusahaan, sehingga informasi emisi karbon dapat menjadi perhatian penting bagi pemangku kepentingan dalam menilai perusahaan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author":[{"dropping-particle":"","family":"Fujianti","given":"Anisa","non-dropping-particle":"","parse-names":false,"suffix":""},{"dropping-particle":"","family":"Nasihin","given":"Ihsan","non-dropping-particle":"","parse-names":false,"suffix":""},{"dropping-particle":"","family":"Sujaya","given":"Fista Apriani","non-dropping-particle":"","parse-names":false,"suffix":""},{"dropping-particle":"","family":"Akuntansi","given":"Program Studi","non-dropping-particle":"","parse-names":false,"suffix":""},{"dropping-particle":"","family":"Perjuangan","given":"Universitas Buana","non-dropping-particle":"","parse-names":false,"suffix":""}],"id":"ITEM-1","issued":{"date-parts":[["2025"]]},"page":"2312-2324","title":"1 , 2 , 3","type":"article-journal","volume":"8"},"uris":["http://www.mendeley.com/documents/?uuid=a8605fa4-6bd0-4875-976d-34103e2cf785"]}],"mendeley":{"formattedCitation":"(A. Fujianti et al., 2025)","plainTextFormattedCitation":"(A. Fujianti et al., 2025)","previouslyFormattedCitation":"(A. Fujianti et al., 2025)"},"properties":{"noteIndex":0},"schema":"https://github.com/citation-style-language/schema/raw/master/csl-citation.json"}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(A. Fujianti et al., 2025)</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Selain itu,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{"citationItems":[{"id":"ITEM-1","itemData":{"abstract":"This study aims to analyze the factors that influence carbon emission disclosure in non- financial companies that disclose sustainability reports and are listed on the Indonesia Stock Exchange in 2015 -2017. The factors tested in this study are carbon emission disclosure as the dependent variable while the industry type, company size, profitability, leverage, and quality of corporate governance as independent variables The sample of this study consisted of 57 companies listed on the Indonesia Stock Exchange (IDX) and revealed the sustainability report in the period 2015-2017. This study uses secondary data and in the selection of samples using a purposive sampling method. Analysis model using multiple linear regression analysis. The results of this study indicate that the variables of industry type, company size, and quality of governance have a significant effect on carbon emission disclosure. While the profitability and leverage variables have no significant effect on carbon emission disclosure.","author":[{"dropping-particle":"","family":"Mulya","given":"Fatkhi Asri","non-dropping-particle":"","parse-names":false,"suffix":""},{"dropping-particle":"","family":"Rohman","given":"Abdul","non-dropping-particle":"","parse-names":false,"suffix":""}],"container-title":"Diponegoro Journal of Accounting","id":"ITEM-1","issue":"4","issued":{"date-parts":[["2020"]]},"page":"1-12","title":"Analisis Pengaruh Tipe Industri, Ukuran Perusahaan, Profitabilitas, Leverage dan Tata Kelola Perusahaan Terhadap Carbon Emission Discloure","type":"article-journal","volume":"9"},"uris":["http://www.mendeley.com/documents/?uuid=2f05d705-7a8c-45ee-ba89-d307ff1c493f"]}],"mendeley":{"formattedCitation":"(Mulya &amp; Rohman, 2020)","plainTextFormattedCitation":"(Mulya &amp; Rohman, 2020)","previouslyFormattedCitation":"(Mulya &amp; Rohman, 2020)"},"properties":{"noteIndex":0},"schema":"https://github.com/citation-style-language/schema/raw/master/csl-citation.json"}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(Mulya &amp; Rohman, 2020)</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menemukan bahwa kualitas tata kelola perusahaan berpengaruh terhadap </w:t>
      </w:r>
      <w:r w:rsidRPr="00FB4E76">
        <w:rPr>
          <w:rFonts w:ascii="Times New Roman" w:eastAsia="Times New Roman" w:hAnsi="Times New Roman" w:cs="Times New Roman"/>
          <w:i/>
          <w:iCs/>
          <w:sz w:val="24"/>
          <w:szCs w:val="24"/>
        </w:rPr>
        <w:t>Carbon Emission Disclosure</w:t>
      </w:r>
      <w:r w:rsidRPr="005222F6">
        <w:rPr>
          <w:rFonts w:ascii="Times New Roman" w:eastAsia="Times New Roman" w:hAnsi="Times New Roman" w:cs="Times New Roman"/>
          <w:sz w:val="24"/>
          <w:szCs w:val="24"/>
        </w:rPr>
        <w:t>.</w:t>
      </w:r>
    </w:p>
    <w:p w14:paraId="691F46C6" w14:textId="77777777" w:rsidR="00756DF6" w:rsidRPr="005222F6" w:rsidRDefault="00000000" w:rsidP="00607EBC">
      <w:pPr>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Pengembangan Hipotesis</w:t>
      </w:r>
    </w:p>
    <w:p w14:paraId="6FEB187B" w14:textId="77777777" w:rsidR="00756DF6" w:rsidRPr="005222F6" w:rsidRDefault="00000000" w:rsidP="00607EB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a. Pengaruh Dewan Komisaris Independen terhadap Kualitas Pelaporan Keberlanjutan</w:t>
      </w:r>
    </w:p>
    <w:p w14:paraId="29171EDF" w14:textId="7EEAF056" w:rsidR="00756DF6" w:rsidRPr="005222F6" w:rsidRDefault="00000000" w:rsidP="00607EBC">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Dewan Komisaris Independen berperan penting dalam meningkatkan objektivitas pengawasan terhadap manajemen. Mekanisme pengawasan yang independen dapat mendorong perusahaan untuk menyajikan informasi secara lebih transparan, akuntabel, dan bertanggung jawab. Dalam perspektif </w:t>
      </w:r>
      <w:r w:rsidRPr="00FB4E76">
        <w:rPr>
          <w:rFonts w:ascii="Times New Roman" w:eastAsia="Times New Roman" w:hAnsi="Times New Roman" w:cs="Times New Roman"/>
          <w:i/>
          <w:iCs/>
          <w:sz w:val="24"/>
          <w:szCs w:val="24"/>
        </w:rPr>
        <w:t>Legitimacy Theory</w:t>
      </w:r>
      <w:r w:rsidRPr="005222F6">
        <w:rPr>
          <w:rFonts w:ascii="Times New Roman" w:eastAsia="Times New Roman" w:hAnsi="Times New Roman" w:cs="Times New Roman"/>
          <w:sz w:val="24"/>
          <w:szCs w:val="24"/>
        </w:rPr>
        <w:t xml:space="preserve">, perusahaan yang diawasi dengan baik cenderung berupaya memenuhi harapan pemangku kepentingan melalui keterbukaan informasi, termasuk dalam penyusunan laporan keberlanjutan. Penelitian terdahulu menunjukkan bahwa karakteristik dewan memiliki keterkaitan dengan pengungkapan informasi non-keuangan.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{"citationItems":[{"id":"ITEM-1","itemData":{"DOI":"10.22219/jrak.v14i1.28986","ISSN":"2088-0685","abstract":"Purpose: This research aims to confirm the roles of Good Corporate Governance (GCG) and Environmentalal, Social, Governance (ESG) Disclosures in Indonesia. Methodology/approach: The research method employed is a quantitative approach using secondary data. The sample was selected using purposive sampling, resulting in 161 manufacturing companies listed on the Indonesia Stock Exchange in 2021. The research analysis technique utilizes multiple linear regression. Findings:The research results reveal a significant positive role of the Board of Commissioners and Independent Board of Commissioners in ESG disclosure, whereas the Audit Committee does not play a significant role in ESG. Practical implications: The number of members in the Board of Commissioners and Independent Board of Commissioners can stimulate an improvement in ESQ disclosure. However, the presence of the Audit Committee has not been able to demonstrate a role because Indonesian companies form an audit committee merely to comply with existing regulations. Originality/value: The limited research examining Environmentalal, Social, Governance Disclosures in Indonesia has been identified. Previous research results indicate that the variable playing a significant role in promoting disclosure improvement is Good Corporate Governance (GCG). Therefore, this study further investigates the role of GCG in enhancing ESQ disclosures.","author":[{"dropping-particle":"","family":"Fujianti","given":"Lailah","non-dropping-particle":"","parse-names":false,"suffix":""},{"dropping-particle":"","family":"Nelyumna","given":"Nelyumna","non-dropping-particle":"","parse-names":false,"suffix":""},{"dropping-particle":"","family":"Azizah","given":"Widyaningsih","non-dropping-particle":"","parse-names":false,"suffix":""},{"dropping-particle":"","family":"Astuti","given":"Sinta Budi","non-dropping-particle":"","parse-names":false,"suffix":""},{"dropping-particle":"","family":"Hilmiyah","given":"Nurul","non-dropping-particle":"","parse-names":false,"suffix":""},{"dropping-particle":"","family":"Qodriyah","given":"Anninsa Lailatul","non-dropping-particle":"","parse-names":false,"suffix":""}],"container-title":"Jurnal Reviu Akuntansi dan Keuangan","id":"ITEM-1","issue":"1","issued":{"date-parts":[["2024"]]},"page":"19-36","title":"Good Corporate Governance Dan Environmentalal, Social, Governance Disclosures Di Indonesia","type":"article-journal","volume":"14"},"uris":["http://www.mendeley.com/documents/?uuid=fc38ca3d-e88d-43e8-9739-3cea34d96f18"]}],"mendeley":{"formattedCitation":"(L. Fujianti et al., 2024)","plainTextFormattedCitation":"(L. Fujianti et al., 2024)","previouslyFormattedCitation":"(L. Fujianti et al.,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(L. Fujianti et al., 2024)</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menemukan bahwa dewan komisaris independen berpengaruh positif signifikan terhadap </w:t>
      </w:r>
      <w:r w:rsidRPr="00FB4E76">
        <w:rPr>
          <w:rFonts w:ascii="Times New Roman" w:eastAsia="Times New Roman" w:hAnsi="Times New Roman" w:cs="Times New Roman"/>
          <w:i/>
          <w:iCs/>
          <w:sz w:val="24"/>
          <w:szCs w:val="24"/>
        </w:rPr>
        <w:t>ESG</w:t>
      </w:r>
      <w:r w:rsidRPr="005222F6">
        <w:rPr>
          <w:rFonts w:ascii="Times New Roman" w:eastAsia="Times New Roman" w:hAnsi="Times New Roman" w:cs="Times New Roman"/>
          <w:sz w:val="24"/>
          <w:szCs w:val="24"/>
        </w:rPr>
        <w:t xml:space="preserve"> </w:t>
      </w:r>
      <w:r w:rsidRPr="00FB4E76">
        <w:rPr>
          <w:rFonts w:ascii="Times New Roman" w:eastAsia="Times New Roman" w:hAnsi="Times New Roman" w:cs="Times New Roman"/>
          <w:i/>
          <w:iCs/>
          <w:sz w:val="24"/>
          <w:szCs w:val="24"/>
        </w:rPr>
        <w:t>disclosure</w:t>
      </w:r>
      <w:r w:rsidRPr="005222F6">
        <w:rPr>
          <w:rFonts w:ascii="Times New Roman" w:eastAsia="Times New Roman" w:hAnsi="Times New Roman" w:cs="Times New Roman"/>
          <w:sz w:val="24"/>
          <w:szCs w:val="24"/>
        </w:rPr>
        <w:t xml:space="preserve">. Temuan tersebut mengindikasikan bahwa semakin memadai proporsi dewan komisaris independen, semakin terdorong perusahaan untuk </w:t>
      </w:r>
      <w:r w:rsidRPr="005222F6">
        <w:rPr>
          <w:rFonts w:ascii="Times New Roman" w:eastAsia="Times New Roman" w:hAnsi="Times New Roman" w:cs="Times New Roman"/>
          <w:sz w:val="24"/>
          <w:szCs w:val="24"/>
        </w:rPr>
        <w:lastRenderedPageBreak/>
        <w:t>meningkatkan kualitas pengungkapan informasi keberlanjutan. Berdasarkan uraian tersebut, maka hipotesis pertama dirumuskan sebagai berikut:</w:t>
      </w:r>
    </w:p>
    <w:p w14:paraId="770811F9" w14:textId="77777777" w:rsidR="00756DF6" w:rsidRPr="005222F6" w:rsidRDefault="00000000" w:rsidP="00607EBC">
      <w:pPr>
        <w:pBdr>
          <w:top w:val="nil"/>
          <w:left w:val="nil"/>
          <w:bottom w:val="nil"/>
          <w:right w:val="nil"/>
          <w:between w:val="nil"/>
        </w:pBdr>
        <w:spacing w:before="240" w:after="0" w:line="240" w:lineRule="auto"/>
        <w:jc w:val="both"/>
        <w:rPr>
          <w:rFonts w:ascii="Times New Roman" w:eastAsia="Times New Roman" w:hAnsi="Times New Roman" w:cs="Times New Roman"/>
          <w:sz w:val="24"/>
          <w:szCs w:val="24"/>
        </w:rPr>
      </w:pPr>
      <w:r w:rsidRPr="005222F6">
        <w:rPr>
          <w:rFonts w:ascii="Times New Roman" w:eastAsia="Times New Roman" w:hAnsi="Times New Roman" w:cs="Times New Roman"/>
          <w:b/>
          <w:bCs/>
          <w:sz w:val="24"/>
          <w:szCs w:val="24"/>
        </w:rPr>
        <w:t>H1:Dewan Komisaris Independen berpengaruh terhadap Kualitas Pelaporan Keberlanjutan.</w:t>
      </w:r>
      <w:r w:rsidRPr="005222F6">
        <w:rPr>
          <w:rFonts w:ascii="Times New Roman" w:eastAsia="Times New Roman" w:hAnsi="Times New Roman" w:cs="Times New Roman"/>
          <w:sz w:val="24"/>
          <w:szCs w:val="24"/>
        </w:rPr>
        <w:t xml:space="preserve">  </w:t>
      </w:r>
    </w:p>
    <w:p w14:paraId="0BA669CF" w14:textId="77777777" w:rsidR="00756DF6" w:rsidRPr="005222F6" w:rsidRDefault="00000000" w:rsidP="00607EBC">
      <w:pPr>
        <w:pBdr>
          <w:top w:val="nil"/>
          <w:left w:val="nil"/>
          <w:bottom w:val="nil"/>
          <w:right w:val="nil"/>
          <w:between w:val="nil"/>
        </w:pBdr>
        <w:spacing w:before="240"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 xml:space="preserve">b. Pengaruh </w:t>
      </w:r>
      <w:r w:rsidRPr="00FB4E76">
        <w:rPr>
          <w:rFonts w:ascii="Times New Roman" w:eastAsia="Times New Roman" w:hAnsi="Times New Roman" w:cs="Times New Roman"/>
          <w:b/>
          <w:bCs/>
          <w:i/>
          <w:iCs/>
          <w:sz w:val="24"/>
          <w:szCs w:val="24"/>
        </w:rPr>
        <w:t>Carbon Emission Disclosure</w:t>
      </w:r>
      <w:r w:rsidRPr="005222F6">
        <w:rPr>
          <w:rFonts w:ascii="Times New Roman" w:eastAsia="Times New Roman" w:hAnsi="Times New Roman" w:cs="Times New Roman"/>
          <w:b/>
          <w:bCs/>
          <w:sz w:val="24"/>
          <w:szCs w:val="24"/>
        </w:rPr>
        <w:t xml:space="preserve"> terhadap Kualitas Pelaporan Keberlanjutan</w:t>
      </w:r>
    </w:p>
    <w:p w14:paraId="0A35D07E" w14:textId="7FFAF7DF" w:rsidR="00756DF6" w:rsidRPr="005222F6" w:rsidRDefault="00000000" w:rsidP="00607EBC">
      <w:pPr>
        <w:pBdr>
          <w:top w:val="nil"/>
          <w:left w:val="nil"/>
          <w:bottom w:val="nil"/>
          <w:right w:val="nil"/>
          <w:between w:val="nil"/>
        </w:pBdr>
        <w:spacing w:before="240" w:line="240" w:lineRule="auto"/>
        <w:ind w:firstLine="720"/>
        <w:jc w:val="both"/>
        <w:rPr>
          <w:rFonts w:ascii="Times New Roman" w:eastAsia="Times New Roman" w:hAnsi="Times New Roman" w:cs="Times New Roman"/>
          <w:sz w:val="24"/>
          <w:szCs w:val="24"/>
        </w:rPr>
      </w:pPr>
      <w:r w:rsidRPr="00FB4E76">
        <w:rPr>
          <w:rFonts w:ascii="Times New Roman" w:eastAsia="Times New Roman" w:hAnsi="Times New Roman" w:cs="Times New Roman"/>
          <w:i/>
          <w:iCs/>
          <w:sz w:val="24"/>
          <w:szCs w:val="24"/>
        </w:rPr>
        <w:t>Carbon Emission Disclosure</w:t>
      </w:r>
      <w:r w:rsidRPr="005222F6">
        <w:rPr>
          <w:rFonts w:ascii="Times New Roman" w:eastAsia="Times New Roman" w:hAnsi="Times New Roman" w:cs="Times New Roman"/>
          <w:sz w:val="24"/>
          <w:szCs w:val="24"/>
        </w:rPr>
        <w:t xml:space="preserve"> merupakan bentuk keterbukaan perusahaan dalam mengungkapkan informasi terkait emisi karbon yang dihasilkan dari aktivitas operasionalnya. Informasi tersebut dapat mencakup jumlah emisi, sumber emisi, intensitas emisi, strategi pengurangan emisi, serta komitmen perusahaan dalam menghadapi perubahan iklim. Dalam perspektif </w:t>
      </w:r>
      <w:r w:rsidRPr="00FB4E76">
        <w:rPr>
          <w:rFonts w:ascii="Times New Roman" w:eastAsia="Times New Roman" w:hAnsi="Times New Roman" w:cs="Times New Roman"/>
          <w:i/>
          <w:iCs/>
          <w:sz w:val="24"/>
          <w:szCs w:val="24"/>
        </w:rPr>
        <w:t>Legitimacy Theory</w:t>
      </w:r>
      <w:r w:rsidRPr="005222F6">
        <w:rPr>
          <w:rFonts w:ascii="Times New Roman" w:eastAsia="Times New Roman" w:hAnsi="Times New Roman" w:cs="Times New Roman"/>
          <w:sz w:val="24"/>
          <w:szCs w:val="24"/>
        </w:rPr>
        <w:t xml:space="preserve">, perusahaan yang mengungkapkan informasi emisi karbon secara lebih luas menunjukkan upaya untuk memperoleh dan mempertahankan legitimasi publik melalui transparansi atas dampak lingkungan yang ditimbulkan </w:t>
      </w:r>
      <w:r w:rsidR="00FB4E76">
        <w:rPr>
          <w:rFonts w:ascii="Times New Roman" w:eastAsia="Times New Roman" w:hAnsi="Times New Roman" w:cs="Times New Roman"/>
          <w:sz w:val="24"/>
          <w:szCs w:val="24"/>
        </w:rPr>
        <w:fldChar w:fldCharType="begin" w:fldLock="1"/>
      </w:r>
      <w:r w:rsidR="00FB4E76">
        <w:rPr>
          <w:rFonts w:ascii="Times New Roman" w:eastAsia="Times New Roman" w:hAnsi="Times New Roman" w:cs="Times New Roman"/>
          <w:sz w:val="24"/>
          <w:szCs w:val="24"/>
        </w:rPr>
        <w:instrText>ADDIN CSL_CITATION {"citationItems":[{"id":"ITEM-1","itemData":{"DOI":"10.11594/untad.jan.7.1.24713","ISSN":"2622-3082","abstract":"This study aims to examine the effect of environmental, social, and governance disclosures on firm value with the moderating variable of carbon emission disclosure. The method used in this research is the quantitative method. The population in this study amounted to 76 mining sector companies listed on the Indonesia Stock Exchange for the period 2020 - 2023. The sample was selected using purposive sampling method, resulting in a total sample of 20 companies. The analysis technique used is multiple linear regression analysis and moderate regression analysis. The results of this study indicate that environmental disclosure has a significant positive effect on firm value. Social disclosure has a significant negative effect on firm value. Governance disclosure has a significant negative effect on firm value. Carbon emission disclosure cannot moderate the relationship between environmental disclosure and firm value. Carbon emission disclosure can moderate the relationship between social disclosure on firm value. Carbon emission disclosure cannot moderate the relationship between governance disclosure on firm value.","author":[{"dropping-particle":"","family":"Meidhita Alauddin","given":"A.Alvira","non-dropping-particle":"","parse-names":false,"suffix":""},{"dropping-particle":"","family":"Tenriwaru","given":"","non-dropping-particle":"","parse-names":false,"suffix":""},{"dropping-particle":"","family":"Nurafifah Ibrahim","given":"Fifi","non-dropping-particle":"","parse-names":false,"suffix":""}],"container-title":"Jurnal Akun Nabelo : Jurnal Akuntansi Netral, Akuntabel, Objektif","id":"ITEM-1","issue":"1","issued":{"date-parts":[["2025"]]},"page":"1176-1195","title":"Pengungkapan Lingkungan, Sosial, Dan Tata Kelola Terhadap Nilai Perusahaan Dengan Pengungkapan Emisi Karbon Sebagai Variabel Moderasi (Studi Pada Perusahaan Pertambangan Yang Terdaftar Di Bursa Efek Indonesia)","type":"article-journal","volume":"7"},"uris":["http://www.mendeley.com/documents/?uuid=2bbb8e59-df72-4b43-8fa2-09d8202fff27"]}],"mendeley":{"formattedCitation":"(Meidhita Alauddin et al., 2025)","plainTextFormattedCitation":"(Meidhita Alauddin et al., 2025)","previouslyFormattedCitation":"(Meidhita Alauddin et al., 2025)"},"properties":{"noteIndex":0},"schema":"https://github.com/citation-style-language/schema/raw/master/csl-citation.json"}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(Meidhita Alauddin et al., 2025)</w:t>
      </w:r>
      <w:r w:rsidR="00FB4E76">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xml:space="preserve">. Penelitian terdahulu menunjukkan bahwa pengungkapan emisi karbon memiliki peran penting dalam penilaian pemangku kepentingan terhadap perusahaan. </w:t>
      </w:r>
      <w:r w:rsidR="00FB4E76">
        <w:rPr>
          <w:rFonts w:ascii="Times New Roman" w:eastAsia="Times New Roman" w:hAnsi="Times New Roman" w:cs="Times New Roman"/>
          <w:sz w:val="24"/>
          <w:szCs w:val="24"/>
        </w:rPr>
        <w:fldChar w:fldCharType="begin" w:fldLock="1"/>
      </w:r>
      <w:r w:rsidR="006F70F6">
        <w:rPr>
          <w:rFonts w:ascii="Times New Roman" w:eastAsia="Times New Roman" w:hAnsi="Times New Roman" w:cs="Times New Roman"/>
          <w:sz w:val="24"/>
          <w:szCs w:val="24"/>
        </w:rPr>
        <w:instrText>ADDIN CSL_CITATION {"citationItems":[{"id":"ITEM-1","itemData":{"DOI":"10.35912/jastaka.v4i1.3403","abstract":"Purpose: This study aims to identify the impact of carbon emission disclosure, independent commissioners, and institutional ownership on firm value. Research methodology: The population used in this study consists of transportation and logistics sector business entities registered on the Indonesia Stock Exchange during the period of 2017-2022, quatitative methods, and SPSS applications. Result: This study concludes that carbon emission disclosure has an effect on firm value. Meanwhile, independent commissioners have no effect on firm value and institutional ownership has an effect on firm value. Limitations: This study identified limitations, specifically in the examination where several business entities were not included in the research sample, resulting in an incomplete sample. Contribution: This study provides empirical evidence that contributes to the literature on the impact of carbon emission disclosures, independent commissioners, and institutional ownership on firm value. Additionally, this study is expected to inform policies related to environmental responsibility in compliance with the Republic of Indonesia Presidential Regulation Number 98 of 2021 on greenhouse gas emission control in national development and OJK Regulation No. 30/SEOJK.04/2016 on corporate obligations to include environmental disclosures in annual reports.","author":[{"dropping-particle":"","family":"Fasya","given":"Muhammad","non-dropping-particle":"","parse-names":false,"suffix":""},{"dropping-particle":"","family":"Susilowati","given":"Retno Yuni Nur","non-dropping-particle":"","parse-names":false,"suffix":""},{"dropping-particle":"","family":"Septiyanti","given":"Ratna","non-dropping-particle":"","parse-names":false,"suffix":""},{"dropping-particle":"","family":"Kusumawardani","given":"Niken","non-dropping-particle":"","parse-names":false,"suffix":""}],"container-title":"Jurnal Studi Pemerintahan dan Akuntabilitas","id":"ITEM-1","issue":"1","issued":{"date-parts":[["2024"]]},"page":"1-16","title":"Pengaruh Carbon Emission Disclosure dan Good Corporate Governance terhadap Nilai Perusahaan: Studi Empiris pada Perusahaan Sektor Transportasi dan Logistik yang Terdaftar di Bursa Efek Indonesia Periode 2017-2022","type":"article-journal","volume":"4"},"uris":["http://www.mendeley.com/documents/?uuid=85155804-8831-4321-9b42-f433e010e30f"]}],"mendeley":{"formattedCitation":"(Fasya et al., 2024)","plainTextFormattedCitation":"(Fasya et al., 2024)","previouslyFormattedCitation":"(Fasya et al., 2024)"},"properties":{"noteIndex":0},"schema":"https://github.com/citation-style-language/schema/raw/master/csl-citation.json"}</w:instrText>
      </w:r>
      <w:r w:rsidR="00FB4E76">
        <w:rPr>
          <w:rFonts w:ascii="Times New Roman" w:eastAsia="Times New Roman" w:hAnsi="Times New Roman" w:cs="Times New Roman"/>
          <w:sz w:val="24"/>
          <w:szCs w:val="24"/>
        </w:rPr>
        <w:fldChar w:fldCharType="separate"/>
      </w:r>
      <w:r w:rsidR="00FB4E76" w:rsidRPr="00FB4E76">
        <w:rPr>
          <w:rFonts w:ascii="Times New Roman" w:eastAsia="Times New Roman" w:hAnsi="Times New Roman" w:cs="Times New Roman"/>
          <w:noProof/>
          <w:sz w:val="24"/>
          <w:szCs w:val="24"/>
        </w:rPr>
        <w:t>(Fasya et al., 2024)</w:t>
      </w:r>
      <w:r w:rsidR="00FB4E76">
        <w:rPr>
          <w:rFonts w:ascii="Times New Roman" w:eastAsia="Times New Roman" w:hAnsi="Times New Roman" w:cs="Times New Roman"/>
          <w:sz w:val="24"/>
          <w:szCs w:val="24"/>
        </w:rPr>
        <w:fldChar w:fldCharType="end"/>
      </w:r>
      <w:r w:rsidR="00FB4E7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menemukan bahwa </w:t>
      </w:r>
      <w:r w:rsidRPr="00FB4E76">
        <w:rPr>
          <w:rFonts w:ascii="Times New Roman" w:eastAsia="Times New Roman" w:hAnsi="Times New Roman" w:cs="Times New Roman"/>
          <w:i/>
          <w:iCs/>
          <w:sz w:val="24"/>
          <w:szCs w:val="24"/>
        </w:rPr>
        <w:t>Carbon Emission Disclosure</w:t>
      </w:r>
      <w:r w:rsidRPr="005222F6">
        <w:rPr>
          <w:rFonts w:ascii="Times New Roman" w:eastAsia="Times New Roman" w:hAnsi="Times New Roman" w:cs="Times New Roman"/>
          <w:sz w:val="24"/>
          <w:szCs w:val="24"/>
        </w:rPr>
        <w:t xml:space="preserve"> berpengaruh terhadap nilai perusahaan pada sektor transportasi dan logistik. </w:t>
      </w:r>
      <w:r w:rsidR="006F70F6">
        <w:rPr>
          <w:rFonts w:ascii="Times New Roman" w:eastAsia="Times New Roman" w:hAnsi="Times New Roman" w:cs="Times New Roman"/>
          <w:sz w:val="24"/>
          <w:szCs w:val="24"/>
        </w:rPr>
        <w:fldChar w:fldCharType="begin" w:fldLock="1"/>
      </w:r>
      <w:r w:rsidR="00813E63">
        <w:rPr>
          <w:rFonts w:ascii="Times New Roman" w:eastAsia="Times New Roman" w:hAnsi="Times New Roman" w:cs="Times New Roman"/>
          <w:sz w:val="24"/>
          <w:szCs w:val="24"/>
        </w:rPr>
        <w:instrText>ADDIN CSL_CITATION {"citationItems":[{"id":"ITEM-1","itemData":{"DOI":"10.22219/jrak.v14i1.28986","ISSN":"2088-0685","abstract":"Purpose: This research aims to confirm the roles of Good Corporate Governance (GCG) and Environmentalal, Social, Governance (ESG) Disclosures in Indonesia. Methodology/approach: The research method employed is a quantitative approach using secondary data. The sample was selected using purposive sampling, resulting in 161 manufacturing companies listed on the Indonesia Stock Exchange in 2021. The research analysis technique utilizes multiple linear regression. Findings:The research results reveal a significant positive role of the Board of Commissioners and Independent Board of Commissioners in ESG disclosure, whereas the Audit Committee does not play a significant role in ESG. Practical implications: The number of members in the Board of Commissioners and Independent Board of Commissioners can stimulate an improvement in ESQ disclosure. However, the presence of the Audit Committee has not been able to demonstrate a role because Indonesian companies form an audit committee merely to comply with existing regulations. Originality/value: The limited research examining Environmentalal, Social, Governance Disclosures in Indonesia has been identified. Previous research results indicate that the variable playing a significant role in promoting disclosure improvement is Good Corporate Governance (GCG). Therefore, this study further investigates the role of GCG in enhancing ESQ disclosures.","author":[{"dropping-particle":"","family":"Fujianti","given":"Lailah","non-dropping-particle":"","parse-names":false,"suffix":""},{"dropping-particle":"","family":"Nelyumna","given":"Nelyumna","non-dropping-particle":"","parse-names":false,"suffix":""},{"dropping-particle":"","family":"Azizah","given":"Widyaningsih","non-dropping-particle":"","parse-names":false,"suffix":""},{"dropping-particle":"","family":"Astuti","given":"Sinta Budi","non-dropping-particle":"","parse-names":false,"suffix":""},{"dropping-particle":"","family":"Hilmiyah","given":"Nurul","non-dropping-particle":"","parse-names":false,"suffix":""},{"dropping-particle":"","family":"Qodriyah","given":"Anninsa Lailatul","non-dropping-particle":"","parse-names":false,"suffix":""}],"container-title":"Jurnal Reviu Akuntansi dan Keuangan","id":"ITEM-1","issue":"1","issued":{"date-parts":[["2024"]]},"page":"19-36","title":"Good Corporate Governance Dan Environmentalal, Social, Governance Disclosures Di Indonesia","type":"article-journal","volume":"14"},"uris":["http://www.mendeley.com/documents/?uuid=fc38ca3d-e88d-43e8-9739-3cea34d96f18"]}],"mendeley":{"formattedCitation":"(L. Fujianti et al., 2024)","plainTextFormattedCitation":"(L. Fujianti et al., 2024)","previouslyFormattedCitation":"(L. Fujianti et al., 2024)"},"properties":{"noteIndex":0},"schema":"https://github.com/citation-style-language/schema/raw/master/csl-citation.json"}</w:instrText>
      </w:r>
      <w:r w:rsidR="006F70F6">
        <w:rPr>
          <w:rFonts w:ascii="Times New Roman" w:eastAsia="Times New Roman" w:hAnsi="Times New Roman" w:cs="Times New Roman"/>
          <w:sz w:val="24"/>
          <w:szCs w:val="24"/>
        </w:rPr>
        <w:fldChar w:fldCharType="separate"/>
      </w:r>
      <w:r w:rsidR="006F70F6" w:rsidRPr="006F70F6">
        <w:rPr>
          <w:rFonts w:ascii="Times New Roman" w:eastAsia="Times New Roman" w:hAnsi="Times New Roman" w:cs="Times New Roman"/>
          <w:noProof/>
          <w:sz w:val="24"/>
          <w:szCs w:val="24"/>
        </w:rPr>
        <w:t>(L. Fujianti et al., 2024)</w:t>
      </w:r>
      <w:r w:rsidR="006F70F6">
        <w:rPr>
          <w:rFonts w:ascii="Times New Roman" w:eastAsia="Times New Roman" w:hAnsi="Times New Roman" w:cs="Times New Roman"/>
          <w:sz w:val="24"/>
          <w:szCs w:val="24"/>
        </w:rPr>
        <w:fldChar w:fldCharType="end"/>
      </w:r>
      <w:r w:rsidR="006F70F6">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juga menunjukkan bahwa pengungkapan emisi karbon dan green investment berpengaruh positif terhadap perusahaan </w:t>
      </w:r>
      <w:r w:rsidR="00813E63">
        <w:rPr>
          <w:rFonts w:ascii="Times New Roman" w:eastAsia="Times New Roman" w:hAnsi="Times New Roman" w:cs="Times New Roman"/>
          <w:sz w:val="24"/>
          <w:szCs w:val="24"/>
        </w:rPr>
        <w:fldChar w:fldCharType="begin" w:fldLock="1"/>
      </w:r>
      <w:r w:rsidR="00813E63">
        <w:rPr>
          <w:rFonts w:ascii="Times New Roman" w:eastAsia="Times New Roman" w:hAnsi="Times New Roman" w:cs="Times New Roman"/>
          <w:sz w:val="24"/>
          <w:szCs w:val="24"/>
        </w:rPr>
        <w:instrText>ADDIN CSL_CITATION {"citationItems":[{"id":"ITEM-1","itemData":{"author":[{"dropping-particle":"","family":"Luthfiani","given":"Nur Zahra","non-dropping-particle":"","parse-names":false,"suffix":""},{"dropping-particle":"","family":"Putri","given":"Anike","non-dropping-particle":"","parse-names":false,"suffix":""},{"dropping-particle":"","family":"Meila","given":"Kaca Dian","non-dropping-particle":"","parse-names":false,"suffix":""}],"id":"ITEM-1","issue":"November 2025","issued":{"date-parts":[["2026"]]},"title":"Pengaruh Green Investment dan Good Corporate Governance terhadap Pengungkapan Emisi Karbon Program Studi Akuntansi , Universitas Informatika dan Bisnis Indonesia , Indonesia Rencana Aksi Nasional Penuruanan Emisi Gas Rumah Kaca dan Peraturan Presiden No .","type":"article-journal","volume":"6"},"uris":["http://www.mendeley.com/documents/?uuid=ff5fccdd-23d5-4aae-8404-82ad59ceb59e"]}],"mendeley":{"formattedCitation":"(Luthfiani et al., 2026)","plainTextFormattedCitation":"(Luthfiani et al., 2026)","previouslyFormattedCitation":"(Luthfiani et al., 2026)"},"properties":{"noteIndex":0},"schema":"https://github.com/citation-style-language/schema/raw/master/csl-citation.json"}</w:instrText>
      </w:r>
      <w:r w:rsidR="00813E63">
        <w:rPr>
          <w:rFonts w:ascii="Times New Roman" w:eastAsia="Times New Roman" w:hAnsi="Times New Roman" w:cs="Times New Roman"/>
          <w:sz w:val="24"/>
          <w:szCs w:val="24"/>
        </w:rPr>
        <w:fldChar w:fldCharType="separate"/>
      </w:r>
      <w:r w:rsidR="00813E63" w:rsidRPr="00813E63">
        <w:rPr>
          <w:rFonts w:ascii="Times New Roman" w:eastAsia="Times New Roman" w:hAnsi="Times New Roman" w:cs="Times New Roman"/>
          <w:noProof/>
          <w:sz w:val="24"/>
          <w:szCs w:val="24"/>
        </w:rPr>
        <w:t>(Luthfiani et al., 2026)</w:t>
      </w:r>
      <w:r w:rsidR="00813E63">
        <w:rPr>
          <w:rFonts w:ascii="Times New Roman" w:eastAsia="Times New Roman" w:hAnsi="Times New Roman" w:cs="Times New Roman"/>
          <w:sz w:val="24"/>
          <w:szCs w:val="24"/>
        </w:rPr>
        <w:fldChar w:fldCharType="end"/>
      </w:r>
      <w:r w:rsidRPr="005222F6">
        <w:rPr>
          <w:rFonts w:ascii="Times New Roman" w:eastAsia="Times New Roman" w:hAnsi="Times New Roman" w:cs="Times New Roman"/>
          <w:sz w:val="24"/>
          <w:szCs w:val="24"/>
        </w:rPr>
        <w:t>. Temuan tersebut mengindikasikan bahwa informasi emisi karbon merupakan bagian penting dari transparansi lingkungan. Semakin luas pengungkapan emisi karbon, semakin besar pula kualitas informasi lingkungan yang tercermin dalam laporan keberlanjutan. Berdasarkan uraian tersebut, maka hipotesis ketiga dirumuskan sebagai berikut:</w:t>
      </w:r>
    </w:p>
    <w:p w14:paraId="4D8C1E48" w14:textId="77777777" w:rsidR="00756DF6" w:rsidRPr="005222F6" w:rsidRDefault="00000000" w:rsidP="00607EBC">
      <w:pPr>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H2: Carbon Emission Disclosure berpengaruh terhadap Kualitas Pelaporan Keberlanjutan.</w:t>
      </w:r>
    </w:p>
    <w:p w14:paraId="137285F4" w14:textId="77777777" w:rsidR="00756DF6" w:rsidRPr="005222F6" w:rsidRDefault="00000000" w:rsidP="00607EBC">
      <w:pPr>
        <w:pBdr>
          <w:top w:val="nil"/>
          <w:left w:val="nil"/>
          <w:bottom w:val="nil"/>
          <w:right w:val="nil"/>
          <w:between w:val="nil"/>
        </w:pBdr>
        <w:spacing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t>c. Pengaruh Tata Kelola (Dewan Komisaris Independen) dan Carbon Emission Disclosure terhadap Kualitas Pelaporan Keberlanjutan</w:t>
      </w:r>
    </w:p>
    <w:p w14:paraId="2B89944B" w14:textId="62AE86A5" w:rsidR="00756DF6" w:rsidRPr="005222F6" w:rsidRDefault="00000000" w:rsidP="00607EBC">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5222F6">
        <w:rPr>
          <w:rFonts w:ascii="Times New Roman" w:eastAsia="Times New Roman" w:hAnsi="Times New Roman" w:cs="Times New Roman"/>
          <w:sz w:val="24"/>
          <w:szCs w:val="24"/>
        </w:rPr>
        <w:t xml:space="preserve">Dewan Komisaris Independen dan Carbon Emission Disclosure merupakan elemen-elemen yang saling melengkapi dalam mendorong terciptanya kualitas pelaporan keberlanjutan yang tinggi. Struktur tata kelola (komisaris independen) berperan sebagai mekanisme internal yang memastikan proses pelaporan berjalan secara transparan dan sesuai regulasi, sedangkan </w:t>
      </w:r>
      <w:r w:rsidRPr="00813E63">
        <w:rPr>
          <w:rFonts w:ascii="Times New Roman" w:eastAsia="Times New Roman" w:hAnsi="Times New Roman" w:cs="Times New Roman"/>
          <w:i/>
          <w:iCs/>
          <w:sz w:val="24"/>
          <w:szCs w:val="24"/>
        </w:rPr>
        <w:t>Carbon Emission Disclosure</w:t>
      </w:r>
      <w:r w:rsidRPr="005222F6">
        <w:rPr>
          <w:rFonts w:ascii="Times New Roman" w:eastAsia="Times New Roman" w:hAnsi="Times New Roman" w:cs="Times New Roman"/>
          <w:sz w:val="24"/>
          <w:szCs w:val="24"/>
        </w:rPr>
        <w:t xml:space="preserve"> memberikan substansi informasi lingkungan yang menunjukkan tanggung jawab nyata perusahaan. Dalam perspektif </w:t>
      </w:r>
      <w:r w:rsidRPr="00813E63">
        <w:rPr>
          <w:rFonts w:ascii="Times New Roman" w:eastAsia="Times New Roman" w:hAnsi="Times New Roman" w:cs="Times New Roman"/>
          <w:i/>
          <w:iCs/>
          <w:sz w:val="24"/>
          <w:szCs w:val="24"/>
        </w:rPr>
        <w:t>Legitimacy Theory</w:t>
      </w:r>
      <w:r w:rsidRPr="005222F6">
        <w:rPr>
          <w:rFonts w:ascii="Times New Roman" w:eastAsia="Times New Roman" w:hAnsi="Times New Roman" w:cs="Times New Roman"/>
          <w:sz w:val="24"/>
          <w:szCs w:val="24"/>
        </w:rPr>
        <w:t xml:space="preserve">, kombinasi instrumen pengawasan dan transparansi isu iklim ini dapat memperkuat upaya perusahaan dalam menjaga legitimasi publik melalui penyajian laporan yang lebih lengkap dan andal. </w:t>
      </w:r>
      <w:r w:rsidR="00813E63">
        <w:rPr>
          <w:rFonts w:ascii="Times New Roman" w:eastAsia="Times New Roman" w:hAnsi="Times New Roman" w:cs="Times New Roman"/>
          <w:sz w:val="24"/>
          <w:szCs w:val="24"/>
        </w:rPr>
        <w:fldChar w:fldCharType="begin" w:fldLock="1"/>
      </w:r>
      <w:r w:rsidR="00813E63">
        <w:rPr>
          <w:rFonts w:ascii="Times New Roman" w:eastAsia="Times New Roman" w:hAnsi="Times New Roman" w:cs="Times New Roman"/>
          <w:sz w:val="24"/>
          <w:szCs w:val="24"/>
        </w:rPr>
        <w:instrText>ADDIN CSL_CITATION {"citationItems":[{"id":"ITEM-1","itemData":{"DOI":"10.22219/jrak.v14i1.28986","ISSN":"2088-0685","abstract":"Purpose: This research aims to confirm the roles of Good Corporate Governance (GCG) and Environmentalal, Social, Governance (ESG) Disclosures in Indonesia. Methodology/approach: The research method employed is a quantitative approach using secondary data. The sample was selected using purposive sampling, resulting in 161 manufacturing companies listed on the Indonesia Stock Exchange in 2021. The research analysis technique utilizes multiple linear regression. Findings:The research results reveal a significant positive role of the Board of Commissioners and Independent Board of Commissioners in ESG disclosure, whereas the Audit Committee does not play a significant role in ESG. Practical implications: The number of members in the Board of Commissioners and Independent Board of Commissioners can stimulate an improvement in ESQ disclosure. However, the presence of the Audit Committee has not been able to demonstrate a role because Indonesian companies form an audit committee merely to comply with existing regulations. Originality/value: The limited research examining Environmentalal, Social, Governance Disclosures in Indonesia has been identified. Previous research results indicate that the variable playing a significant role in promoting disclosure improvement is Good Corporate Governance (GCG). Therefore, this study further investigates the role of GCG in enhancing ESQ disclosures.","author":[{"dropping-particle":"","family":"Fujianti","given":"Lailah","non-dropping-particle":"","parse-names":false,"suffix":""},{"dropping-particle":"","family":"Nelyumna","given":"Nelyumna","non-dropping-particle":"","parse-names":false,"suffix":""},{"dropping-particle":"","family":"Azizah","given":"Widyaningsih","non-dropping-particle":"","parse-names":false,"suffix":""},{"dropping-particle":"","family":"Astuti","given":"Sinta Budi","non-dropping-particle":"","parse-names":false,"suffix":""},{"dropping-particle":"","family":"Hilmiyah","given":"Nurul","non-dropping-particle":"","parse-names":false,"suffix":""},{"dropping-particle":"","family":"Qodriyah","given":"Anninsa Lailatul","non-dropping-particle":"","parse-names":false,"suffix":""}],"container-title":"Jurnal Reviu Akuntansi dan Keuangan","id":"ITEM-1","issue":"1","issued":{"date-parts":[["2024"]]},"page":"19-36","title":"Good Corporate Governance Dan Environmentalal, Social, Governance Disclosures Di Indonesia","type":"article-journal","volume":"14"},"uris":["http://www.mendeley.com/documents/?uuid=fc38ca3d-e88d-43e8-9739-3cea34d96f18"]}],"mendeley":{"formattedCitation":"(L. Fujianti et al., 2024)","plainTextFormattedCitation":"(L. Fujianti et al., 2024)","previouslyFormattedCitation":"(L. Fujianti et al., 2024)"},"properties":{"noteIndex":0},"schema":"https://github.com/citation-style-language/schema/raw/master/csl-citation.json"}</w:instrText>
      </w:r>
      <w:r w:rsidR="00813E63">
        <w:rPr>
          <w:rFonts w:ascii="Times New Roman" w:eastAsia="Times New Roman" w:hAnsi="Times New Roman" w:cs="Times New Roman"/>
          <w:sz w:val="24"/>
          <w:szCs w:val="24"/>
        </w:rPr>
        <w:fldChar w:fldCharType="separate"/>
      </w:r>
      <w:r w:rsidR="00813E63" w:rsidRPr="00813E63">
        <w:rPr>
          <w:rFonts w:ascii="Times New Roman" w:eastAsia="Times New Roman" w:hAnsi="Times New Roman" w:cs="Times New Roman"/>
          <w:noProof/>
          <w:sz w:val="24"/>
          <w:szCs w:val="24"/>
        </w:rPr>
        <w:t>(L. Fujianti et al., 2024)</w:t>
      </w:r>
      <w:r w:rsidR="00813E63">
        <w:rPr>
          <w:rFonts w:ascii="Times New Roman" w:eastAsia="Times New Roman" w:hAnsi="Times New Roman" w:cs="Times New Roman"/>
          <w:sz w:val="24"/>
          <w:szCs w:val="24"/>
        </w:rPr>
        <w:fldChar w:fldCharType="end"/>
      </w:r>
      <w:r w:rsidR="00813E63">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 xml:space="preserve">serta </w:t>
      </w:r>
      <w:r w:rsidR="00813E63">
        <w:rPr>
          <w:rFonts w:ascii="Times New Roman" w:eastAsia="Times New Roman" w:hAnsi="Times New Roman" w:cs="Times New Roman"/>
          <w:sz w:val="24"/>
          <w:szCs w:val="24"/>
        </w:rPr>
        <w:fldChar w:fldCharType="begin" w:fldLock="1"/>
      </w:r>
      <w:r w:rsidR="006F25B8">
        <w:rPr>
          <w:rFonts w:ascii="Times New Roman" w:eastAsia="Times New Roman" w:hAnsi="Times New Roman" w:cs="Times New Roman"/>
          <w:sz w:val="24"/>
          <w:szCs w:val="24"/>
        </w:rPr>
        <w:instrText>ADDIN CSL_CITATION {"citationItems":[{"id":"ITEM-1","itemData":{"DOI":"10.35912/jastaka.v4i1.3403","abstract":"Purpose: This study aims to identify the impact of carbon emission disclosure, independent commissioners, and institutional ownership on firm value. Research methodology: The population used in this study consists of transportation and logistics sector business entities registered on the Indonesia Stock Exchange during the period of 2017-2022, quatitative methods, and SPSS applications. Result: This study concludes that carbon emission disclosure has an effect on firm value. Meanwhile, independent commissioners have no effect on firm value and institutional ownership has an effect on firm value. Limitations: This study identified limitations, specifically in the examination where several business entities were not included in the research sample, resulting in an incomplete sample. Contribution: This study provides empirical evidence that contributes to the literature on the impact of carbon emission disclosures, independent commissioners, and institutional ownership on firm value. Additionally, this study is expected to inform policies related to environmental responsibility in compliance with the Republic of Indonesia Presidential Regulation Number 98 of 2021 on greenhouse gas emission control in national development and OJK Regulation No. 30/SEOJK.04/2016 on corporate obligations to include environmental disclosures in annual reports.","author":[{"dropping-particle":"","family":"Fasya","given":"Muhammad","non-dropping-particle":"","parse-names":false,"suffix":""},{"dropping-particle":"","family":"Susilowati","given":"Retno Yuni Nur","non-dropping-particle":"","parse-names":false,"suffix":""},{"dropping-particle":"","family":"Septiyanti","given":"Ratna","non-dropping-particle":"","parse-names":false,"suffix":""},{"dropping-particle":"","family":"Kusumawardani","given":"Niken","non-dropping-particle":"","parse-names":false,"suffix":""}],"container-title":"Jurnal Studi Pemerintahan dan Akuntabilitas","id":"ITEM-1","issue":"1","issued":{"date-parts":[["2024"]]},"page":"1-16","title":"Pengaruh Carbon Emission Disclosure dan Good Corporate Governance terhadap Nilai Perusahaan: Studi Empiris pada Perusahaan Sektor Transportasi dan Logistik yang Terdaftar di Bursa Efek Indonesia Periode 2017-2022","type":"article-journal","volume":"4"},"uris":["http://www.mendeley.com/documents/?uuid=85155804-8831-4321-9b42-f433e010e30f"]}],"mendeley":{"formattedCitation":"(Fasya et al., 2024)","plainTextFormattedCitation":"(Fasya et al., 2024)","previouslyFormattedCitation":"(Fasya et al., 2024)"},"properties":{"noteIndex":0},"schema":"https://github.com/citation-style-language/schema/raw/master/csl-citation.json"}</w:instrText>
      </w:r>
      <w:r w:rsidR="00813E63">
        <w:rPr>
          <w:rFonts w:ascii="Times New Roman" w:eastAsia="Times New Roman" w:hAnsi="Times New Roman" w:cs="Times New Roman"/>
          <w:sz w:val="24"/>
          <w:szCs w:val="24"/>
        </w:rPr>
        <w:fldChar w:fldCharType="separate"/>
      </w:r>
      <w:r w:rsidR="00813E63" w:rsidRPr="00813E63">
        <w:rPr>
          <w:rFonts w:ascii="Times New Roman" w:eastAsia="Times New Roman" w:hAnsi="Times New Roman" w:cs="Times New Roman"/>
          <w:noProof/>
          <w:sz w:val="24"/>
          <w:szCs w:val="24"/>
        </w:rPr>
        <w:t>(Fasya et al., 2024)</w:t>
      </w:r>
      <w:r w:rsidR="00813E63">
        <w:rPr>
          <w:rFonts w:ascii="Times New Roman" w:eastAsia="Times New Roman" w:hAnsi="Times New Roman" w:cs="Times New Roman"/>
          <w:sz w:val="24"/>
          <w:szCs w:val="24"/>
        </w:rPr>
        <w:fldChar w:fldCharType="end"/>
      </w:r>
      <w:r w:rsidR="00813E63">
        <w:rPr>
          <w:rFonts w:ascii="Times New Roman" w:eastAsia="Times New Roman" w:hAnsi="Times New Roman" w:cs="Times New Roman"/>
          <w:sz w:val="24"/>
          <w:szCs w:val="24"/>
        </w:rPr>
        <w:t xml:space="preserve"> </w:t>
      </w:r>
      <w:r w:rsidRPr="005222F6">
        <w:rPr>
          <w:rFonts w:ascii="Times New Roman" w:eastAsia="Times New Roman" w:hAnsi="Times New Roman" w:cs="Times New Roman"/>
          <w:sz w:val="24"/>
          <w:szCs w:val="24"/>
        </w:rPr>
        <w:t>sama-sama membuktikan bahwa instrumen tata kelola maupun pengungkapan karbon memainkan peran sentral dalam transparansi operasi entitas bisnis. Dengan demikian, pengawasan tata kelola yang terintegrasi dengan pengungkapan emisi karbon secara bersama-sama diperkirakan mampu mendongkrak peningkatan kualitas pelaporan keberlanjutan. Berdasarkan uraian tersebut, maka hipotesis ketiga dirumuskan sebagai berikut:</w:t>
      </w:r>
    </w:p>
    <w:p w14:paraId="580AD2FE" w14:textId="77777777" w:rsidR="00756DF6" w:rsidRPr="005222F6" w:rsidRDefault="00000000" w:rsidP="00607EB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r w:rsidRPr="005222F6">
        <w:rPr>
          <w:rFonts w:ascii="Times New Roman" w:eastAsia="Times New Roman" w:hAnsi="Times New Roman" w:cs="Times New Roman"/>
          <w:b/>
          <w:bCs/>
          <w:sz w:val="24"/>
          <w:szCs w:val="24"/>
        </w:rPr>
        <w:lastRenderedPageBreak/>
        <w:t xml:space="preserve">H3: Dewan Komisaris Independen dan </w:t>
      </w:r>
      <w:r w:rsidRPr="00813E63">
        <w:rPr>
          <w:rFonts w:ascii="Times New Roman" w:eastAsia="Times New Roman" w:hAnsi="Times New Roman" w:cs="Times New Roman"/>
          <w:b/>
          <w:bCs/>
          <w:i/>
          <w:iCs/>
          <w:sz w:val="24"/>
          <w:szCs w:val="24"/>
        </w:rPr>
        <w:t>Carbon Emission Disclosure</w:t>
      </w:r>
      <w:r w:rsidRPr="005222F6">
        <w:rPr>
          <w:rFonts w:ascii="Times New Roman" w:eastAsia="Times New Roman" w:hAnsi="Times New Roman" w:cs="Times New Roman"/>
          <w:b/>
          <w:bCs/>
          <w:sz w:val="24"/>
          <w:szCs w:val="24"/>
        </w:rPr>
        <w:t xml:space="preserve"> secara simultan berpengaruh terhadap Kualitas Pelaporan Keberlanjutan.</w:t>
      </w:r>
    </w:p>
    <w:p w14:paraId="324D3AA2" w14:textId="77777777" w:rsidR="00756DF6" w:rsidRPr="005222F6" w:rsidRDefault="00000000" w:rsidP="00607EBC">
      <w:pPr>
        <w:pBdr>
          <w:top w:val="nil"/>
          <w:left w:val="nil"/>
          <w:bottom w:val="nil"/>
          <w:right w:val="nil"/>
          <w:between w:val="nil"/>
        </w:pBdr>
        <w:spacing w:after="0" w:line="240" w:lineRule="auto"/>
        <w:rPr>
          <w:rFonts w:ascii="Times New Roman" w:eastAsia="Times New Roman" w:hAnsi="Times New Roman" w:cs="Times New Roman"/>
          <w:b/>
          <w:bCs/>
          <w:sz w:val="24"/>
          <w:szCs w:val="24"/>
        </w:rPr>
      </w:pPr>
      <w:r w:rsidRPr="005222F6">
        <w:rPr>
          <w:rFonts w:ascii="Times New Roman" w:eastAsia="Times New Roman" w:hAnsi="Times New Roman" w:cs="Times New Roman"/>
          <w:sz w:val="24"/>
          <w:szCs w:val="24"/>
        </w:rPr>
        <w:t>Gambar 1. Kerangka Berpikir</w:t>
      </w:r>
    </w:p>
    <w:p w14:paraId="113C29CF" w14:textId="4521A297" w:rsidR="00756DF6" w:rsidRPr="005222F6" w:rsidRDefault="00000000" w:rsidP="00607EBC">
      <w:pPr>
        <w:spacing w:before="240" w:after="240" w:line="240" w:lineRule="auto"/>
        <w:jc w:val="both"/>
        <w:rPr>
          <w:rFonts w:ascii="Times New Roman" w:eastAsia="Times New Roman" w:hAnsi="Times New Roman" w:cs="Times New Roman"/>
          <w:sz w:val="24"/>
          <w:szCs w:val="24"/>
        </w:rPr>
      </w:pPr>
      <w:r w:rsidRPr="005222F6">
        <w:rPr>
          <w:rFonts w:ascii="Times New Roman" w:eastAsia="Palatino Linotype" w:hAnsi="Times New Roman" w:cs="Times New Roman"/>
          <w:b/>
          <w:bCs/>
          <w:noProof/>
        </w:rPr>
        <w:drawing>
          <wp:inline distT="0" distB="0" distL="0" distR="0" wp14:anchorId="3DFB128C" wp14:editId="78801576">
            <wp:extent cx="3357677" cy="179954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4">
                      <a:extLst>
                        <a:ext uri="{28A0092B-C50C-407E-A947-70E740481C1C}">
                          <a14:useLocalDpi xmlns:a14="http://schemas.microsoft.com/office/drawing/2010/main" val="0"/>
                        </a:ext>
                      </a:extLst>
                    </a:blip>
                    <a:srcRect l="5872" t="9190" r="5828" b="8363"/>
                    <a:stretch>
                      <a:fillRect/>
                    </a:stretch>
                  </pic:blipFill>
                  <pic:spPr bwMode="auto">
                    <a:xfrm>
                      <a:off x="0" y="0"/>
                      <a:ext cx="3369760" cy="1806016"/>
                    </a:xfrm>
                    <a:prstGeom prst="rect">
                      <a:avLst/>
                    </a:prstGeom>
                    <a:ln>
                      <a:noFill/>
                    </a:ln>
                    <a:extLst>
                      <a:ext uri="{53640926-AAD7-44D8-BBD7-CCE9431645EC}">
                        <a14:shadowObscured xmlns:a14="http://schemas.microsoft.com/office/drawing/2010/main"/>
                      </a:ext>
                    </a:extLst>
                  </pic:spPr>
                </pic:pic>
              </a:graphicData>
            </a:graphic>
          </wp:inline>
        </w:drawing>
      </w:r>
    </w:p>
    <w:p w14:paraId="4C1CB67A" w14:textId="2CFC27C8" w:rsidR="00756DF6" w:rsidRPr="005222F6" w:rsidRDefault="00000000" w:rsidP="00607EBC">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sectPr w:rsidR="00756DF6" w:rsidRPr="005222F6">
          <w:type w:val="continuous"/>
          <w:pgSz w:w="11906" w:h="16838"/>
          <w:pgMar w:top="1440" w:right="1440" w:bottom="1440" w:left="1440" w:header="708" w:footer="708" w:gutter="0"/>
          <w:cols w:space="720"/>
        </w:sectPr>
      </w:pPr>
      <w:r w:rsidRPr="005222F6">
        <w:rPr>
          <w:rFonts w:ascii="Times New Roman" w:eastAsia="Times New Roman" w:hAnsi="Times New Roman" w:cs="Times New Roman"/>
          <w:b/>
          <w:bCs/>
          <w:color w:val="000000"/>
          <w:sz w:val="24"/>
          <w:szCs w:val="24"/>
        </w:rPr>
        <w:t xml:space="preserve">METODE PENELITIAN </w:t>
      </w:r>
    </w:p>
    <w:p w14:paraId="04913CB7" w14:textId="77777777" w:rsidR="00756DF6" w:rsidRPr="00DC3CAE" w:rsidRDefault="00000000" w:rsidP="00607EBC">
      <w:pPr>
        <w:spacing w:after="0" w:line="240" w:lineRule="auto"/>
        <w:ind w:firstLine="720"/>
        <w:jc w:val="both"/>
        <w:rPr>
          <w:rFonts w:ascii="Times New Roman" w:eastAsia="Palatino Linotype" w:hAnsi="Times New Roman" w:cs="Times New Roman"/>
          <w:i/>
          <w:iCs/>
        </w:rPr>
      </w:pPr>
      <w:r w:rsidRPr="005222F6">
        <w:rPr>
          <w:rFonts w:ascii="Times New Roman" w:eastAsia="Palatino Linotype" w:hAnsi="Times New Roman" w:cs="Times New Roman"/>
        </w:rPr>
        <w:t xml:space="preserve">Penelitian ini menggunakan pendekatan kuantitatif dengan desain penelitian kausalitas. Pendekatan kuantitatif digunakan karena data penelitian berbentuk angka, rasio, dan skor pengungkapan yang dapat diukur secara objektif. Desain kausalitas digunakan karena penelitian ini bertujuan untuk menguji pengaruh variabel independen terhadap variabel dependen. Variabel dependen dalam penelitian ini adalah Kualitas Pelaporan Keberlanjutan, sedangkan variabel independennya adalah Tata Kelola Perusahaan yang diproksikan melalui Dewan Komisaris Independen, serta </w:t>
      </w:r>
      <w:r w:rsidRPr="00DC3CAE">
        <w:rPr>
          <w:rFonts w:ascii="Times New Roman" w:eastAsia="Palatino Linotype" w:hAnsi="Times New Roman" w:cs="Times New Roman"/>
          <w:i/>
          <w:iCs/>
        </w:rPr>
        <w:t>Carbon Emission Disclosure.</w:t>
      </w:r>
    </w:p>
    <w:p w14:paraId="52D2FC84"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Populasi dalam penelitian ini adalah perusahaan sektor maritim dan logistik yang terdaftar di Bursa Efek Indonesia selama periode 2021–2024. Berdasarkan hasil identifikasi awal, terdapat 23 perusahaan yang termasuk dalam populasi penelitian. Penentuan sampel dilakukan dengan metode </w:t>
      </w:r>
      <w:r w:rsidRPr="00DC3CAE">
        <w:rPr>
          <w:rFonts w:ascii="Times New Roman" w:eastAsia="Palatino Linotype" w:hAnsi="Times New Roman" w:cs="Times New Roman"/>
          <w:i/>
          <w:iCs/>
        </w:rPr>
        <w:t>purposive sampling</w:t>
      </w:r>
      <w:r w:rsidRPr="005222F6">
        <w:rPr>
          <w:rFonts w:ascii="Times New Roman" w:eastAsia="Palatino Linotype" w:hAnsi="Times New Roman" w:cs="Times New Roman"/>
        </w:rPr>
        <w:t>, yaitu teknik pemilihan sampel berdasarkan kriteria tertentu yang disesuaikan dengan kebutuhan data penelitian.</w:t>
      </w:r>
    </w:p>
    <w:p w14:paraId="032E2B19" w14:textId="77777777" w:rsidR="00756DF6" w:rsidRPr="005222F6" w:rsidRDefault="00000000" w:rsidP="00607EBC">
      <w:pPr>
        <w:spacing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Kriteria sampel dalam penelitian ini meliputi perusahaan sektor maritim dan logistik yang terdaftar secara berturut-turut di Bursa Efek Indonesia selama periode 2021–2024, menerbitkan laporan tahunan secara lengkap, menerbitkan laporan keberlanjutan atau mengungkapkan informasi keberlanjutan yang dapat diakses, menyajikan data Dewan Komisaris Independen, serta mengungkapkan informasi emisi karbon yang dibutuhkan untuk pengukuran variabel </w:t>
      </w:r>
      <w:r w:rsidRPr="00DC3CAE">
        <w:rPr>
          <w:rFonts w:ascii="Times New Roman" w:eastAsia="Palatino Linotype" w:hAnsi="Times New Roman" w:cs="Times New Roman"/>
          <w:i/>
          <w:iCs/>
        </w:rPr>
        <w:t>Carbon Emission Disclosure</w:t>
      </w:r>
      <w:r w:rsidRPr="005222F6">
        <w:rPr>
          <w:rFonts w:ascii="Times New Roman" w:eastAsia="Palatino Linotype" w:hAnsi="Times New Roman" w:cs="Times New Roman"/>
        </w:rPr>
        <w:t>. Berdasarkan kriteria tersebut, diperoleh 17 perusahaan sebagai sampel penelitian. Dengan periode pengamatan selama empat tahun, jumlah observasi dalam penelitian ini adalah 68 observasi.</w:t>
      </w:r>
    </w:p>
    <w:p w14:paraId="0C737C34" w14:textId="35F1B07E" w:rsidR="00756DF6" w:rsidRPr="005222F6" w:rsidRDefault="00000000" w:rsidP="00607EBC">
      <w:pPr>
        <w:spacing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Tabel 1. Prosedur pemilihan Sampel Penelitian</w:t>
      </w:r>
    </w:p>
    <w:tbl>
      <w:tblPr>
        <w:tblStyle w:val="a"/>
        <w:tblW w:w="6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3"/>
        <w:gridCol w:w="1198"/>
      </w:tblGrid>
      <w:tr w:rsidR="00756DF6" w:rsidRPr="005222F6" w14:paraId="73C701BD" w14:textId="77777777" w:rsidTr="005222F6">
        <w:trPr>
          <w:trHeight w:val="252"/>
          <w:tblHeader/>
        </w:trPr>
        <w:tc>
          <w:tcPr>
            <w:tcW w:w="5573" w:type="dxa"/>
            <w:tcBorders>
              <w:left w:val="single" w:sz="8" w:space="0" w:color="FFFFFF"/>
              <w:right w:val="single" w:sz="8" w:space="0" w:color="FFFFFF"/>
            </w:tcBorders>
            <w:tcMar>
              <w:top w:w="100" w:type="dxa"/>
              <w:left w:w="100" w:type="dxa"/>
              <w:bottom w:w="100" w:type="dxa"/>
              <w:right w:w="100" w:type="dxa"/>
            </w:tcMar>
          </w:tcPr>
          <w:p w14:paraId="45708845" w14:textId="5026B7C4" w:rsidR="00756DF6" w:rsidRPr="005222F6" w:rsidRDefault="00000000" w:rsidP="00607EBC">
            <w:pPr>
              <w:widowControl w:val="0"/>
              <w:spacing w:after="0" w:line="240" w:lineRule="auto"/>
              <w:jc w:val="center"/>
              <w:rPr>
                <w:rFonts w:ascii="Times New Roman" w:eastAsia="Palatino Linotype" w:hAnsi="Times New Roman" w:cs="Times New Roman"/>
                <w:b/>
                <w:bCs/>
              </w:rPr>
            </w:pPr>
            <w:r w:rsidRPr="005222F6">
              <w:rPr>
                <w:rFonts w:ascii="Times New Roman" w:eastAsia="Palatino Linotype" w:hAnsi="Times New Roman" w:cs="Times New Roman"/>
                <w:b/>
                <w:bCs/>
              </w:rPr>
              <w:t>Kriteria Pemilihan Sampel</w:t>
            </w:r>
          </w:p>
        </w:tc>
        <w:tc>
          <w:tcPr>
            <w:tcW w:w="1198" w:type="dxa"/>
            <w:tcBorders>
              <w:left w:val="single" w:sz="8" w:space="0" w:color="FFFFFF"/>
              <w:right w:val="single" w:sz="8" w:space="0" w:color="FFFFFF"/>
            </w:tcBorders>
            <w:tcMar>
              <w:top w:w="100" w:type="dxa"/>
              <w:left w:w="100" w:type="dxa"/>
              <w:bottom w:w="100" w:type="dxa"/>
              <w:right w:w="100" w:type="dxa"/>
            </w:tcMar>
          </w:tcPr>
          <w:p w14:paraId="09288D72" w14:textId="77777777" w:rsidR="00756DF6" w:rsidRPr="005222F6" w:rsidRDefault="00000000" w:rsidP="00607EBC">
            <w:pPr>
              <w:widowControl w:val="0"/>
              <w:spacing w:after="0" w:line="240" w:lineRule="auto"/>
              <w:jc w:val="center"/>
              <w:rPr>
                <w:rFonts w:ascii="Times New Roman" w:eastAsia="Palatino Linotype" w:hAnsi="Times New Roman" w:cs="Times New Roman"/>
                <w:b/>
                <w:bCs/>
              </w:rPr>
            </w:pPr>
            <w:r w:rsidRPr="005222F6">
              <w:rPr>
                <w:rFonts w:ascii="Times New Roman" w:eastAsia="Palatino Linotype" w:hAnsi="Times New Roman" w:cs="Times New Roman"/>
                <w:b/>
                <w:bCs/>
              </w:rPr>
              <w:t>Total</w:t>
            </w:r>
          </w:p>
        </w:tc>
      </w:tr>
      <w:tr w:rsidR="00756DF6" w:rsidRPr="005222F6" w14:paraId="4ADDC4A6" w14:textId="77777777" w:rsidTr="00607EBC">
        <w:trPr>
          <w:trHeight w:val="357"/>
        </w:trPr>
        <w:tc>
          <w:tcPr>
            <w:tcW w:w="5573"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349A99C2" w14:textId="77777777" w:rsidR="00756DF6" w:rsidRPr="005222F6" w:rsidRDefault="00000000" w:rsidP="00607EBC">
            <w:pPr>
              <w:widowControl w:val="0"/>
              <w:spacing w:after="0" w:line="240" w:lineRule="auto"/>
              <w:rPr>
                <w:rFonts w:ascii="Times New Roman" w:eastAsia="Palatino Linotype" w:hAnsi="Times New Roman" w:cs="Times New Roman"/>
              </w:rPr>
            </w:pPr>
            <w:r w:rsidRPr="005222F6">
              <w:rPr>
                <w:rFonts w:ascii="Times New Roman" w:eastAsia="Palatino Linotype" w:hAnsi="Times New Roman" w:cs="Times New Roman"/>
              </w:rPr>
              <w:t>Perusahaan Sektor maritim dan logistik yang terdaftar di Bursa Efek Indonesia periode 2021 - 2024</w:t>
            </w:r>
          </w:p>
        </w:tc>
        <w:tc>
          <w:tcPr>
            <w:tcW w:w="1198"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2A09891C"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23</w:t>
            </w:r>
          </w:p>
        </w:tc>
      </w:tr>
      <w:tr w:rsidR="00756DF6" w:rsidRPr="005222F6" w14:paraId="6115F733" w14:textId="77777777" w:rsidTr="00607EBC">
        <w:trPr>
          <w:trHeight w:val="267"/>
        </w:trPr>
        <w:tc>
          <w:tcPr>
            <w:tcW w:w="557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8CDE71A"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Perusahaan yang tidak memenuhi kriteria kelengkapan data penelitian</w:t>
            </w:r>
          </w:p>
        </w:tc>
        <w:tc>
          <w:tcPr>
            <w:tcW w:w="11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279F45"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(6)</w:t>
            </w:r>
          </w:p>
        </w:tc>
      </w:tr>
      <w:tr w:rsidR="00756DF6" w:rsidRPr="005222F6" w14:paraId="5B7E080D" w14:textId="77777777" w:rsidTr="00607EBC">
        <w:trPr>
          <w:trHeight w:val="240"/>
        </w:trPr>
        <w:tc>
          <w:tcPr>
            <w:tcW w:w="557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B95744"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Perusahaan yang memenuhi kriteria sampel penelitian</w:t>
            </w:r>
          </w:p>
        </w:tc>
        <w:tc>
          <w:tcPr>
            <w:tcW w:w="119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558938"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17</w:t>
            </w:r>
          </w:p>
        </w:tc>
      </w:tr>
      <w:tr w:rsidR="00756DF6" w:rsidRPr="005222F6" w14:paraId="3C3D60B3" w14:textId="77777777" w:rsidTr="005222F6">
        <w:trPr>
          <w:trHeight w:val="504"/>
        </w:trPr>
        <w:tc>
          <w:tcPr>
            <w:tcW w:w="5573"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D07CB58" w14:textId="77777777" w:rsidR="00756DF6" w:rsidRPr="005222F6" w:rsidRDefault="00000000" w:rsidP="00607EBC">
            <w:pPr>
              <w:widowControl w:val="0"/>
              <w:spacing w:after="0" w:line="240" w:lineRule="auto"/>
              <w:rPr>
                <w:rFonts w:ascii="Times New Roman" w:eastAsia="Palatino Linotype" w:hAnsi="Times New Roman" w:cs="Times New Roman"/>
              </w:rPr>
            </w:pPr>
            <w:r w:rsidRPr="005222F6">
              <w:rPr>
                <w:rFonts w:ascii="Times New Roman" w:eastAsia="Palatino Linotype" w:hAnsi="Times New Roman" w:cs="Times New Roman"/>
              </w:rPr>
              <w:lastRenderedPageBreak/>
              <w:t>Total observasi penelitian selama periode 2021–2024</w:t>
            </w:r>
          </w:p>
        </w:tc>
        <w:tc>
          <w:tcPr>
            <w:tcW w:w="1198"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F10A2AA" w14:textId="600F907B"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68</w:t>
            </w:r>
          </w:p>
        </w:tc>
      </w:tr>
    </w:tbl>
    <w:p w14:paraId="19B38022" w14:textId="59E54E78" w:rsidR="00756DF6" w:rsidRPr="005222F6" w:rsidRDefault="00FE6944" w:rsidP="00607EBC">
      <w:pPr>
        <w:spacing w:before="240"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ab/>
        <w:t>Jenis data yang digunakan dalam penelitian ini adalah data sekunder. Data sekunder diperoleh dari laporan tahunan dan laporan keberlanjutan perusahaan sektor maritim dan logistik yang terdaftar di Bursa Efek Indonesia selama periode 2021–2024. Data tersebut digunakan untuk memperoleh informasi mengenai struktur tata kelola perusahaan, pengungkapan emisi karbon, dan kualitas pelaporan keberlanjutan. Sumber data diperoleh melalui situs resmi Bursa Efek Indonesia dan situs resmi masing-masing perusahaan.</w:t>
      </w:r>
    </w:p>
    <w:p w14:paraId="1647484F" w14:textId="77777777" w:rsidR="00756DF6" w:rsidRPr="005222F6" w:rsidRDefault="00000000" w:rsidP="00607EBC">
      <w:pPr>
        <w:spacing w:before="240"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Variabel dependen dalam penelitian ini adalah Kualitas Pelaporan Keberlanjutan (KPK). Variabel ini diukur menggunakan indeks pengungkapan berdasarkan GRI 2: </w:t>
      </w:r>
      <w:r w:rsidRPr="005222F6">
        <w:rPr>
          <w:rFonts w:ascii="Times New Roman" w:eastAsia="Palatino Linotype" w:hAnsi="Times New Roman" w:cs="Times New Roman"/>
          <w:i/>
          <w:iCs/>
        </w:rPr>
        <w:t>General Disclosures</w:t>
      </w:r>
      <w:r w:rsidRPr="005222F6">
        <w:rPr>
          <w:rFonts w:ascii="Times New Roman" w:eastAsia="Palatino Linotype" w:hAnsi="Times New Roman" w:cs="Times New Roman"/>
        </w:rPr>
        <w:t xml:space="preserve"> yang terdiri atas 30 item pengungkapan, yaitu GRI 2-1 sampai dengan GRI 2-30. Pengukuran dilakukan menggunakan metode </w:t>
      </w:r>
      <w:r w:rsidRPr="005222F6">
        <w:rPr>
          <w:rFonts w:ascii="Times New Roman" w:eastAsia="Palatino Linotype" w:hAnsi="Times New Roman" w:cs="Times New Roman"/>
          <w:i/>
          <w:iCs/>
        </w:rPr>
        <w:t>content analysis</w:t>
      </w:r>
      <w:r w:rsidRPr="005222F6">
        <w:rPr>
          <w:rFonts w:ascii="Times New Roman" w:eastAsia="Palatino Linotype" w:hAnsi="Times New Roman" w:cs="Times New Roman"/>
        </w:rPr>
        <w:t xml:space="preserve"> dengan pendekatan dikotomi, yaitu skor 1 diberikan apabila item diungkapkan dan skor 0 diberikan apabila item tidak diungkapkan. Rumus pengukuran Kualitas Pelaporan Keberlanjutan adalah sebagai berikut:</w:t>
      </w:r>
    </w:p>
    <w:p w14:paraId="47ADBBC4" w14:textId="77777777" w:rsidR="00756DF6" w:rsidRPr="005222F6" w:rsidRDefault="00000000" w:rsidP="00607EBC">
      <w:pPr>
        <w:spacing w:before="240" w:after="240" w:line="240" w:lineRule="auto"/>
        <w:jc w:val="both"/>
        <w:rPr>
          <w:rFonts w:ascii="Times New Roman" w:eastAsia="Palatino Linotype" w:hAnsi="Times New Roman" w:cs="Times New Roman"/>
        </w:rPr>
      </w:pPr>
      <w:r w:rsidRPr="005222F6">
        <w:rPr>
          <w:rFonts w:ascii="Times New Roman" w:eastAsia="Palatino Linotype" w:hAnsi="Times New Roman" w:cs="Times New Roman"/>
          <w:b/>
          <w:bCs/>
        </w:rPr>
        <w:t>KPK=(</w:t>
      </w:r>
      <m:oMath>
        <m:f>
          <m:fPr>
            <m:ctrlPr>
              <w:rPr>
                <w:rFonts w:ascii="Cambria Math" w:eastAsia="Cambria Math" w:hAnsi="Cambria Math" w:cs="Times New Roman"/>
              </w:rPr>
            </m:ctrlPr>
          </m:fPr>
          <m:num>
            <m:r>
              <w:rPr>
                <w:rFonts w:ascii="Cambria Math" w:eastAsia="Cambria Math" w:hAnsi="Cambria Math" w:cs="Times New Roman"/>
              </w:rPr>
              <m:t xml:space="preserve">Jumlah item GRI 2 yang diungkapkan </m:t>
            </m:r>
          </m:num>
          <m:den>
            <m:r>
              <w:rPr>
                <w:rFonts w:ascii="Cambria Math" w:eastAsia="Cambria Math" w:hAnsi="Cambria Math" w:cs="Times New Roman"/>
              </w:rPr>
              <m:t xml:space="preserve">30 </m:t>
            </m:r>
          </m:den>
        </m:f>
      </m:oMath>
      <w:r w:rsidRPr="005222F6">
        <w:rPr>
          <w:rFonts w:ascii="Times New Roman" w:eastAsia="Palatino Linotype" w:hAnsi="Times New Roman" w:cs="Times New Roman"/>
          <w:b/>
          <w:bCs/>
        </w:rPr>
        <w:t>)</w:t>
      </w:r>
      <m:oMath>
        <m:r>
          <w:rPr>
            <w:rFonts w:ascii="Cambria Math" w:hAnsi="Cambria Math" w:cs="Times New Roman"/>
          </w:rPr>
          <m:t>×</m:t>
        </m:r>
        <m:r>
          <w:rPr>
            <w:rFonts w:ascii="Cambria Math" w:eastAsia="Cambria Math" w:hAnsi="Cambria Math" w:cs="Times New Roman"/>
          </w:rPr>
          <m:t>100%</m:t>
        </m:r>
      </m:oMath>
      <w:r w:rsidRPr="005222F6">
        <w:rPr>
          <w:rFonts w:ascii="Times New Roman" w:eastAsia="Palatino Linotype" w:hAnsi="Times New Roman" w:cs="Times New Roman"/>
        </w:rPr>
        <w:t xml:space="preserve"> (1)</w:t>
      </w:r>
    </w:p>
    <w:p w14:paraId="6F092977" w14:textId="21562F5A" w:rsidR="00756DF6" w:rsidRPr="005222F6" w:rsidRDefault="00000000" w:rsidP="00607EBC">
      <w:pPr>
        <w:spacing w:before="240" w:after="24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Tabel 2. Indikator Pengukuran Kualitas Pelaporan Keberlanjutan Berdasarkan GRI 2</w:t>
      </w:r>
    </w:p>
    <w:tbl>
      <w:tblPr>
        <w:tblStyle w:val="a0"/>
        <w:tblW w:w="7051"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90"/>
        <w:gridCol w:w="1756"/>
        <w:gridCol w:w="1405"/>
      </w:tblGrid>
      <w:tr w:rsidR="00756DF6" w:rsidRPr="005222F6" w14:paraId="7100D294" w14:textId="77777777" w:rsidTr="005222F6">
        <w:trPr>
          <w:trHeight w:val="333"/>
        </w:trPr>
        <w:tc>
          <w:tcPr>
            <w:tcW w:w="3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89D36" w14:textId="775D80D6"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Kelompok Pengungkapan</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3F883"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Jumlah Item</w:t>
            </w:r>
          </w:p>
        </w:tc>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16F89"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Skor</w:t>
            </w:r>
          </w:p>
        </w:tc>
      </w:tr>
      <w:tr w:rsidR="00756DF6" w:rsidRPr="005222F6" w14:paraId="78F5C3BF" w14:textId="77777777" w:rsidTr="005222F6">
        <w:trPr>
          <w:trHeight w:val="333"/>
        </w:trPr>
        <w:tc>
          <w:tcPr>
            <w:tcW w:w="3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B62B0"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Organisasi dan praktik pelaporan (GR1 2-1 sampai 2-5)</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5DB92"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5</w:t>
            </w:r>
          </w:p>
        </w:tc>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53D83"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1D6776BF" w14:textId="77777777" w:rsidTr="005222F6">
        <w:trPr>
          <w:trHeight w:val="333"/>
        </w:trPr>
        <w:tc>
          <w:tcPr>
            <w:tcW w:w="3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36B94"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Aktivitas dan pekerja (GRI 2-6 sampai GRI 2-8)</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2C38B"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3</w:t>
            </w:r>
          </w:p>
        </w:tc>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45682"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0731351A" w14:textId="77777777" w:rsidTr="005222F6">
        <w:trPr>
          <w:trHeight w:val="333"/>
        </w:trPr>
        <w:tc>
          <w:tcPr>
            <w:tcW w:w="3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335BC"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Tata kelola (GRI 2-9 sampai GRI 2-21)</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1378E"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13</w:t>
            </w:r>
          </w:p>
        </w:tc>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CF649"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0A4E9ABE" w14:textId="77777777" w:rsidTr="005222F6">
        <w:trPr>
          <w:trHeight w:val="333"/>
        </w:trPr>
        <w:tc>
          <w:tcPr>
            <w:tcW w:w="3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ECD30"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Strategi, kebijakan, dan praktik (GRI 2-22 sampai GRI 2-28)</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25A64"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7</w:t>
            </w:r>
          </w:p>
        </w:tc>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291C3"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12BF0CD7" w14:textId="77777777" w:rsidTr="005222F6">
        <w:trPr>
          <w:trHeight w:val="333"/>
        </w:trPr>
        <w:tc>
          <w:tcPr>
            <w:tcW w:w="3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327A5"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Keterlibatan pemangku kepentingan (GRI 2-29 sampai GRI 2-30</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49666"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2</w:t>
            </w:r>
          </w:p>
        </w:tc>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A7609"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25E39687" w14:textId="77777777" w:rsidTr="005222F6">
        <w:trPr>
          <w:trHeight w:val="333"/>
        </w:trPr>
        <w:tc>
          <w:tcPr>
            <w:tcW w:w="3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C5837"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b/>
                <w:bCs/>
              </w:rPr>
              <w:t>Total</w:t>
            </w:r>
          </w:p>
        </w:tc>
        <w:tc>
          <w:tcPr>
            <w:tcW w:w="1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11417"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30</w:t>
            </w:r>
          </w:p>
        </w:tc>
        <w:tc>
          <w:tcPr>
            <w:tcW w:w="1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C9597" w14:textId="09AAC53E"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0/1</w:t>
            </w:r>
          </w:p>
        </w:tc>
      </w:tr>
    </w:tbl>
    <w:p w14:paraId="27127643"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 xml:space="preserve">Sumber: GRI Standards 2021, diolah peneliti. </w:t>
      </w:r>
    </w:p>
    <w:p w14:paraId="0A4FAB2E"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Variabel independen pertama adalah Tata Kelola Perusahaan. Dalam penelitian ini, Tata Kelola Perusahaan diproksikan melalui Dewan Komisaris Independen (DKI). Dewan Komisaris Independen diukur dengan membandingkan jumlah komisaris independen terhadap total dewan komisaris. Semakin besar proporsi Dewan Komisaris Independen, maka semakin kuat mekanisme pengawasan internal perusahaan dalam mendukung transparansi pelaporan. Rumus pengukurannya adalah sebagai berikut: </w:t>
      </w:r>
    </w:p>
    <w:p w14:paraId="2D66B816"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b/>
          <w:bCs/>
        </w:rPr>
        <w:t xml:space="preserve">DKI = </w:t>
      </w:r>
      <m:oMath>
        <m:f>
          <m:fPr>
            <m:ctrlPr>
              <w:rPr>
                <w:rFonts w:ascii="Cambria Math" w:eastAsia="Cambria Math" w:hAnsi="Cambria Math" w:cs="Times New Roman"/>
              </w:rPr>
            </m:ctrlPr>
          </m:fPr>
          <m:num>
            <m:r>
              <w:rPr>
                <w:rFonts w:ascii="Cambria Math" w:eastAsia="Cambria Math" w:hAnsi="Cambria Math" w:cs="Times New Roman"/>
              </w:rPr>
              <m:t>Jumlah Dewan Komisaris Independen</m:t>
            </m:r>
          </m:num>
          <m:den>
            <m:r>
              <w:rPr>
                <w:rFonts w:ascii="Cambria Math" w:eastAsia="Cambria Math" w:hAnsi="Cambria Math" w:cs="Times New Roman"/>
              </w:rPr>
              <m:t>Total Dewan Komisaris</m:t>
            </m:r>
          </m:den>
        </m:f>
        <m:r>
          <w:rPr>
            <w:rFonts w:ascii="Cambria Math" w:eastAsia="Cambria Math" w:hAnsi="Cambria Math" w:cs="Times New Roman"/>
          </w:rPr>
          <m:t>×100%</m:t>
        </m:r>
      </m:oMath>
      <w:r w:rsidRPr="005222F6">
        <w:rPr>
          <w:rFonts w:ascii="Times New Roman" w:eastAsia="Palatino Linotype" w:hAnsi="Times New Roman" w:cs="Times New Roman"/>
          <w:b/>
          <w:bCs/>
        </w:rPr>
        <w:t xml:space="preserve"> </w:t>
      </w:r>
      <w:r w:rsidRPr="005222F6">
        <w:rPr>
          <w:rFonts w:ascii="Times New Roman" w:eastAsia="Palatino Linotype" w:hAnsi="Times New Roman" w:cs="Times New Roman"/>
        </w:rPr>
        <w:t xml:space="preserve">(2) </w:t>
      </w:r>
    </w:p>
    <w:p w14:paraId="58B0FC8E" w14:textId="77777777" w:rsidR="00756DF6" w:rsidRPr="005222F6" w:rsidRDefault="00000000" w:rsidP="00607EBC">
      <w:pPr>
        <w:spacing w:before="240" w:after="24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lastRenderedPageBreak/>
        <w:t xml:space="preserve">Variabel independen berikutnya adalah </w:t>
      </w:r>
      <w:r w:rsidRPr="00DC3CAE">
        <w:rPr>
          <w:rFonts w:ascii="Times New Roman" w:eastAsia="Palatino Linotype" w:hAnsi="Times New Roman" w:cs="Times New Roman"/>
          <w:i/>
          <w:iCs/>
        </w:rPr>
        <w:t>Carbon Emission Disclosure (CED).</w:t>
      </w:r>
      <w:r w:rsidRPr="005222F6">
        <w:rPr>
          <w:rFonts w:ascii="Times New Roman" w:eastAsia="Palatino Linotype" w:hAnsi="Times New Roman" w:cs="Times New Roman"/>
        </w:rPr>
        <w:t xml:space="preserve"> Variabel ini diukur menggunakan indeks pengungkapan berdasarkan GRI 305: </w:t>
      </w:r>
      <w:r w:rsidRPr="00DC3CAE">
        <w:rPr>
          <w:rFonts w:ascii="Times New Roman" w:eastAsia="Palatino Linotype" w:hAnsi="Times New Roman" w:cs="Times New Roman"/>
          <w:i/>
          <w:iCs/>
        </w:rPr>
        <w:t>Emissions</w:t>
      </w:r>
      <w:r w:rsidRPr="005222F6">
        <w:rPr>
          <w:rFonts w:ascii="Times New Roman" w:eastAsia="Palatino Linotype" w:hAnsi="Times New Roman" w:cs="Times New Roman"/>
        </w:rPr>
        <w:t xml:space="preserve">. Pengukuran dilakukan menggunakan metode </w:t>
      </w:r>
      <w:r w:rsidRPr="00DC3CAE">
        <w:rPr>
          <w:rFonts w:ascii="Times New Roman" w:eastAsia="Palatino Linotype" w:hAnsi="Times New Roman" w:cs="Times New Roman"/>
          <w:i/>
          <w:iCs/>
        </w:rPr>
        <w:t>content analysis</w:t>
      </w:r>
      <w:r w:rsidRPr="005222F6">
        <w:rPr>
          <w:rFonts w:ascii="Times New Roman" w:eastAsia="Palatino Linotype" w:hAnsi="Times New Roman" w:cs="Times New Roman"/>
        </w:rPr>
        <w:t xml:space="preserve"> dengan pendekatan dikotomi, yaitu skor 1 diberikan apabila item diungkapkan dan skor 0 diberikan apabila item tidak diungkapkan. Rumus pengukuran </w:t>
      </w:r>
      <w:r w:rsidRPr="00DC3CAE">
        <w:rPr>
          <w:rFonts w:ascii="Times New Roman" w:eastAsia="Palatino Linotype" w:hAnsi="Times New Roman" w:cs="Times New Roman"/>
          <w:i/>
          <w:iCs/>
        </w:rPr>
        <w:t>Carbon Emission Disclosure</w:t>
      </w:r>
      <w:r w:rsidRPr="005222F6">
        <w:rPr>
          <w:rFonts w:ascii="Times New Roman" w:eastAsia="Palatino Linotype" w:hAnsi="Times New Roman" w:cs="Times New Roman"/>
        </w:rPr>
        <w:t xml:space="preserve"> adalah sebagai berikut:</w:t>
      </w:r>
    </w:p>
    <w:p w14:paraId="18D5C841" w14:textId="77777777" w:rsidR="00756DF6" w:rsidRPr="005222F6" w:rsidRDefault="00000000" w:rsidP="00607EBC">
      <w:pPr>
        <w:spacing w:before="240" w:after="240" w:line="240" w:lineRule="auto"/>
        <w:jc w:val="both"/>
        <w:rPr>
          <w:rFonts w:ascii="Times New Roman" w:eastAsia="Palatino Linotype" w:hAnsi="Times New Roman" w:cs="Times New Roman"/>
        </w:rPr>
      </w:pPr>
      <w:r w:rsidRPr="005222F6">
        <w:rPr>
          <w:rFonts w:ascii="Times New Roman" w:eastAsia="Palatino Linotype" w:hAnsi="Times New Roman" w:cs="Times New Roman"/>
          <w:b/>
          <w:bCs/>
        </w:rPr>
        <w:t>CED=</w:t>
      </w:r>
      <m:oMath>
        <m:f>
          <m:fPr>
            <m:ctrlPr>
              <w:rPr>
                <w:rFonts w:ascii="Cambria Math" w:eastAsia="Cambria Math" w:hAnsi="Cambria Math" w:cs="Times New Roman"/>
              </w:rPr>
            </m:ctrlPr>
          </m:fPr>
          <m:num>
            <m:r>
              <w:rPr>
                <w:rFonts w:ascii="Cambria Math" w:eastAsia="Cambria Math" w:hAnsi="Cambria Math" w:cs="Times New Roman"/>
              </w:rPr>
              <m:t>Jumlah item emisi karbon yang diungkapkan</m:t>
            </m:r>
          </m:num>
          <m:den>
            <m:r>
              <w:rPr>
                <w:rFonts w:ascii="Cambria Math" w:eastAsia="Cambria Math" w:hAnsi="Cambria Math" w:cs="Times New Roman"/>
              </w:rPr>
              <m:t>5</m:t>
            </m:r>
          </m:den>
        </m:f>
        <m:r>
          <w:rPr>
            <w:rFonts w:ascii="Cambria Math" w:eastAsia="Cambria Math" w:hAnsi="Cambria Math" w:cs="Times New Roman"/>
          </w:rPr>
          <m:t>X100%</m:t>
        </m:r>
      </m:oMath>
      <w:r w:rsidRPr="005222F6">
        <w:rPr>
          <w:rFonts w:ascii="Times New Roman" w:eastAsia="Palatino Linotype" w:hAnsi="Times New Roman" w:cs="Times New Roman"/>
        </w:rPr>
        <w:t xml:space="preserve"> (3)</w:t>
      </w:r>
    </w:p>
    <w:p w14:paraId="526E4550" w14:textId="02635528" w:rsidR="00756DF6" w:rsidRPr="005222F6" w:rsidRDefault="00000000" w:rsidP="00607EBC">
      <w:pPr>
        <w:spacing w:after="0" w:line="240" w:lineRule="auto"/>
        <w:jc w:val="center"/>
        <w:rPr>
          <w:rFonts w:ascii="Times New Roman" w:eastAsia="Palatino Linotype" w:hAnsi="Times New Roman" w:cs="Times New Roman"/>
          <w:b/>
          <w:bCs/>
        </w:rPr>
      </w:pPr>
      <w:r w:rsidRPr="005222F6">
        <w:rPr>
          <w:rFonts w:ascii="Times New Roman" w:eastAsia="Palatino Linotype" w:hAnsi="Times New Roman" w:cs="Times New Roman"/>
          <w:b/>
          <w:bCs/>
        </w:rPr>
        <w:t xml:space="preserve">Tabel 3. Indikator Pengukuran </w:t>
      </w:r>
      <w:r w:rsidRPr="00DC3CAE">
        <w:rPr>
          <w:rFonts w:ascii="Times New Roman" w:eastAsia="Palatino Linotype" w:hAnsi="Times New Roman" w:cs="Times New Roman"/>
          <w:b/>
          <w:bCs/>
          <w:i/>
          <w:iCs/>
        </w:rPr>
        <w:t>Carbon Emission Disclosure</w:t>
      </w:r>
      <w:r w:rsidRPr="005222F6">
        <w:rPr>
          <w:rFonts w:ascii="Times New Roman" w:eastAsia="Palatino Linotype" w:hAnsi="Times New Roman" w:cs="Times New Roman"/>
          <w:b/>
          <w:bCs/>
        </w:rPr>
        <w:t xml:space="preserve"> Berdasarkan GRI 305</w:t>
      </w:r>
    </w:p>
    <w:tbl>
      <w:tblPr>
        <w:tblStyle w:val="a1"/>
        <w:tblW w:w="60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4"/>
        <w:gridCol w:w="3711"/>
        <w:gridCol w:w="933"/>
      </w:tblGrid>
      <w:tr w:rsidR="00756DF6" w:rsidRPr="005222F6" w14:paraId="4A421F0E" w14:textId="77777777" w:rsidTr="005222F6">
        <w:trPr>
          <w:trHeight w:val="328"/>
        </w:trPr>
        <w:tc>
          <w:tcPr>
            <w:tcW w:w="1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5EF51" w14:textId="5EDA7428" w:rsidR="00756DF6" w:rsidRPr="005222F6" w:rsidRDefault="00000000" w:rsidP="00607EBC">
            <w:pPr>
              <w:spacing w:after="0" w:line="240" w:lineRule="auto"/>
              <w:jc w:val="center"/>
              <w:rPr>
                <w:rFonts w:ascii="Times New Roman" w:eastAsia="Palatino Linotype" w:hAnsi="Times New Roman" w:cs="Times New Roman"/>
                <w:b/>
                <w:bCs/>
              </w:rPr>
            </w:pPr>
            <w:r w:rsidRPr="005222F6">
              <w:rPr>
                <w:rFonts w:ascii="Times New Roman" w:eastAsia="Palatino Linotype" w:hAnsi="Times New Roman" w:cs="Times New Roman"/>
                <w:b/>
                <w:bCs/>
              </w:rPr>
              <w:t>Kode GRI</w:t>
            </w:r>
          </w:p>
        </w:tc>
        <w:tc>
          <w:tcPr>
            <w:tcW w:w="3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AEDC9" w14:textId="77777777" w:rsidR="00756DF6" w:rsidRPr="005222F6" w:rsidRDefault="00000000" w:rsidP="00607EBC">
            <w:pPr>
              <w:spacing w:after="0" w:line="240" w:lineRule="auto"/>
              <w:jc w:val="center"/>
              <w:rPr>
                <w:rFonts w:ascii="Times New Roman" w:eastAsia="Palatino Linotype" w:hAnsi="Times New Roman" w:cs="Times New Roman"/>
                <w:b/>
                <w:bCs/>
              </w:rPr>
            </w:pPr>
            <w:r w:rsidRPr="005222F6">
              <w:rPr>
                <w:rFonts w:ascii="Times New Roman" w:eastAsia="Palatino Linotype" w:hAnsi="Times New Roman" w:cs="Times New Roman"/>
                <w:b/>
                <w:bCs/>
              </w:rPr>
              <w:t>Item Pengungkapan</w:t>
            </w:r>
          </w:p>
        </w:tc>
        <w:tc>
          <w:tcPr>
            <w:tcW w:w="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11F80" w14:textId="77777777" w:rsidR="00756DF6" w:rsidRPr="005222F6" w:rsidRDefault="00000000" w:rsidP="00607EBC">
            <w:pPr>
              <w:spacing w:after="0" w:line="240" w:lineRule="auto"/>
              <w:jc w:val="center"/>
              <w:rPr>
                <w:rFonts w:ascii="Times New Roman" w:eastAsia="Palatino Linotype" w:hAnsi="Times New Roman" w:cs="Times New Roman"/>
                <w:b/>
                <w:bCs/>
              </w:rPr>
            </w:pPr>
            <w:r w:rsidRPr="005222F6">
              <w:rPr>
                <w:rFonts w:ascii="Times New Roman" w:eastAsia="Palatino Linotype" w:hAnsi="Times New Roman" w:cs="Times New Roman"/>
                <w:b/>
                <w:bCs/>
              </w:rPr>
              <w:t>Skor</w:t>
            </w:r>
          </w:p>
        </w:tc>
      </w:tr>
      <w:tr w:rsidR="00756DF6" w:rsidRPr="005222F6" w14:paraId="5DD29EA6" w14:textId="77777777" w:rsidTr="005222F6">
        <w:trPr>
          <w:trHeight w:val="328"/>
        </w:trPr>
        <w:tc>
          <w:tcPr>
            <w:tcW w:w="1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E46B5"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GRI 305-1</w:t>
            </w:r>
          </w:p>
        </w:tc>
        <w:tc>
          <w:tcPr>
            <w:tcW w:w="3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B79CC"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Emisi GRK langsung atau Scope 1</w:t>
            </w:r>
          </w:p>
        </w:tc>
        <w:tc>
          <w:tcPr>
            <w:tcW w:w="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C8477"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0D1BCB5E" w14:textId="77777777" w:rsidTr="005222F6">
        <w:trPr>
          <w:trHeight w:val="328"/>
        </w:trPr>
        <w:tc>
          <w:tcPr>
            <w:tcW w:w="1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D22D7"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GRI 305-2</w:t>
            </w:r>
          </w:p>
        </w:tc>
        <w:tc>
          <w:tcPr>
            <w:tcW w:w="3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E7876"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Emisi GRK tidak langsung dari energi atau Scope 2</w:t>
            </w:r>
          </w:p>
        </w:tc>
        <w:tc>
          <w:tcPr>
            <w:tcW w:w="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FFF24"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7BC0127B" w14:textId="77777777" w:rsidTr="005222F6">
        <w:trPr>
          <w:trHeight w:val="328"/>
        </w:trPr>
        <w:tc>
          <w:tcPr>
            <w:tcW w:w="1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58CF7"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GRI 305-3</w:t>
            </w:r>
          </w:p>
        </w:tc>
        <w:tc>
          <w:tcPr>
            <w:tcW w:w="3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DEC4C"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Emisi GRK tidak langsung lainnya atau Scope 3</w:t>
            </w:r>
          </w:p>
        </w:tc>
        <w:tc>
          <w:tcPr>
            <w:tcW w:w="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EF028"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7BF159F5" w14:textId="77777777" w:rsidTr="005222F6">
        <w:trPr>
          <w:trHeight w:val="328"/>
        </w:trPr>
        <w:tc>
          <w:tcPr>
            <w:tcW w:w="1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204BA"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GRI 305-4</w:t>
            </w:r>
          </w:p>
        </w:tc>
        <w:tc>
          <w:tcPr>
            <w:tcW w:w="3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C19C8"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Intensitas emisi GRK</w:t>
            </w:r>
          </w:p>
        </w:tc>
        <w:tc>
          <w:tcPr>
            <w:tcW w:w="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5C8B3"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0/1</w:t>
            </w:r>
          </w:p>
        </w:tc>
      </w:tr>
      <w:tr w:rsidR="00756DF6" w:rsidRPr="005222F6" w14:paraId="6388D2AF" w14:textId="77777777" w:rsidTr="005222F6">
        <w:trPr>
          <w:trHeight w:val="328"/>
        </w:trPr>
        <w:tc>
          <w:tcPr>
            <w:tcW w:w="1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51186"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GRI 305-5</w:t>
            </w:r>
          </w:p>
        </w:tc>
        <w:tc>
          <w:tcPr>
            <w:tcW w:w="3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E35E5"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Pengurangan emisi GRK</w:t>
            </w:r>
          </w:p>
        </w:tc>
        <w:tc>
          <w:tcPr>
            <w:tcW w:w="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6618B" w14:textId="352EC8CF"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0/1</w:t>
            </w:r>
          </w:p>
        </w:tc>
      </w:tr>
    </w:tbl>
    <w:p w14:paraId="13075E77"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 xml:space="preserve">Sumber: GRI Standards 2016, diolah peneliti. </w:t>
      </w:r>
    </w:p>
    <w:p w14:paraId="1CBFBB5F"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Secara ringkas, operasional variabel dalam penelitian ini disajikan pada tabel berikut. </w:t>
      </w:r>
    </w:p>
    <w:p w14:paraId="0283F193" w14:textId="77777777" w:rsidR="00756DF6" w:rsidRPr="005222F6" w:rsidRDefault="00000000" w:rsidP="00607EBC">
      <w:pPr>
        <w:spacing w:after="0" w:line="240" w:lineRule="auto"/>
        <w:jc w:val="center"/>
        <w:rPr>
          <w:rFonts w:ascii="Times New Roman" w:eastAsia="Palatino Linotype" w:hAnsi="Times New Roman" w:cs="Times New Roman"/>
          <w:b/>
          <w:bCs/>
        </w:rPr>
      </w:pPr>
      <w:r w:rsidRPr="005222F6">
        <w:rPr>
          <w:rFonts w:ascii="Times New Roman" w:eastAsia="Palatino Linotype" w:hAnsi="Times New Roman" w:cs="Times New Roman"/>
          <w:b/>
          <w:bCs/>
        </w:rPr>
        <w:t>Tabel 4. Perhitungan tiap variabel</w:t>
      </w:r>
    </w:p>
    <w:p w14:paraId="1AD74183" w14:textId="77777777" w:rsidR="00756DF6" w:rsidRPr="005222F6" w:rsidRDefault="00756DF6" w:rsidP="00607EBC">
      <w:pPr>
        <w:spacing w:after="0" w:line="240" w:lineRule="auto"/>
        <w:jc w:val="both"/>
        <w:rPr>
          <w:rFonts w:ascii="Times New Roman" w:eastAsia="Palatino Linotype" w:hAnsi="Times New Roman" w:cs="Times New Roman"/>
        </w:rPr>
      </w:pPr>
    </w:p>
    <w:tbl>
      <w:tblPr>
        <w:tblStyle w:val="a2"/>
        <w:tblW w:w="82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9"/>
        <w:gridCol w:w="3169"/>
        <w:gridCol w:w="2767"/>
        <w:gridCol w:w="1256"/>
      </w:tblGrid>
      <w:tr w:rsidR="00756DF6" w:rsidRPr="005222F6" w14:paraId="35F0B382" w14:textId="77777777" w:rsidTr="005222F6">
        <w:trPr>
          <w:trHeight w:val="280"/>
        </w:trPr>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8FF68" w14:textId="1BA1A804"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Variabel</w:t>
            </w:r>
          </w:p>
        </w:tc>
        <w:tc>
          <w:tcPr>
            <w:tcW w:w="3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B07D5"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Definisi Operasional</w:t>
            </w:r>
          </w:p>
        </w:tc>
        <w:tc>
          <w:tcPr>
            <w:tcW w:w="2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8420F"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Indikator</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AFE76"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b/>
                <w:bCs/>
              </w:rPr>
              <w:t>Skala</w:t>
            </w:r>
          </w:p>
        </w:tc>
      </w:tr>
      <w:tr w:rsidR="00756DF6" w:rsidRPr="005222F6" w14:paraId="4CAA3350" w14:textId="77777777" w:rsidTr="005222F6">
        <w:trPr>
          <w:trHeight w:val="585"/>
        </w:trPr>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3565E"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KPK</w:t>
            </w:r>
          </w:p>
        </w:tc>
        <w:tc>
          <w:tcPr>
            <w:tcW w:w="3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553AD" w14:textId="77777777" w:rsidR="00756DF6" w:rsidRPr="005222F6" w:rsidRDefault="00000000" w:rsidP="00607EBC">
            <w:pPr>
              <w:spacing w:after="0" w:line="240" w:lineRule="auto"/>
              <w:rPr>
                <w:rFonts w:ascii="Times New Roman" w:eastAsia="Palatino Linotype" w:hAnsi="Times New Roman" w:cs="Times New Roman"/>
              </w:rPr>
            </w:pPr>
            <w:r w:rsidRPr="005222F6">
              <w:rPr>
                <w:rFonts w:ascii="Times New Roman" w:eastAsia="Palatino Linotype" w:hAnsi="Times New Roman" w:cs="Times New Roman"/>
              </w:rPr>
              <w:t>Tingkat kelengkapan informasi keberlanjutan yang diungkapkan perusahaan berdasarkan GRI 2</w:t>
            </w:r>
          </w:p>
        </w:tc>
        <w:tc>
          <w:tcPr>
            <w:tcW w:w="2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7F3AF"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Jumlah item GRI 2 yang diungkapkan / 30 × 100%</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C4043"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Rasio</w:t>
            </w:r>
          </w:p>
        </w:tc>
      </w:tr>
      <w:tr w:rsidR="00756DF6" w:rsidRPr="005222F6" w14:paraId="2F6606B1" w14:textId="77777777" w:rsidTr="005222F6">
        <w:trPr>
          <w:trHeight w:val="585"/>
        </w:trPr>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F7042"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DKI</w:t>
            </w:r>
          </w:p>
        </w:tc>
        <w:tc>
          <w:tcPr>
            <w:tcW w:w="3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278E9" w14:textId="77777777" w:rsidR="00756DF6" w:rsidRPr="005222F6" w:rsidRDefault="00000000" w:rsidP="00607EBC">
            <w:pPr>
              <w:spacing w:after="0" w:line="240" w:lineRule="auto"/>
              <w:rPr>
                <w:rFonts w:ascii="Times New Roman" w:eastAsia="Palatino Linotype" w:hAnsi="Times New Roman" w:cs="Times New Roman"/>
              </w:rPr>
            </w:pPr>
            <w:r w:rsidRPr="005222F6">
              <w:rPr>
                <w:rFonts w:ascii="Times New Roman" w:eastAsia="Palatino Linotype" w:hAnsi="Times New Roman" w:cs="Times New Roman"/>
              </w:rPr>
              <w:t>Proporsi komisaris independen terhadap total dewan komisaris</w:t>
            </w:r>
          </w:p>
        </w:tc>
        <w:tc>
          <w:tcPr>
            <w:tcW w:w="2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52975"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Jumlah komisaris independen / total dewan komisaris × 100%</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44ACA" w14:textId="77777777"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Rasio</w:t>
            </w:r>
          </w:p>
        </w:tc>
      </w:tr>
      <w:tr w:rsidR="00756DF6" w:rsidRPr="005222F6" w14:paraId="7724DAB9" w14:textId="77777777" w:rsidTr="005222F6">
        <w:trPr>
          <w:trHeight w:val="585"/>
        </w:trPr>
        <w:tc>
          <w:tcPr>
            <w:tcW w:w="1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B8FEF"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CED</w:t>
            </w:r>
          </w:p>
        </w:tc>
        <w:tc>
          <w:tcPr>
            <w:tcW w:w="3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DC9A5" w14:textId="77777777" w:rsidR="00756DF6" w:rsidRPr="005222F6" w:rsidRDefault="00000000" w:rsidP="00607EBC">
            <w:pPr>
              <w:spacing w:after="0" w:line="240" w:lineRule="auto"/>
              <w:rPr>
                <w:rFonts w:ascii="Times New Roman" w:eastAsia="Palatino Linotype" w:hAnsi="Times New Roman" w:cs="Times New Roman"/>
              </w:rPr>
            </w:pPr>
            <w:r w:rsidRPr="005222F6">
              <w:rPr>
                <w:rFonts w:ascii="Times New Roman" w:eastAsia="Palatino Linotype" w:hAnsi="Times New Roman" w:cs="Times New Roman"/>
              </w:rPr>
              <w:t>Tingkat pengungkapan informasi emisi karbon perusahaan berdasarkan GRI 305</w:t>
            </w:r>
          </w:p>
        </w:tc>
        <w:tc>
          <w:tcPr>
            <w:tcW w:w="27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DA8AB"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Jumlah item GRI 305 yang diungkapkan / 5 × 100%</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C66E9" w14:textId="2023E1FF" w:rsidR="00756DF6" w:rsidRPr="005222F6" w:rsidRDefault="00000000" w:rsidP="00607EBC">
            <w:pPr>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Rasio</w:t>
            </w:r>
          </w:p>
        </w:tc>
      </w:tr>
    </w:tbl>
    <w:p w14:paraId="5BE7E27E"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Sumber: Data diolah peneliti, 2026.</w:t>
      </w:r>
    </w:p>
    <w:p w14:paraId="69E8DC34" w14:textId="77777777" w:rsidR="00756DF6" w:rsidRPr="005222F6" w:rsidRDefault="00000000" w:rsidP="00607EBC">
      <w:pPr>
        <w:spacing w:before="240" w:after="24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Metode analisis data yang digunakan dalam penelitian ini adalah analisis statistik deskriptif dan regresi data panel. Analisis statistik deskriptif digunakan untuk menggambarkan karakteristik data penelitian melalui nilai minimum, maksimum, rata-rata, dan standar deviasi. Regresi data panel digunakan karena data penelitian merupakan gabungan antara data </w:t>
      </w:r>
      <w:r w:rsidRPr="00DC3CAE">
        <w:rPr>
          <w:rFonts w:ascii="Times New Roman" w:eastAsia="Palatino Linotype" w:hAnsi="Times New Roman" w:cs="Times New Roman"/>
          <w:i/>
          <w:iCs/>
        </w:rPr>
        <w:t>cross section</w:t>
      </w:r>
      <w:r w:rsidRPr="005222F6">
        <w:rPr>
          <w:rFonts w:ascii="Times New Roman" w:eastAsia="Palatino Linotype" w:hAnsi="Times New Roman" w:cs="Times New Roman"/>
        </w:rPr>
        <w:t xml:space="preserve"> berupa perusahaan sampel dan data </w:t>
      </w:r>
      <w:r w:rsidRPr="00DC3CAE">
        <w:rPr>
          <w:rFonts w:ascii="Times New Roman" w:eastAsia="Palatino Linotype" w:hAnsi="Times New Roman" w:cs="Times New Roman"/>
          <w:i/>
          <w:iCs/>
        </w:rPr>
        <w:t>time series</w:t>
      </w:r>
      <w:r w:rsidRPr="005222F6">
        <w:rPr>
          <w:rFonts w:ascii="Times New Roman" w:eastAsia="Palatino Linotype" w:hAnsi="Times New Roman" w:cs="Times New Roman"/>
        </w:rPr>
        <w:t xml:space="preserve"> berupa periode pengamatan tahun 2021–2024.</w:t>
      </w:r>
    </w:p>
    <w:p w14:paraId="2554AE54" w14:textId="77777777" w:rsidR="00756DF6" w:rsidRPr="005222F6" w:rsidRDefault="00000000" w:rsidP="00607EBC">
      <w:pPr>
        <w:spacing w:before="240" w:after="24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lastRenderedPageBreak/>
        <w:t xml:space="preserve">Sebelum dilakukan pengujian hipotesis, terlebih dahulu dilakukan pemilihan model regresi data panel melalui </w:t>
      </w:r>
      <w:r w:rsidRPr="00DC3CAE">
        <w:rPr>
          <w:rFonts w:ascii="Times New Roman" w:eastAsia="Palatino Linotype" w:hAnsi="Times New Roman" w:cs="Times New Roman"/>
          <w:i/>
          <w:iCs/>
        </w:rPr>
        <w:t>Uji Chow, Uji Hausman, dan Uji Lagrange Multiplier</w:t>
      </w:r>
      <w:r w:rsidRPr="005222F6">
        <w:rPr>
          <w:rFonts w:ascii="Times New Roman" w:eastAsia="Palatino Linotype" w:hAnsi="Times New Roman" w:cs="Times New Roman"/>
        </w:rPr>
        <w:t xml:space="preserve">. </w:t>
      </w:r>
      <w:r w:rsidRPr="00DC3CAE">
        <w:rPr>
          <w:rFonts w:ascii="Times New Roman" w:eastAsia="Palatino Linotype" w:hAnsi="Times New Roman" w:cs="Times New Roman"/>
          <w:i/>
          <w:iCs/>
        </w:rPr>
        <w:t>Uji Chow</w:t>
      </w:r>
      <w:r w:rsidRPr="005222F6">
        <w:rPr>
          <w:rFonts w:ascii="Times New Roman" w:eastAsia="Palatino Linotype" w:hAnsi="Times New Roman" w:cs="Times New Roman"/>
        </w:rPr>
        <w:t xml:space="preserve"> digunakan untuk memilih model terbaik antara </w:t>
      </w:r>
      <w:r w:rsidRPr="00DC3CAE">
        <w:rPr>
          <w:rFonts w:ascii="Times New Roman" w:eastAsia="Palatino Linotype" w:hAnsi="Times New Roman" w:cs="Times New Roman"/>
          <w:i/>
          <w:iCs/>
        </w:rPr>
        <w:t>Common Effect Model</w:t>
      </w:r>
      <w:r w:rsidRPr="005222F6">
        <w:rPr>
          <w:rFonts w:ascii="Times New Roman" w:eastAsia="Palatino Linotype" w:hAnsi="Times New Roman" w:cs="Times New Roman"/>
        </w:rPr>
        <w:t xml:space="preserve"> dan </w:t>
      </w:r>
      <w:r w:rsidRPr="00DC3CAE">
        <w:rPr>
          <w:rFonts w:ascii="Times New Roman" w:eastAsia="Palatino Linotype" w:hAnsi="Times New Roman" w:cs="Times New Roman"/>
          <w:i/>
          <w:iCs/>
        </w:rPr>
        <w:t>Fixed Effect Model</w:t>
      </w:r>
      <w:r w:rsidRPr="005222F6">
        <w:rPr>
          <w:rFonts w:ascii="Times New Roman" w:eastAsia="Palatino Linotype" w:hAnsi="Times New Roman" w:cs="Times New Roman"/>
        </w:rPr>
        <w:t xml:space="preserve">. Uji Hausman digunakan untuk memilih model terbaik antara </w:t>
      </w:r>
      <w:r w:rsidRPr="00DC3CAE">
        <w:rPr>
          <w:rFonts w:ascii="Times New Roman" w:eastAsia="Palatino Linotype" w:hAnsi="Times New Roman" w:cs="Times New Roman"/>
          <w:i/>
          <w:iCs/>
        </w:rPr>
        <w:t>Fixed Effect Model</w:t>
      </w:r>
      <w:r w:rsidRPr="005222F6">
        <w:rPr>
          <w:rFonts w:ascii="Times New Roman" w:eastAsia="Palatino Linotype" w:hAnsi="Times New Roman" w:cs="Times New Roman"/>
        </w:rPr>
        <w:t xml:space="preserve"> dan </w:t>
      </w:r>
      <w:r w:rsidRPr="00DC3CAE">
        <w:rPr>
          <w:rFonts w:ascii="Times New Roman" w:eastAsia="Palatino Linotype" w:hAnsi="Times New Roman" w:cs="Times New Roman"/>
          <w:i/>
          <w:iCs/>
        </w:rPr>
        <w:t>Random Effect Model</w:t>
      </w:r>
      <w:r w:rsidRPr="005222F6">
        <w:rPr>
          <w:rFonts w:ascii="Times New Roman" w:eastAsia="Palatino Linotype" w:hAnsi="Times New Roman" w:cs="Times New Roman"/>
        </w:rPr>
        <w:t xml:space="preserve">. Sementara itu, </w:t>
      </w:r>
      <w:r w:rsidRPr="00DC3CAE">
        <w:rPr>
          <w:rFonts w:ascii="Times New Roman" w:eastAsia="Palatino Linotype" w:hAnsi="Times New Roman" w:cs="Times New Roman"/>
          <w:i/>
          <w:iCs/>
        </w:rPr>
        <w:t>Uji Lagrange Multiplier</w:t>
      </w:r>
      <w:r w:rsidRPr="005222F6">
        <w:rPr>
          <w:rFonts w:ascii="Times New Roman" w:eastAsia="Palatino Linotype" w:hAnsi="Times New Roman" w:cs="Times New Roman"/>
        </w:rPr>
        <w:t xml:space="preserve"> digunakan untuk memilih model terbaik antara </w:t>
      </w:r>
      <w:r w:rsidRPr="00DC3CAE">
        <w:rPr>
          <w:rFonts w:ascii="Times New Roman" w:eastAsia="Palatino Linotype" w:hAnsi="Times New Roman" w:cs="Times New Roman"/>
          <w:i/>
          <w:iCs/>
        </w:rPr>
        <w:t>Common Effect Model</w:t>
      </w:r>
      <w:r w:rsidRPr="005222F6">
        <w:rPr>
          <w:rFonts w:ascii="Times New Roman" w:eastAsia="Palatino Linotype" w:hAnsi="Times New Roman" w:cs="Times New Roman"/>
        </w:rPr>
        <w:t xml:space="preserve"> dan </w:t>
      </w:r>
      <w:r w:rsidRPr="00DC3CAE">
        <w:rPr>
          <w:rFonts w:ascii="Times New Roman" w:eastAsia="Palatino Linotype" w:hAnsi="Times New Roman" w:cs="Times New Roman"/>
          <w:i/>
          <w:iCs/>
        </w:rPr>
        <w:t>Random Effect Model</w:t>
      </w:r>
      <w:r w:rsidRPr="005222F6">
        <w:rPr>
          <w:rFonts w:ascii="Times New Roman" w:eastAsia="Palatino Linotype" w:hAnsi="Times New Roman" w:cs="Times New Roman"/>
        </w:rPr>
        <w:t xml:space="preserve">. Model yang terpilih kemudian digunakan dalam pengujian regresi data panel. Persamaan regresi data panel dalam penelitian ini adalah sebagai berikut: </w:t>
      </w:r>
    </w:p>
    <w:p w14:paraId="3CB09486" w14:textId="77777777" w:rsidR="00756DF6" w:rsidRPr="005222F6" w:rsidRDefault="00000000" w:rsidP="00607EBC">
      <w:pPr>
        <w:spacing w:before="160" w:after="0" w:line="240" w:lineRule="auto"/>
        <w:ind w:firstLine="720"/>
        <w:rPr>
          <w:rFonts w:ascii="Times New Roman" w:eastAsia="Palatino Linotype" w:hAnsi="Times New Roman" w:cs="Times New Roman"/>
        </w:rPr>
      </w:pPr>
      <w:r w:rsidRPr="005222F6">
        <w:rPr>
          <w:rFonts w:ascii="Times New Roman" w:eastAsia="Palatino Linotype" w:hAnsi="Times New Roman" w:cs="Times New Roman"/>
        </w:rPr>
        <w:t>KPK=</w:t>
      </w:r>
      <m:oMath>
        <m:r>
          <w:rPr>
            <w:rFonts w:ascii="Cambria Math" w:eastAsia="Cambria Math" w:hAnsi="Cambria Math" w:cs="Times New Roman"/>
          </w:rPr>
          <m:t>α + β1DKI+β2CED+e</m:t>
        </m:r>
      </m:oMath>
      <w:r w:rsidRPr="005222F6">
        <w:rPr>
          <w:rFonts w:ascii="Times New Roman" w:eastAsia="Palatino Linotype" w:hAnsi="Times New Roman" w:cs="Times New Roman"/>
        </w:rPr>
        <w:tab/>
        <w:t xml:space="preserve">                  </w:t>
      </w:r>
      <w:r w:rsidRPr="005222F6">
        <w:rPr>
          <w:rFonts w:ascii="Times New Roman" w:eastAsia="Palatino Linotype" w:hAnsi="Times New Roman" w:cs="Times New Roman"/>
        </w:rPr>
        <w:tab/>
        <w:t>(4)</w:t>
      </w:r>
    </w:p>
    <w:p w14:paraId="5D3EA182" w14:textId="77777777" w:rsidR="00756DF6" w:rsidRPr="005222F6" w:rsidRDefault="00000000" w:rsidP="00607EBC">
      <w:pPr>
        <w:spacing w:before="240" w:after="240" w:line="240" w:lineRule="auto"/>
        <w:rPr>
          <w:rFonts w:ascii="Times New Roman" w:eastAsia="Palatino Linotype" w:hAnsi="Times New Roman" w:cs="Times New Roman"/>
          <w:i/>
          <w:iCs/>
        </w:rPr>
      </w:pPr>
      <w:r w:rsidRPr="005222F6">
        <w:rPr>
          <w:rFonts w:ascii="Times New Roman" w:eastAsia="Palatino Linotype" w:hAnsi="Times New Roman" w:cs="Times New Roman"/>
        </w:rPr>
        <w:t>Keterangan:</w:t>
      </w:r>
      <w:r w:rsidRPr="005222F6">
        <w:rPr>
          <w:rFonts w:ascii="Times New Roman" w:eastAsia="Palatino Linotype" w:hAnsi="Times New Roman" w:cs="Times New Roman"/>
        </w:rPr>
        <w:br/>
        <w:t xml:space="preserve"> KPK = Kualitas Pelaporan Keberlanjutan</w:t>
      </w:r>
      <w:r w:rsidRPr="005222F6">
        <w:rPr>
          <w:rFonts w:ascii="Times New Roman" w:eastAsia="Palatino Linotype" w:hAnsi="Times New Roman" w:cs="Times New Roman"/>
        </w:rPr>
        <w:br/>
        <w:t xml:space="preserve"> </w:t>
      </w:r>
      <m:oMath>
        <m:r>
          <w:rPr>
            <w:rFonts w:ascii="Cambria Math" w:hAnsi="Cambria Math" w:cs="Times New Roman"/>
          </w:rPr>
          <m:t>α</m:t>
        </m:r>
      </m:oMath>
      <w:r w:rsidRPr="005222F6">
        <w:rPr>
          <w:rFonts w:ascii="Times New Roman" w:eastAsia="Palatino Linotype" w:hAnsi="Times New Roman" w:cs="Times New Roman"/>
        </w:rPr>
        <w:t xml:space="preserve"> = Konstanta</w:t>
      </w:r>
      <w:r w:rsidRPr="005222F6">
        <w:rPr>
          <w:rFonts w:ascii="Times New Roman" w:eastAsia="Palatino Linotype" w:hAnsi="Times New Roman" w:cs="Times New Roman"/>
        </w:rPr>
        <w:br/>
        <w:t xml:space="preserve"> </w:t>
      </w:r>
      <m:oMath>
        <m:r>
          <w:rPr>
            <w:rFonts w:ascii="Cambria Math" w:hAnsi="Cambria Math" w:cs="Times New Roman"/>
          </w:rPr>
          <m:t>β</m:t>
        </m:r>
      </m:oMath>
      <w:r w:rsidRPr="005222F6">
        <w:rPr>
          <w:rFonts w:ascii="Times New Roman" w:eastAsia="Palatino Linotype" w:hAnsi="Times New Roman" w:cs="Times New Roman"/>
        </w:rPr>
        <w:t>= Koefisien regresi</w:t>
      </w:r>
      <w:r w:rsidRPr="005222F6">
        <w:rPr>
          <w:rFonts w:ascii="Times New Roman" w:eastAsia="Palatino Linotype" w:hAnsi="Times New Roman" w:cs="Times New Roman"/>
        </w:rPr>
        <w:br/>
        <w:t xml:space="preserve"> DKI = Dewan Komisaris Independen</w:t>
      </w:r>
      <w:r w:rsidRPr="005222F6">
        <w:rPr>
          <w:rFonts w:ascii="Times New Roman" w:eastAsia="Palatino Linotype" w:hAnsi="Times New Roman" w:cs="Times New Roman"/>
        </w:rPr>
        <w:br/>
        <w:t xml:space="preserve"> CED = </w:t>
      </w:r>
      <w:r w:rsidRPr="005222F6">
        <w:rPr>
          <w:rFonts w:ascii="Times New Roman" w:eastAsia="Palatino Linotype" w:hAnsi="Times New Roman" w:cs="Times New Roman"/>
          <w:i/>
          <w:iCs/>
        </w:rPr>
        <w:t>Carbon Emission Disclosure</w:t>
      </w:r>
      <w:r w:rsidRPr="005222F6">
        <w:rPr>
          <w:rFonts w:ascii="Times New Roman" w:eastAsia="Palatino Linotype" w:hAnsi="Times New Roman" w:cs="Times New Roman"/>
          <w:i/>
          <w:iCs/>
        </w:rPr>
        <w:br/>
      </w:r>
      <w:r w:rsidRPr="005222F6">
        <w:rPr>
          <w:rFonts w:ascii="Times New Roman" w:eastAsia="Palatino Linotype" w:hAnsi="Times New Roman" w:cs="Times New Roman"/>
        </w:rPr>
        <w:t xml:space="preserve"> e = </w:t>
      </w:r>
      <w:r w:rsidRPr="005222F6">
        <w:rPr>
          <w:rFonts w:ascii="Times New Roman" w:eastAsia="Palatino Linotype" w:hAnsi="Times New Roman" w:cs="Times New Roman"/>
          <w:i/>
          <w:iCs/>
        </w:rPr>
        <w:t>Error term</w:t>
      </w:r>
    </w:p>
    <w:p w14:paraId="46C6E758" w14:textId="77777777" w:rsidR="00756DF6" w:rsidRPr="005222F6" w:rsidRDefault="00000000" w:rsidP="00607EBC">
      <w:pPr>
        <w:pBdr>
          <w:top w:val="nil"/>
          <w:left w:val="nil"/>
          <w:bottom w:val="nil"/>
          <w:right w:val="nil"/>
          <w:between w:val="nil"/>
        </w:pBd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Pengujian hipotesis dilakukan melalui uji parsial dan uji simultan. Uji parsial digunakan untuk mengetahui pengaruh masing-masing variabel independen, yaitu Dewan Komisaris Independen dan </w:t>
      </w:r>
      <w:r w:rsidRPr="00DC3CAE">
        <w:rPr>
          <w:rFonts w:ascii="Times New Roman" w:eastAsia="Palatino Linotype" w:hAnsi="Times New Roman" w:cs="Times New Roman"/>
          <w:i/>
          <w:iCs/>
        </w:rPr>
        <w:t>Carbon Emission Disclosure</w:t>
      </w:r>
      <w:r w:rsidRPr="005222F6">
        <w:rPr>
          <w:rFonts w:ascii="Times New Roman" w:eastAsia="Palatino Linotype" w:hAnsi="Times New Roman" w:cs="Times New Roman"/>
        </w:rPr>
        <w:t xml:space="preserve"> terhadap Kualitas Pelaporan Keberlanjutan. Sementara itu, uji simultan digunakan untuk mengetahui pengaruh Dewan Komisaris Independen dan </w:t>
      </w:r>
      <w:r w:rsidRPr="00DC3CAE">
        <w:rPr>
          <w:rFonts w:ascii="Times New Roman" w:eastAsia="Palatino Linotype" w:hAnsi="Times New Roman" w:cs="Times New Roman"/>
          <w:i/>
          <w:iCs/>
        </w:rPr>
        <w:t>Carbon Emission Disclosure</w:t>
      </w:r>
      <w:r w:rsidRPr="005222F6">
        <w:rPr>
          <w:rFonts w:ascii="Times New Roman" w:eastAsia="Palatino Linotype" w:hAnsi="Times New Roman" w:cs="Times New Roman"/>
        </w:rPr>
        <w:t xml:space="preserve"> secara bersama-sama terhadap Kualitas Pelaporan Keberlanjutan. Selain itu, koefisien determinasi digunakan untuk mengetahui seberapa besar kemampuan variabel independen dalam menjelaskan variasi perubahan variabel dependen. </w:t>
      </w:r>
    </w:p>
    <w:p w14:paraId="16D2822C" w14:textId="77777777" w:rsidR="00756DF6" w:rsidRPr="005222F6" w:rsidRDefault="00756DF6" w:rsidP="00607E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D89785" w14:textId="01153344" w:rsidR="00756DF6" w:rsidRPr="005222F6" w:rsidRDefault="00000000" w:rsidP="00607EBC">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sectPr w:rsidR="00756DF6" w:rsidRPr="005222F6">
          <w:type w:val="continuous"/>
          <w:pgSz w:w="11906" w:h="16838"/>
          <w:pgMar w:top="1440" w:right="1440" w:bottom="1440" w:left="1440" w:header="708" w:footer="708" w:gutter="0"/>
          <w:cols w:space="720"/>
        </w:sectPr>
      </w:pPr>
      <w:r w:rsidRPr="005222F6">
        <w:rPr>
          <w:rFonts w:ascii="Times New Roman" w:eastAsia="Times New Roman" w:hAnsi="Times New Roman" w:cs="Times New Roman"/>
          <w:b/>
          <w:bCs/>
          <w:color w:val="000000"/>
          <w:sz w:val="24"/>
          <w:szCs w:val="24"/>
        </w:rPr>
        <w:t xml:space="preserve">HASIL DAN PEMBAHASAN </w:t>
      </w:r>
    </w:p>
    <w:p w14:paraId="24399260" w14:textId="77777777" w:rsidR="00756DF6" w:rsidRPr="005222F6" w:rsidRDefault="00000000" w:rsidP="00607EBC">
      <w:pPr>
        <w:spacing w:after="0"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Karakteristik Sampel dan Statistik Deskriptif</w:t>
      </w:r>
    </w:p>
    <w:p w14:paraId="4FB1242C" w14:textId="128AA664"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b/>
          <w:bCs/>
        </w:rPr>
        <w:tab/>
      </w:r>
      <w:r w:rsidRPr="005222F6">
        <w:rPr>
          <w:rFonts w:ascii="Times New Roman" w:eastAsia="Palatino Linotype" w:hAnsi="Times New Roman" w:cs="Times New Roman"/>
        </w:rPr>
        <w:t xml:space="preserve">Penelitian ini menggunakan objek observasi berupa perusahaan sektor maritim dan logistik yang terdaftar di Bursa Efek Indonesia pada rentang periode tahun 2021 hingga tahun 2024. Berdasarkan teknik penarikan sampel bersyarat, diperoleh 17 perusahaan yang secara konsisten memenuhi kriteria kelayakan data. Dengan masa pengamatan selama 4 tahun, total unit observasi yang diolah mencapai 68 titik data. Karakteristik dari masing masing variabel penelitian disajikan pada Tabel </w:t>
      </w:r>
      <w:r w:rsidR="006F25B8">
        <w:rPr>
          <w:rFonts w:ascii="Times New Roman" w:eastAsia="Palatino Linotype" w:hAnsi="Times New Roman" w:cs="Times New Roman"/>
        </w:rPr>
        <w:t>5</w:t>
      </w:r>
      <w:r w:rsidRPr="005222F6">
        <w:rPr>
          <w:rFonts w:ascii="Times New Roman" w:eastAsia="Palatino Linotype" w:hAnsi="Times New Roman" w:cs="Times New Roman"/>
        </w:rPr>
        <w:t xml:space="preserve"> berikut ini:</w:t>
      </w:r>
    </w:p>
    <w:p w14:paraId="59C587C5" w14:textId="77777777" w:rsidR="00756DF6" w:rsidRPr="005222F6" w:rsidRDefault="00000000" w:rsidP="00607EBC">
      <w:pPr>
        <w:tabs>
          <w:tab w:val="left" w:pos="360"/>
        </w:tabs>
        <w:spacing w:after="0"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Tabel 5. Hasil Analisis Statistik Deskriptif</w:t>
      </w:r>
    </w:p>
    <w:tbl>
      <w:tblPr>
        <w:tblStyle w:val="a3"/>
        <w:tblpPr w:rightFromText="56" w:bottomFromText="453" w:vertAnchor="text"/>
        <w:tblW w:w="86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6"/>
        <w:gridCol w:w="1019"/>
        <w:gridCol w:w="1427"/>
        <w:gridCol w:w="1835"/>
        <w:gridCol w:w="1937"/>
      </w:tblGrid>
      <w:tr w:rsidR="00756DF6" w:rsidRPr="005222F6" w14:paraId="1795EDD1" w14:textId="77777777" w:rsidTr="00FE6944">
        <w:trPr>
          <w:trHeight w:val="306"/>
          <w:tblHeader/>
        </w:trPr>
        <w:tc>
          <w:tcPr>
            <w:tcW w:w="2436" w:type="dxa"/>
            <w:tcMar>
              <w:top w:w="56" w:type="dxa"/>
              <w:left w:w="56" w:type="dxa"/>
              <w:bottom w:w="56" w:type="dxa"/>
              <w:right w:w="56" w:type="dxa"/>
            </w:tcMar>
            <w:vAlign w:val="center"/>
          </w:tcPr>
          <w:p w14:paraId="09F67DF7" w14:textId="066E9E73"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 xml:space="preserve">Variabel </w:t>
            </w:r>
          </w:p>
        </w:tc>
        <w:tc>
          <w:tcPr>
            <w:tcW w:w="1019" w:type="dxa"/>
            <w:vAlign w:val="center"/>
          </w:tcPr>
          <w:p w14:paraId="504B27B3"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Min</w:t>
            </w:r>
          </w:p>
        </w:tc>
        <w:tc>
          <w:tcPr>
            <w:tcW w:w="1427" w:type="dxa"/>
            <w:vAlign w:val="center"/>
          </w:tcPr>
          <w:p w14:paraId="6E3ED5FE"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Maks</w:t>
            </w:r>
          </w:p>
        </w:tc>
        <w:tc>
          <w:tcPr>
            <w:tcW w:w="1835" w:type="dxa"/>
            <w:vAlign w:val="center"/>
          </w:tcPr>
          <w:p w14:paraId="7BA4548D"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Rataan hitung</w:t>
            </w:r>
          </w:p>
        </w:tc>
        <w:tc>
          <w:tcPr>
            <w:tcW w:w="1937" w:type="dxa"/>
            <w:vAlign w:val="center"/>
          </w:tcPr>
          <w:p w14:paraId="6A4C98FC" w14:textId="77777777" w:rsidR="00756DF6" w:rsidRPr="005222F6" w:rsidRDefault="00000000" w:rsidP="00607EBC">
            <w:pPr>
              <w:widowControl w:val="0"/>
              <w:spacing w:after="0" w:line="240" w:lineRule="auto"/>
              <w:ind w:right="-452"/>
              <w:jc w:val="both"/>
              <w:rPr>
                <w:rFonts w:ascii="Times New Roman" w:eastAsia="Palatino Linotype" w:hAnsi="Times New Roman" w:cs="Times New Roman"/>
              </w:rPr>
            </w:pPr>
            <w:r w:rsidRPr="005222F6">
              <w:rPr>
                <w:rFonts w:ascii="Times New Roman" w:eastAsia="Palatino Linotype" w:hAnsi="Times New Roman" w:cs="Times New Roman"/>
              </w:rPr>
              <w:t>Standar deviasi</w:t>
            </w:r>
          </w:p>
        </w:tc>
      </w:tr>
      <w:tr w:rsidR="00756DF6" w:rsidRPr="005222F6" w14:paraId="36FD5178" w14:textId="77777777" w:rsidTr="00FE6944">
        <w:trPr>
          <w:cantSplit/>
          <w:trHeight w:val="752"/>
          <w:tblHeader/>
        </w:trPr>
        <w:tc>
          <w:tcPr>
            <w:tcW w:w="2436" w:type="dxa"/>
            <w:vAlign w:val="center"/>
          </w:tcPr>
          <w:p w14:paraId="6DD11E79" w14:textId="77777777" w:rsidR="00756DF6" w:rsidRPr="005222F6" w:rsidRDefault="00000000" w:rsidP="00607EBC">
            <w:pPr>
              <w:widowControl w:val="0"/>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 xml:space="preserve">Kualitas pelaporan keberlanjutan </w:t>
            </w:r>
          </w:p>
        </w:tc>
        <w:tc>
          <w:tcPr>
            <w:tcW w:w="1019" w:type="dxa"/>
            <w:vAlign w:val="center"/>
          </w:tcPr>
          <w:p w14:paraId="0A8B06F7"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46,67</w:t>
            </w:r>
          </w:p>
        </w:tc>
        <w:tc>
          <w:tcPr>
            <w:tcW w:w="1427" w:type="dxa"/>
            <w:vAlign w:val="center"/>
          </w:tcPr>
          <w:p w14:paraId="1296E0B7"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90,00</w:t>
            </w:r>
          </w:p>
        </w:tc>
        <w:tc>
          <w:tcPr>
            <w:tcW w:w="1835" w:type="dxa"/>
            <w:vAlign w:val="center"/>
          </w:tcPr>
          <w:p w14:paraId="41377BB0"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68,12</w:t>
            </w:r>
          </w:p>
        </w:tc>
        <w:tc>
          <w:tcPr>
            <w:tcW w:w="1937" w:type="dxa"/>
            <w:vAlign w:val="center"/>
          </w:tcPr>
          <w:p w14:paraId="0890D30D"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10,18</w:t>
            </w:r>
          </w:p>
        </w:tc>
      </w:tr>
      <w:tr w:rsidR="00756DF6" w:rsidRPr="005222F6" w14:paraId="0066CB1C" w14:textId="77777777" w:rsidTr="00FE6944">
        <w:trPr>
          <w:cantSplit/>
          <w:trHeight w:val="603"/>
        </w:trPr>
        <w:tc>
          <w:tcPr>
            <w:tcW w:w="2436" w:type="dxa"/>
          </w:tcPr>
          <w:p w14:paraId="2F2B47D4" w14:textId="77777777" w:rsidR="00756DF6" w:rsidRPr="005222F6" w:rsidRDefault="00000000" w:rsidP="00607EBC">
            <w:pPr>
              <w:widowControl w:val="0"/>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Tata Kelola Perusahaan</w:t>
            </w:r>
          </w:p>
        </w:tc>
        <w:tc>
          <w:tcPr>
            <w:tcW w:w="1019" w:type="dxa"/>
          </w:tcPr>
          <w:p w14:paraId="2A6F64B0"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33,33</w:t>
            </w:r>
          </w:p>
        </w:tc>
        <w:tc>
          <w:tcPr>
            <w:tcW w:w="1427" w:type="dxa"/>
          </w:tcPr>
          <w:p w14:paraId="0E767128"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50,00</w:t>
            </w:r>
          </w:p>
        </w:tc>
        <w:tc>
          <w:tcPr>
            <w:tcW w:w="1835" w:type="dxa"/>
          </w:tcPr>
          <w:p w14:paraId="70DFCE5D"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36,45</w:t>
            </w:r>
          </w:p>
        </w:tc>
        <w:tc>
          <w:tcPr>
            <w:tcW w:w="1937" w:type="dxa"/>
          </w:tcPr>
          <w:p w14:paraId="54FCC6E3"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6,72</w:t>
            </w:r>
          </w:p>
        </w:tc>
      </w:tr>
      <w:tr w:rsidR="00756DF6" w:rsidRPr="005222F6" w14:paraId="4F4516E8" w14:textId="77777777" w:rsidTr="00FE6944">
        <w:trPr>
          <w:cantSplit/>
          <w:trHeight w:val="444"/>
        </w:trPr>
        <w:tc>
          <w:tcPr>
            <w:tcW w:w="2436" w:type="dxa"/>
          </w:tcPr>
          <w:p w14:paraId="028AA015" w14:textId="77777777" w:rsidR="00756DF6" w:rsidRPr="005222F6" w:rsidRDefault="00000000" w:rsidP="00607EBC">
            <w:pPr>
              <w:widowControl w:val="0"/>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Pengungkapan Emisi Karbon</w:t>
            </w:r>
          </w:p>
        </w:tc>
        <w:tc>
          <w:tcPr>
            <w:tcW w:w="1019" w:type="dxa"/>
          </w:tcPr>
          <w:p w14:paraId="1B2BEDDF"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0,00</w:t>
            </w:r>
          </w:p>
        </w:tc>
        <w:tc>
          <w:tcPr>
            <w:tcW w:w="1427" w:type="dxa"/>
          </w:tcPr>
          <w:p w14:paraId="7F513440"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100,00</w:t>
            </w:r>
          </w:p>
        </w:tc>
        <w:tc>
          <w:tcPr>
            <w:tcW w:w="1835" w:type="dxa"/>
          </w:tcPr>
          <w:p w14:paraId="694E7AAA" w14:textId="77777777"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23,75</w:t>
            </w:r>
          </w:p>
        </w:tc>
        <w:tc>
          <w:tcPr>
            <w:tcW w:w="1937" w:type="dxa"/>
          </w:tcPr>
          <w:p w14:paraId="02C4B449" w14:textId="08CB9DBA" w:rsidR="00756DF6" w:rsidRPr="005222F6" w:rsidRDefault="00000000" w:rsidP="00607EBC">
            <w:pPr>
              <w:widowControl w:val="0"/>
              <w:spacing w:after="0" w:line="240" w:lineRule="auto"/>
              <w:jc w:val="center"/>
              <w:rPr>
                <w:rFonts w:ascii="Times New Roman" w:eastAsia="Palatino Linotype" w:hAnsi="Times New Roman" w:cs="Times New Roman"/>
              </w:rPr>
            </w:pPr>
            <w:r w:rsidRPr="005222F6">
              <w:rPr>
                <w:rFonts w:ascii="Times New Roman" w:eastAsia="Palatino Linotype" w:hAnsi="Times New Roman" w:cs="Times New Roman"/>
              </w:rPr>
              <w:t>30,30</w:t>
            </w:r>
          </w:p>
        </w:tc>
      </w:tr>
    </w:tbl>
    <w:p w14:paraId="3D405543" w14:textId="597D434A" w:rsidR="00756DF6" w:rsidRPr="005222F6" w:rsidRDefault="00000000" w:rsidP="00607EBC">
      <w:pPr>
        <w:tabs>
          <w:tab w:val="left" w:pos="360"/>
        </w:tabs>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Sumber: Data diolah, 2026</w:t>
      </w:r>
    </w:p>
    <w:p w14:paraId="6813AD6D"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Berdasarkan tabel 5 diatas, kualitas pelaporan keberlanjutan, tata kelola perusahaan, dan pengungkapan emisi karbon memiliki sebaran data yang cukup bervariasi. Hal ini mengindikasikan </w:t>
      </w:r>
      <w:r w:rsidRPr="005222F6">
        <w:rPr>
          <w:rFonts w:ascii="Times New Roman" w:eastAsia="Palatino Linotype" w:hAnsi="Times New Roman" w:cs="Times New Roman"/>
        </w:rPr>
        <w:lastRenderedPageBreak/>
        <w:t>adanya perbedaan kebijakan strategis diantara perusahaan sampel dalam merespons tekanan lingkungan dan regulasi keberlanjutan.</w:t>
      </w:r>
    </w:p>
    <w:p w14:paraId="55F11061" w14:textId="77777777" w:rsidR="00756DF6" w:rsidRPr="005222F6" w:rsidRDefault="00000000" w:rsidP="00607EBC">
      <w:pPr>
        <w:spacing w:after="0"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Hasil Analisis Regresi dan Pengujian Hipotesis</w:t>
      </w:r>
    </w:p>
    <w:p w14:paraId="6806B538" w14:textId="587E7866"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b/>
          <w:bCs/>
        </w:rPr>
        <w:tab/>
      </w:r>
      <w:r w:rsidRPr="005222F6">
        <w:rPr>
          <w:rFonts w:ascii="Times New Roman" w:eastAsia="Palatino Linotype" w:hAnsi="Times New Roman" w:cs="Times New Roman"/>
        </w:rPr>
        <w:t>Sebelum melakukan pengujian hipotesis, peneliti telah melakukan tiga tahapan uji penentuan model estimasi regresi data panel (</w:t>
      </w:r>
      <w:r w:rsidRPr="006F25B8">
        <w:rPr>
          <w:rFonts w:ascii="Times New Roman" w:eastAsia="Palatino Linotype" w:hAnsi="Times New Roman" w:cs="Times New Roman"/>
          <w:i/>
          <w:iCs/>
        </w:rPr>
        <w:t>Uji chow, Uji Hausman, dan Uji Lagrange Multiplier</w:t>
      </w:r>
      <w:r w:rsidRPr="005222F6">
        <w:rPr>
          <w:rFonts w:ascii="Times New Roman" w:eastAsia="Palatino Linotype" w:hAnsi="Times New Roman" w:cs="Times New Roman"/>
        </w:rPr>
        <w:t xml:space="preserve">). Berdasarkan rangkaian pengujian tersebut, model yang paling konsisten dan layak digunakan dalam penelitian ini adalah </w:t>
      </w:r>
      <w:r w:rsidRPr="005222F6">
        <w:rPr>
          <w:rFonts w:ascii="Times New Roman" w:eastAsia="Palatino Linotype" w:hAnsi="Times New Roman" w:cs="Times New Roman"/>
          <w:i/>
          <w:iCs/>
        </w:rPr>
        <w:t xml:space="preserve">Common Effect Model </w:t>
      </w:r>
      <w:r w:rsidRPr="005222F6">
        <w:rPr>
          <w:rFonts w:ascii="Times New Roman" w:eastAsia="Palatino Linotype" w:hAnsi="Times New Roman" w:cs="Times New Roman"/>
        </w:rPr>
        <w:t xml:space="preserve">(CEM). Model CEM ini juga telah terbukti lolos dari serangkaian uji asumsi klasik, di mana data terdistribusi secara normal, serta terbebas dari gejala </w:t>
      </w:r>
      <w:r w:rsidRPr="006F25B8">
        <w:rPr>
          <w:rFonts w:ascii="Times New Roman" w:eastAsia="Palatino Linotype" w:hAnsi="Times New Roman" w:cs="Times New Roman"/>
          <w:i/>
          <w:iCs/>
        </w:rPr>
        <w:t>multikolinearitas</w:t>
      </w:r>
      <w:r w:rsidRPr="005222F6">
        <w:rPr>
          <w:rFonts w:ascii="Times New Roman" w:eastAsia="Palatino Linotype" w:hAnsi="Times New Roman" w:cs="Times New Roman"/>
        </w:rPr>
        <w:t xml:space="preserve"> dan </w:t>
      </w:r>
      <w:r w:rsidRPr="006F25B8">
        <w:rPr>
          <w:rFonts w:ascii="Times New Roman" w:eastAsia="Palatino Linotype" w:hAnsi="Times New Roman" w:cs="Times New Roman"/>
          <w:i/>
          <w:iCs/>
        </w:rPr>
        <w:t>heteroskedastisitas</w:t>
      </w:r>
      <w:r w:rsidRPr="005222F6">
        <w:rPr>
          <w:rFonts w:ascii="Times New Roman" w:eastAsia="Palatino Linotype" w:hAnsi="Times New Roman" w:cs="Times New Roman"/>
        </w:rPr>
        <w:t>. Ringkasan hasil regresi linier berganda menggunakan model CEM disajikan pada Tabel</w:t>
      </w:r>
      <w:r w:rsidR="006F25B8">
        <w:rPr>
          <w:rFonts w:ascii="Times New Roman" w:eastAsia="Palatino Linotype" w:hAnsi="Times New Roman" w:cs="Times New Roman"/>
        </w:rPr>
        <w:t xml:space="preserve"> </w:t>
      </w:r>
      <w:r w:rsidRPr="005222F6">
        <w:rPr>
          <w:rFonts w:ascii="Times New Roman" w:eastAsia="Palatino Linotype" w:hAnsi="Times New Roman" w:cs="Times New Roman"/>
        </w:rPr>
        <w:t>6 berikut ini:</w:t>
      </w:r>
      <w:r w:rsidRPr="005222F6">
        <w:rPr>
          <w:rFonts w:ascii="Times New Roman" w:eastAsia="Palatino Linotype" w:hAnsi="Times New Roman" w:cs="Times New Roman"/>
        </w:rPr>
        <w:br/>
      </w:r>
      <w:r w:rsidRPr="005222F6">
        <w:rPr>
          <w:rFonts w:ascii="Times New Roman" w:eastAsia="Palatino Linotype" w:hAnsi="Times New Roman" w:cs="Times New Roman"/>
          <w:b/>
          <w:bCs/>
        </w:rPr>
        <w:t xml:space="preserve">Tabel 6. Hasil Uji Regresi Data Panel </w:t>
      </w:r>
      <w:r w:rsidRPr="005222F6">
        <w:rPr>
          <w:rFonts w:ascii="Times New Roman" w:eastAsia="Palatino Linotype" w:hAnsi="Times New Roman" w:cs="Times New Roman"/>
          <w:b/>
          <w:bCs/>
          <w:i/>
          <w:iCs/>
        </w:rPr>
        <w:t>(Common Effect Model)</w:t>
      </w:r>
    </w:p>
    <w:p w14:paraId="64631B47"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noProof/>
        </w:rPr>
        <w:drawing>
          <wp:inline distT="0" distB="0" distL="114300" distR="114300" wp14:anchorId="71BC1A88" wp14:editId="5852C2C0">
            <wp:extent cx="4829175" cy="162877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l="3506" r="2952" b="16146"/>
                    <a:stretch>
                      <a:fillRect/>
                    </a:stretch>
                  </pic:blipFill>
                  <pic:spPr>
                    <a:xfrm>
                      <a:off x="0" y="0"/>
                      <a:ext cx="4829175" cy="1628775"/>
                    </a:xfrm>
                    <a:prstGeom prst="rect">
                      <a:avLst/>
                    </a:prstGeom>
                    <a:ln/>
                  </pic:spPr>
                </pic:pic>
              </a:graphicData>
            </a:graphic>
          </wp:inline>
        </w:drawing>
      </w:r>
    </w:p>
    <w:p w14:paraId="491A6F40" w14:textId="77777777" w:rsidR="00756DF6" w:rsidRPr="005222F6" w:rsidRDefault="00000000" w:rsidP="00607EBC">
      <w:pPr>
        <w:tabs>
          <w:tab w:val="left" w:pos="360"/>
        </w:tabs>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Sumber: Data diolah, 2026</w:t>
      </w:r>
    </w:p>
    <w:p w14:paraId="162AB8C7"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Berdasarkan Tabel 6, persamaan regresi data panel yang terbentuk dalam penelitian ini adalah sebagai berikut:</w:t>
      </w:r>
    </w:p>
    <w:p w14:paraId="7FFF6B8D" w14:textId="77777777" w:rsidR="00756DF6" w:rsidRPr="005222F6" w:rsidRDefault="00000000" w:rsidP="00607EBC">
      <w:pPr>
        <w:spacing w:after="0" w:line="240" w:lineRule="auto"/>
        <w:jc w:val="center"/>
        <w:rPr>
          <w:rFonts w:ascii="Times New Roman" w:eastAsia="Cambria Math" w:hAnsi="Times New Roman" w:cs="Times New Roman"/>
        </w:rPr>
      </w:pPr>
      <m:oMathPara>
        <m:oMath>
          <m:r>
            <w:rPr>
              <w:rFonts w:ascii="Cambria Math" w:eastAsia="Cambria Math" w:hAnsi="Cambria Math" w:cs="Times New Roman"/>
            </w:rPr>
            <m:t>KPK=48,446 - 0,109</m:t>
          </m:r>
          <m:sSub>
            <m:sSubPr>
              <m:ctrlPr>
                <w:rPr>
                  <w:rFonts w:ascii="Cambria Math" w:eastAsia="Cambria Math" w:hAnsi="Cambria Math" w:cs="Times New Roman"/>
                </w:rPr>
              </m:ctrlPr>
            </m:sSubPr>
            <m:e>
              <m:r>
                <w:rPr>
                  <w:rFonts w:ascii="Cambria Math" w:eastAsia="Cambria Math" w:hAnsi="Cambria Math" w:cs="Times New Roman"/>
                </w:rPr>
                <m:t>DKI+0,129CED+e.</m:t>
              </m:r>
            </m:e>
            <m:sub/>
          </m:sSub>
        </m:oMath>
      </m:oMathPara>
    </w:p>
    <w:p w14:paraId="04CE0872" w14:textId="77777777" w:rsidR="00756DF6" w:rsidRPr="005222F6" w:rsidRDefault="00000000"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 xml:space="preserve">Diperoleh nilai Adjusted R square sebesar 0,1628 yang bermakna bahwa Dewan Komisaris Independen (DKI) dan </w:t>
      </w:r>
      <w:r w:rsidRPr="006F25B8">
        <w:rPr>
          <w:rFonts w:ascii="Times New Roman" w:eastAsia="Palatino Linotype" w:hAnsi="Times New Roman" w:cs="Times New Roman"/>
          <w:i/>
          <w:iCs/>
        </w:rPr>
        <w:t>Carbon Emission Disclosure</w:t>
      </w:r>
      <w:r w:rsidRPr="005222F6">
        <w:rPr>
          <w:rFonts w:ascii="Times New Roman" w:eastAsia="Palatino Linotype" w:hAnsi="Times New Roman" w:cs="Times New Roman"/>
        </w:rPr>
        <w:t xml:space="preserve"> (CED) secara bersama-sama mampu menjelaskan 16,28% variasi dari kualitas pelaporan keberlanjutan. Sementara itu, sisanya sebesar 83,72% dijelaskan oleh variabel lain di luar model penelitian ini.</w:t>
      </w:r>
    </w:p>
    <w:p w14:paraId="6F26B994" w14:textId="77777777" w:rsidR="00756DF6" w:rsidRPr="005222F6" w:rsidRDefault="00000000" w:rsidP="00607EBC">
      <w:pPr>
        <w:spacing w:after="24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Pengujian secara serempak menggunakan uji F menghasilkan nilai probabilitas sebesar 0,0011, yang nilainya jauh lebih kecil daripada taraf signifikansi 5% (0,05). Hasil ini memutuskan bahwa Hipotesis ketiga (H3) diterima, yang berarti Dewan Komisaris Independen dan pengungkapan emisi karbon secara simultan berpengaruh signifikan terhadap kualitas pelaporan keberlanjutan pada perusahaan sektor maritim dan logistik.</w:t>
      </w:r>
    </w:p>
    <w:p w14:paraId="3BAA5D80" w14:textId="77777777" w:rsidR="00756DF6" w:rsidRPr="005222F6" w:rsidRDefault="00000000" w:rsidP="00607EBC">
      <w:pPr>
        <w:spacing w:after="240"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Pembahasan Hasil Penelitian</w:t>
      </w:r>
    </w:p>
    <w:p w14:paraId="11D1BF5C" w14:textId="77777777" w:rsidR="00756DF6" w:rsidRPr="005222F6" w:rsidRDefault="00000000" w:rsidP="00607EBC">
      <w:pPr>
        <w:spacing w:after="0"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1.  Pengaruh Dewan Komisaris Independen Terhadap Kualitas Pelaporan Keberlanjutan (H1 Ditolak)</w:t>
      </w:r>
    </w:p>
    <w:p w14:paraId="36A6E751"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Pengujian secara parsial (uji t) pada Tabel 2 membuktikan bahwa variabel Dewan Komisaris Independen mencatatkan koefisien regresi sebesar -0,109 dengan probabilitas signifikansi sebesar 0,1893. Karena nilai signifikansi tersebut melampaui batas toleransi 0,05, maka didapatkan keputusan bahwa Hipotesis pertama (H1) ditolak.</w:t>
      </w:r>
    </w:p>
    <w:p w14:paraId="555CE61D" w14:textId="77777777" w:rsidR="005222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Hal ini menunjukkan bahwa keberadaan dewan komisaris independen tidak mampu memberikan dorongan yang berarti terhadap kualitas pelaporan keberlanjutan di sektor maritim dan logistik. Mekanisme pengawasan dewan komisaris independen cenderung masih bersifat pemenuhan kepatuhan administratif perusahaan atau sekadar formalitas demi memenuhi regulasi otoritas pasar modal.</w:t>
      </w:r>
    </w:p>
    <w:p w14:paraId="21FC19A3" w14:textId="029C3DD5"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Temuan ini memberikan perspektif kritis terhadap </w:t>
      </w:r>
      <w:r w:rsidRPr="006F25B8">
        <w:rPr>
          <w:rFonts w:ascii="Times New Roman" w:eastAsia="Palatino Linotype" w:hAnsi="Times New Roman" w:cs="Times New Roman"/>
          <w:i/>
          <w:iCs/>
        </w:rPr>
        <w:t>Legitimacy Theory</w:t>
      </w:r>
      <w:r w:rsidRPr="005222F6">
        <w:rPr>
          <w:rFonts w:ascii="Times New Roman" w:eastAsia="Palatino Linotype" w:hAnsi="Times New Roman" w:cs="Times New Roman"/>
        </w:rPr>
        <w:t xml:space="preserve">, di mana perusahaan maritim dan logistik merasa legitimasi utama mereka di mata publik masih bersumber dari stabilitas finansial dan kekuatan operasional, bukan dari kedalaman pelaporan keberlanjutan. Kegagalan fungsi pengawasan lingkungan ini sejalan dengan penelitian terdahulu yang dilakukan oleh </w:t>
      </w:r>
      <w:r w:rsidR="00C31A83">
        <w:rPr>
          <w:rFonts w:ascii="Times New Roman" w:eastAsia="Palatino Linotype" w:hAnsi="Times New Roman" w:cs="Times New Roman"/>
        </w:rPr>
        <w:fldChar w:fldCharType="begin" w:fldLock="1"/>
      </w:r>
      <w:r w:rsidR="00C31A83">
        <w:rPr>
          <w:rFonts w:ascii="Times New Roman" w:eastAsia="Palatino Linotype" w:hAnsi="Times New Roman" w:cs="Times New Roman"/>
        </w:rPr>
        <w:instrText>ADDIN CSL_CITATION {"citationItems":[{"id":"ITEM-1","itemData":{"author":[{"dropping-particle":"","family":"Oktavia","given":"Riry","non-dropping-particle":"","parse-names":false,"suffix":""},{"dropping-particle":"","family":"Murtanto","given":"","non-dropping-particle":"","parse-names":false,"suffix":""}],"id":"ITEM-1","issue":"2","issued":{"date-parts":[["2026"]]},"page":"29-39","title":"Jurnal Inovasi Akuntansi dan Keuangan Jurnal Inovasi Akuntansi dan Keuangan","type":"article-journal","volume":"6"},"uris":["http://www.mendeley.com/documents/?uuid=e5cfdf03-f662-4b66-8b2e-5a166ac5d17a"]}],"mendeley":{"formattedCitation":"(Oktavia &amp; Murtanto, 2026)","plainTextFormattedCitation":"(Oktavia &amp; Murtanto, 2026)","previouslyFormattedCitation":"(Oktavia &amp; Murtanto, 2026)"},"properties":{"noteIndex":0},"schema":"https://github.com/citation-style-language/schema/raw/master/csl-citation.json"}</w:instrText>
      </w:r>
      <w:r w:rsidR="00C31A83">
        <w:rPr>
          <w:rFonts w:ascii="Times New Roman" w:eastAsia="Palatino Linotype" w:hAnsi="Times New Roman" w:cs="Times New Roman"/>
        </w:rPr>
        <w:fldChar w:fldCharType="separate"/>
      </w:r>
      <w:r w:rsidR="00C31A83" w:rsidRPr="00C31A83">
        <w:rPr>
          <w:rFonts w:ascii="Times New Roman" w:eastAsia="Palatino Linotype" w:hAnsi="Times New Roman" w:cs="Times New Roman"/>
          <w:noProof/>
        </w:rPr>
        <w:t xml:space="preserve">(Oktavia &amp; </w:t>
      </w:r>
      <w:r w:rsidR="00C31A83" w:rsidRPr="00C31A83">
        <w:rPr>
          <w:rFonts w:ascii="Times New Roman" w:eastAsia="Palatino Linotype" w:hAnsi="Times New Roman" w:cs="Times New Roman"/>
          <w:noProof/>
        </w:rPr>
        <w:lastRenderedPageBreak/>
        <w:t>Murtanto, 2026)</w:t>
      </w:r>
      <w:r w:rsidR="00C31A83">
        <w:rPr>
          <w:rFonts w:ascii="Times New Roman" w:eastAsia="Palatino Linotype" w:hAnsi="Times New Roman" w:cs="Times New Roman"/>
        </w:rPr>
        <w:fldChar w:fldCharType="end"/>
      </w:r>
      <w:r w:rsidR="00C31A83">
        <w:rPr>
          <w:rFonts w:ascii="Times New Roman" w:eastAsia="Palatino Linotype" w:hAnsi="Times New Roman" w:cs="Times New Roman"/>
        </w:rPr>
        <w:t xml:space="preserve"> </w:t>
      </w:r>
      <w:r w:rsidRPr="005222F6">
        <w:rPr>
          <w:rFonts w:ascii="Times New Roman" w:eastAsia="Palatino Linotype" w:hAnsi="Times New Roman" w:cs="Times New Roman"/>
        </w:rPr>
        <w:t xml:space="preserve">serta </w:t>
      </w:r>
      <w:r w:rsidR="006F25B8">
        <w:rPr>
          <w:rFonts w:ascii="Times New Roman" w:eastAsia="Palatino Linotype" w:hAnsi="Times New Roman" w:cs="Times New Roman"/>
        </w:rPr>
        <w:fldChar w:fldCharType="begin" w:fldLock="1"/>
      </w:r>
      <w:r w:rsidR="00F20E07">
        <w:rPr>
          <w:rFonts w:ascii="Times New Roman" w:eastAsia="Palatino Linotype" w:hAnsi="Times New Roman" w:cs="Times New Roman"/>
        </w:rPr>
        <w:instrText>ADDIN CSL_CITATION {"citationItems":[{"id":"ITEM-1","itemData":{"abstract":"Sustainability report disclosure in Indonesia has left the initial phase. Now the number of corporate that reveal sustainability report is increasing from the previous period. The aim of this research is to examine the effects of financial performances, firm size and corporate governance to the sustainability report disclosure. The population of this research is listed companies in the BEI (Bursa Efek Indonesia) in the year 2009-2011. The selection of this sample uses purposive sampling method. Based on purposive sampling method, the samples of firms that publish sustainability report are 23 companies. Results of this research indicate that audit committee and board of commissioner independence have a positive effect on sustainability report disclosure. The profitability variable have a negative effect on sustainability report. While liquidity, leverage, firm activity, firm size and board of director showed no effect on sustainability report disclosure. The results showed that financial performances have not full effect to the sustainability report.","author":[{"dropping-particle":"","family":"Sari","given":"Mega Putri Yustia","non-dropping-particle":"","parse-names":false,"suffix":""},{"dropping-particle":"","family":"Marsono","given":"","non-dropping-particle":"","parse-names":false,"suffix":""}],"container-title":"Diponegoro Journal of Accounting","id":"ITEM-1","issue":"3","issued":{"date-parts":[["2013"]]},"page":"1-10","title":"Pengaruh Kinerja Keuangan, Ukuran Perusahaan dan Corporate Governance Terhadap Pengungkapan Sustainability Report","type":"article-journal","volume":"2"},"uris":["http://www.mendeley.com/documents/?uuid=9aa19480-f7c7-4cbb-8093-a372739eaa20"]}],"mendeley":{"formattedCitation":"(Sari &amp; Marsono, 2013)","plainTextFormattedCitation":"(Sari &amp; Marsono, 2013)","previouslyFormattedCitation":"(Sari &amp; Marsono, 2013)"},"properties":{"noteIndex":0},"schema":"https://github.com/citation-style-language/schema/raw/master/csl-citation.json"}</w:instrText>
      </w:r>
      <w:r w:rsidR="006F25B8">
        <w:rPr>
          <w:rFonts w:ascii="Times New Roman" w:eastAsia="Palatino Linotype" w:hAnsi="Times New Roman" w:cs="Times New Roman"/>
        </w:rPr>
        <w:fldChar w:fldCharType="separate"/>
      </w:r>
      <w:r w:rsidR="006F25B8" w:rsidRPr="006F25B8">
        <w:rPr>
          <w:rFonts w:ascii="Times New Roman" w:eastAsia="Palatino Linotype" w:hAnsi="Times New Roman" w:cs="Times New Roman"/>
          <w:noProof/>
        </w:rPr>
        <w:t>(Sari &amp; Marsono, 2013)</w:t>
      </w:r>
      <w:r w:rsidR="006F25B8">
        <w:rPr>
          <w:rFonts w:ascii="Times New Roman" w:eastAsia="Palatino Linotype" w:hAnsi="Times New Roman" w:cs="Times New Roman"/>
        </w:rPr>
        <w:fldChar w:fldCharType="end"/>
      </w:r>
      <w:r w:rsidR="006F25B8">
        <w:rPr>
          <w:rFonts w:ascii="Times New Roman" w:eastAsia="Palatino Linotype" w:hAnsi="Times New Roman" w:cs="Times New Roman"/>
        </w:rPr>
        <w:t xml:space="preserve"> </w:t>
      </w:r>
      <w:r w:rsidRPr="005222F6">
        <w:rPr>
          <w:rFonts w:ascii="Times New Roman" w:eastAsia="Palatino Linotype" w:hAnsi="Times New Roman" w:cs="Times New Roman"/>
        </w:rPr>
        <w:t>, yang menemukan bahwa tingginya proporsi dewan komisaris independen tidak berpengaruh signifikan terhadap tingkat pengungkapan laporan keberlanjutan karena fokus pengawasan mereka masih didominasi oleh kepentingan kinerja ekonomi semata.</w:t>
      </w:r>
    </w:p>
    <w:p w14:paraId="5F704F2A" w14:textId="77777777" w:rsidR="00756DF6" w:rsidRPr="005222F6" w:rsidRDefault="00000000" w:rsidP="00607EBC">
      <w:pPr>
        <w:spacing w:before="240" w:after="0"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 xml:space="preserve">2. Pengaruh </w:t>
      </w:r>
      <w:r w:rsidRPr="00F20E07">
        <w:rPr>
          <w:rFonts w:ascii="Times New Roman" w:eastAsia="Palatino Linotype" w:hAnsi="Times New Roman" w:cs="Times New Roman"/>
          <w:b/>
          <w:bCs/>
          <w:i/>
          <w:iCs/>
        </w:rPr>
        <w:t>Carbon Emission Disclosure</w:t>
      </w:r>
      <w:r w:rsidRPr="005222F6">
        <w:rPr>
          <w:rFonts w:ascii="Times New Roman" w:eastAsia="Palatino Linotype" w:hAnsi="Times New Roman" w:cs="Times New Roman"/>
          <w:b/>
          <w:bCs/>
        </w:rPr>
        <w:t xml:space="preserve"> terhadap Kualitas Pelaporan Keberlanjutan (H2 Diterima)</w:t>
      </w:r>
    </w:p>
    <w:p w14:paraId="7299ED00" w14:textId="77777777" w:rsidR="00756DF6" w:rsidRPr="005222F6" w:rsidRDefault="00000000" w:rsidP="00607EBC">
      <w:pPr>
        <w:spacing w:before="240"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b/>
          <w:bCs/>
        </w:rPr>
        <w:tab/>
      </w:r>
      <w:r w:rsidRPr="005222F6">
        <w:rPr>
          <w:rFonts w:ascii="Times New Roman" w:eastAsia="Palatino Linotype" w:hAnsi="Times New Roman" w:cs="Times New Roman"/>
        </w:rPr>
        <w:t xml:space="preserve">Sebaliknya, pengujian parsial pada variabel </w:t>
      </w:r>
      <w:r w:rsidRPr="00F20E07">
        <w:rPr>
          <w:rFonts w:ascii="Times New Roman" w:eastAsia="Palatino Linotype" w:hAnsi="Times New Roman" w:cs="Times New Roman"/>
          <w:i/>
          <w:iCs/>
        </w:rPr>
        <w:t>Carbon Emission Disclosure</w:t>
      </w:r>
      <w:r w:rsidRPr="005222F6">
        <w:rPr>
          <w:rFonts w:ascii="Times New Roman" w:eastAsia="Palatino Linotype" w:hAnsi="Times New Roman" w:cs="Times New Roman"/>
        </w:rPr>
        <w:t xml:space="preserve"> (CED) mencatatkan koefisien regresi positif sebesar 0,129 dengan nilai probabilitas signifikansi sebesar 0,0003. Angka yang berada jauh di bawah nilai kritis 0,05 ini secara meyakinkan memutuskan bahwa Hipotesis kedua (H2) diterima.</w:t>
      </w:r>
    </w:p>
    <w:p w14:paraId="4B8E1513" w14:textId="3AF9DE8B"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Diterimanya hipotesis kedua menegaskan bahwa pengungkapan emisi karbon merupakan motor penggerak utama bagi peningkatan kualitas pelaporan keberlanjutan perusahaan. Ketersediaan data perhitungan emisi gas rumah kaca yang presisi membuktikan bahwa entitas bisnis tersebut telah memiliki infrastruktur akuntansi lingkungan yang mapan.</w:t>
      </w:r>
      <w:r w:rsidR="00F20E07">
        <w:rPr>
          <w:rFonts w:ascii="Times New Roman" w:eastAsia="Palatino Linotype" w:hAnsi="Times New Roman" w:cs="Times New Roman"/>
        </w:rPr>
        <w:t xml:space="preserve"> </w:t>
      </w:r>
      <w:r w:rsidRPr="005222F6">
        <w:rPr>
          <w:rFonts w:ascii="Times New Roman" w:eastAsia="Palatino Linotype" w:hAnsi="Times New Roman" w:cs="Times New Roman"/>
        </w:rPr>
        <w:t xml:space="preserve">Fenomena ini tervalidasi secara sempurna melalui sudut pandang </w:t>
      </w:r>
      <w:r w:rsidRPr="00F20E07">
        <w:rPr>
          <w:rFonts w:ascii="Times New Roman" w:eastAsia="Palatino Linotype" w:hAnsi="Times New Roman" w:cs="Times New Roman"/>
          <w:i/>
          <w:iCs/>
        </w:rPr>
        <w:t>Legitimacy Theory</w:t>
      </w:r>
      <w:r w:rsidRPr="005222F6">
        <w:rPr>
          <w:rFonts w:ascii="Times New Roman" w:eastAsia="Palatino Linotype" w:hAnsi="Times New Roman" w:cs="Times New Roman"/>
        </w:rPr>
        <w:t>, di mana manajemen melakukan pengungkapan karbon secara transparan guna meredam desakan aktivis iklim, memenuhi tuntutan hijau sektor maritim internasional, dan meraih penerimaan sosial (</w:t>
      </w:r>
      <w:r w:rsidRPr="00F20E07">
        <w:rPr>
          <w:rFonts w:ascii="Times New Roman" w:eastAsia="Palatino Linotype" w:hAnsi="Times New Roman" w:cs="Times New Roman"/>
          <w:i/>
          <w:iCs/>
        </w:rPr>
        <w:t>social license to operate</w:t>
      </w:r>
      <w:r w:rsidRPr="005222F6">
        <w:rPr>
          <w:rFonts w:ascii="Times New Roman" w:eastAsia="Palatino Linotype" w:hAnsi="Times New Roman" w:cs="Times New Roman"/>
        </w:rPr>
        <w:t xml:space="preserve">). Keterbukaan informasi iklim ini bertindak sebagai fondasi kuat yang memperkaya substansi laporan keberlanjutan secara utuh. Logika empiris ini didukung penuh oleh temuan dari </w:t>
      </w:r>
      <w:r w:rsidR="00F20E07">
        <w:rPr>
          <w:rFonts w:ascii="Times New Roman" w:eastAsia="Palatino Linotype" w:hAnsi="Times New Roman" w:cs="Times New Roman"/>
        </w:rPr>
        <w:fldChar w:fldCharType="begin" w:fldLock="1"/>
      </w:r>
      <w:r w:rsidR="00F20E07">
        <w:rPr>
          <w:rFonts w:ascii="Times New Roman" w:eastAsia="Palatino Linotype" w:hAnsi="Times New Roman" w:cs="Times New Roman"/>
        </w:rPr>
        <w:instrText>ADDIN CSL_CITATION {"citationItems":[{"id":"ITEM-1","itemData":{"author":[{"dropping-particle":"","family":"Fujianti","given":"Anisa","non-dropping-particle":"","parse-names":false,"suffix":""},{"dropping-particle":"","family":"Nasihin","given":"Ihsan","non-dropping-particle":"","parse-names":false,"suffix":""},{"dropping-particle":"","family":"Sujaya","given":"Fista Apriani","non-dropping-particle":"","parse-names":false,"suffix":""},{"dropping-particle":"","family":"Akuntansi","given":"Program Studi","non-dropping-particle":"","parse-names":false,"suffix":""},{"dropping-particle":"","family":"Perjuangan","given":"Universitas Buana","non-dropping-particle":"","parse-names":false,"suffix":""}],"id":"ITEM-1","issued":{"date-parts":[["2025"]]},"page":"2312-2324","title":"1 , 2 , 3","type":"article-journal","volume":"8"},"uris":["http://www.mendeley.com/documents/?uuid=a8605fa4-6bd0-4875-976d-34103e2cf785"]}],"mendeley":{"formattedCitation":"(A. Fujianti et al., 2025)","plainTextFormattedCitation":"(A. Fujianti et al., 2025)","previouslyFormattedCitation":"(A. Fujianti et al., 2025)"},"properties":{"noteIndex":0},"schema":"https://github.com/citation-style-language/schema/raw/master/csl-citation.json"}</w:instrText>
      </w:r>
      <w:r w:rsidR="00F20E07">
        <w:rPr>
          <w:rFonts w:ascii="Times New Roman" w:eastAsia="Palatino Linotype" w:hAnsi="Times New Roman" w:cs="Times New Roman"/>
        </w:rPr>
        <w:fldChar w:fldCharType="separate"/>
      </w:r>
      <w:r w:rsidR="00F20E07" w:rsidRPr="00F20E07">
        <w:rPr>
          <w:rFonts w:ascii="Times New Roman" w:eastAsia="Palatino Linotype" w:hAnsi="Times New Roman" w:cs="Times New Roman"/>
          <w:noProof/>
        </w:rPr>
        <w:t>(A. Fujianti et al., 2025)</w:t>
      </w:r>
      <w:r w:rsidR="00F20E07">
        <w:rPr>
          <w:rFonts w:ascii="Times New Roman" w:eastAsia="Palatino Linotype" w:hAnsi="Times New Roman" w:cs="Times New Roman"/>
        </w:rPr>
        <w:fldChar w:fldCharType="end"/>
      </w:r>
      <w:r w:rsidR="00F20E07">
        <w:rPr>
          <w:rFonts w:ascii="Times New Roman" w:eastAsia="Palatino Linotype" w:hAnsi="Times New Roman" w:cs="Times New Roman"/>
        </w:rPr>
        <w:t xml:space="preserve"> </w:t>
      </w:r>
      <w:r w:rsidRPr="005222F6">
        <w:rPr>
          <w:rFonts w:ascii="Times New Roman" w:eastAsia="Palatino Linotype" w:hAnsi="Times New Roman" w:cs="Times New Roman"/>
        </w:rPr>
        <w:t xml:space="preserve">dan </w:t>
      </w:r>
      <w:r w:rsidR="00F20E07">
        <w:rPr>
          <w:rFonts w:ascii="Times New Roman" w:eastAsia="Palatino Linotype" w:hAnsi="Times New Roman" w:cs="Times New Roman"/>
        </w:rPr>
        <w:fldChar w:fldCharType="begin" w:fldLock="1"/>
      </w:r>
      <w:r w:rsidR="00F20E07">
        <w:rPr>
          <w:rFonts w:ascii="Times New Roman" w:eastAsia="Palatino Linotype" w:hAnsi="Times New Roman" w:cs="Times New Roman"/>
        </w:rPr>
        <w:instrText>ADDIN CSL_CITATION {"citationItems":[{"id":"ITEM-1","itemData":{"DOI":"10.37817/ikraith-ekonomika.v8i2.4317","ISSN":"2654-4946","abstract":"Penelitian ini bertujuan untuk mengetahui Pengungkapan Emisi Karbon, Kinerja Lingkungan danSustainability Report terhadap Nilai Perusahaan pada Perusahaan Basic Material yang terdaftar diBursa Efek Indonesia pada tahun 2020-2023, baik secara parsial maupun simultan. Sampel dalampenelitian ini adalah perusahaan basic material yang terdaftar di Bursa Efek Indonesia (BEI) padatahun 2020-2023. Populasi dalam penelitian ini yang di dapat pada perusahaan basic materialberdasarkan kriteria yang dipilih mendapatkan 9 perusahaan dan 36 jumlah sampel denganpengambilan sampel menggunakan metode purposive sampling yang dianalisis menggunakanEviews 12. Hasil dari penelitian ini berdasarkan Uji Parsial (Uji t) menunjukkan secara parsialvariabel Pengungkapan Emisi Karbon dan Sustainability Report berpengaruh negatif signifikanterhadap Nilai Perusahaan, sedangkan Kinerja Lingkungan berpengaruh positif signifikan terhadapNilai Perusahaan. Secara simultan (Uji f) menunjukan bahwa Pengungkapan Emisi Karbon,Kinerja Lingkungan dan Sustainbaility Report berpengrauh secara bersama-sama terhadap NilaiPerusahaan.","author":[{"dropping-particle":"","family":"Pratiwi","given":"Sandrina Miscka","non-dropping-particle":"","parse-names":false,"suffix":""},{"dropping-particle":"","family":"Suryanti","given":"Laili","non-dropping-particle":"","parse-names":false,"suffix":""},{"dropping-particle":"","family":"Indrianty","given":"Lely","non-dropping-particle":"","parse-names":false,"suffix":""},{"dropping-particle":"","family":"Wanialisa","given":"Mery","non-dropping-particle":"","parse-names":false,"suffix":""}],"container-title":"Ikraith-Ekonomika","id":"ITEM-1","issue":"2","issued":{"date-parts":[["2024"]]},"page":"181-191","title":"Pengaruh Pengungkapan Emisi Karbon, Kinerja Lingkungan dan SR Terhadap Nilai Perusahaan (Pada Perusahaan Basic Material Yang Terdaftar di BEI Periode 2020-2023)","type":"article-journal","volume":"8"},"uris":["http://www.mendeley.com/documents/?uuid=13af91cf-4ba7-435d-9e47-1be6f536fb59"]}],"mendeley":{"formattedCitation":"(Pratiwi et al., 2024)","plainTextFormattedCitation":"(Pratiwi et al., 2024)","previouslyFormattedCitation":"(Pratiwi et al., 2024)"},"properties":{"noteIndex":0},"schema":"https://github.com/citation-style-language/schema/raw/master/csl-citation.json"}</w:instrText>
      </w:r>
      <w:r w:rsidR="00F20E07">
        <w:rPr>
          <w:rFonts w:ascii="Times New Roman" w:eastAsia="Palatino Linotype" w:hAnsi="Times New Roman" w:cs="Times New Roman"/>
        </w:rPr>
        <w:fldChar w:fldCharType="separate"/>
      </w:r>
      <w:r w:rsidR="00F20E07" w:rsidRPr="00F20E07">
        <w:rPr>
          <w:rFonts w:ascii="Times New Roman" w:eastAsia="Palatino Linotype" w:hAnsi="Times New Roman" w:cs="Times New Roman"/>
          <w:noProof/>
        </w:rPr>
        <w:t>(Pratiwi et al., 2024)</w:t>
      </w:r>
      <w:r w:rsidR="00F20E07">
        <w:rPr>
          <w:rFonts w:ascii="Times New Roman" w:eastAsia="Palatino Linotype" w:hAnsi="Times New Roman" w:cs="Times New Roman"/>
        </w:rPr>
        <w:fldChar w:fldCharType="end"/>
      </w:r>
      <w:r w:rsidR="00F20E07">
        <w:rPr>
          <w:rFonts w:ascii="Times New Roman" w:eastAsia="Palatino Linotype" w:hAnsi="Times New Roman" w:cs="Times New Roman"/>
        </w:rPr>
        <w:t xml:space="preserve"> </w:t>
      </w:r>
      <w:r w:rsidRPr="005222F6">
        <w:rPr>
          <w:rFonts w:ascii="Times New Roman" w:eastAsia="Palatino Linotype" w:hAnsi="Times New Roman" w:cs="Times New Roman"/>
        </w:rPr>
        <w:t>yang menyatakan bahwa pengungkapan emisi karbon memiliki pengaruh positif dan signifikan terhadap kualitas keterbukaan lingkungan serta nilai intrinsik perusahaan.</w:t>
      </w:r>
    </w:p>
    <w:p w14:paraId="24CB4488" w14:textId="77777777" w:rsidR="00756DF6" w:rsidRPr="005222F6" w:rsidRDefault="00000000" w:rsidP="00607EBC">
      <w:pPr>
        <w:spacing w:before="240" w:after="0" w:line="240" w:lineRule="auto"/>
        <w:jc w:val="both"/>
        <w:rPr>
          <w:rFonts w:ascii="Times New Roman" w:eastAsia="Palatino Linotype" w:hAnsi="Times New Roman" w:cs="Times New Roman"/>
          <w:b/>
          <w:bCs/>
        </w:rPr>
      </w:pPr>
      <w:r w:rsidRPr="005222F6">
        <w:rPr>
          <w:rFonts w:ascii="Times New Roman" w:eastAsia="Palatino Linotype" w:hAnsi="Times New Roman" w:cs="Times New Roman"/>
          <w:b/>
          <w:bCs/>
        </w:rPr>
        <w:t xml:space="preserve">3. Pengaruh Simultan Dewan Komisaris Independen dan </w:t>
      </w:r>
      <w:r w:rsidRPr="00F20E07">
        <w:rPr>
          <w:rFonts w:ascii="Times New Roman" w:eastAsia="Palatino Linotype" w:hAnsi="Times New Roman" w:cs="Times New Roman"/>
          <w:b/>
          <w:bCs/>
          <w:i/>
          <w:iCs/>
        </w:rPr>
        <w:t>Carbon Emission Disclosure</w:t>
      </w:r>
      <w:r w:rsidRPr="005222F6">
        <w:rPr>
          <w:rFonts w:ascii="Times New Roman" w:eastAsia="Palatino Linotype" w:hAnsi="Times New Roman" w:cs="Times New Roman"/>
          <w:b/>
          <w:bCs/>
        </w:rPr>
        <w:t xml:space="preserve"> (H3 Diterima) </w:t>
      </w:r>
    </w:p>
    <w:p w14:paraId="2510EBF3" w14:textId="77777777" w:rsidR="00756DF6" w:rsidRPr="005222F6" w:rsidRDefault="00000000" w:rsidP="00607EBC">
      <w:pPr>
        <w:spacing w:before="240"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Diterimanya hipotesis ketiga (H3) membuktikan bahwa perpaduan antara mekanisme pengawasan tata kelola internal dan transparansi metrik lingkungan mampu secara serempak mendikte terciptanya ekosistem pelaporan yang superior.</w:t>
      </w:r>
    </w:p>
    <w:p w14:paraId="15389B40"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Meskipun Dewan Komisaris Independen secara parsial belum mampu menunjukkan pengaruh yang signifikan, namun ketika diintegrasikan dengan keterbukaan data emisi karbon, kedua elemen ini menciptakan sebuah sistem kontrol yang efektif. Struktur tata kelola memberikan landasan formal kepatuhan sistem pelaporan, sementara data emisi gas rumah kaca menyediakan bukti konkret atas komitmen ramah lingkungan entitas.</w:t>
      </w:r>
    </w:p>
    <w:p w14:paraId="37A8B526" w14:textId="21C8BA0D"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Kolaborasi inilah yang menyebabkan dorongan </w:t>
      </w:r>
      <w:r w:rsidRPr="00F20E07">
        <w:rPr>
          <w:rFonts w:ascii="Times New Roman" w:eastAsia="Palatino Linotype" w:hAnsi="Times New Roman" w:cs="Times New Roman"/>
          <w:i/>
          <w:iCs/>
        </w:rPr>
        <w:t>Legitimacy Theory</w:t>
      </w:r>
      <w:r w:rsidRPr="005222F6">
        <w:rPr>
          <w:rFonts w:ascii="Times New Roman" w:eastAsia="Palatino Linotype" w:hAnsi="Times New Roman" w:cs="Times New Roman"/>
        </w:rPr>
        <w:t xml:space="preserve"> tervalidasi secara holistik, sehingga memacu perusahaan sektor maritim dan logistik untuk menghasilkan laporan keberlanjutan yang lebih akuntabel dan bermutu. Temuan simultan ini sejalan dengan argumen riset dari </w:t>
      </w:r>
      <w:r w:rsidR="00F20E07">
        <w:rPr>
          <w:rFonts w:ascii="Times New Roman" w:eastAsia="Palatino Linotype" w:hAnsi="Times New Roman" w:cs="Times New Roman"/>
        </w:rPr>
        <w:fldChar w:fldCharType="begin" w:fldLock="1"/>
      </w:r>
      <w:r w:rsidR="00F20E07">
        <w:rPr>
          <w:rFonts w:ascii="Times New Roman" w:eastAsia="Palatino Linotype" w:hAnsi="Times New Roman" w:cs="Times New Roman"/>
        </w:rPr>
        <w:instrText>ADDIN CSL_CITATION {"citationItems":[{"id":"ITEM-1","itemData":{"abstract":"This study examines the effects of profitability, carbon emissions disclosure, sustainability reporting, and green accounting on the firm value of energy sector businesses listed on the Indonesian Stock Exchange (IDX). We employed linear regression analysis with panel data from 16 different companies. These samples were selected using a purposive sampling approach, and 80 were evaluated. The findings indicate that the disclosure of sustainability reports and green accounting notably impact firm value. However, disclosure of carbon emissions does not affect firm value. Firm value is significantly determined by profitability. The study's findings emphasize the importance of openness and social accountability through sustainability reports and green accounting, offering valuable stakeholder insights.","author":[{"dropping-particle":"Al","family":"Gamar","given":"Moh Frisal","non-dropping-particle":"","parse-names":false,"suffix":""},{"dropping-particle":"","family":"Widoretno","given":"Astrini Aning","non-dropping-particle":"","parse-names":false,"suffix":""}],"container-title":"Keberlanjutan : Jurnal Manajemen dan Jurnal Akuntansi","id":"ITEM-1","issue":"1","issued":{"date-parts":[["2024"]]},"page":"1-12","title":"Keberlanjutan : Jurnal Manajemen dan Jurnal Akuntansi accounting on the firm value of Indonesia energy companies","type":"article-journal","volume":"9"},"uris":["http://www.mendeley.com/documents/?uuid=dbb93ccf-2d4c-49f4-8ad4-d7b0fbe2df6e"]}],"mendeley":{"formattedCitation":"(Gamar &amp; Widoretno, 2024)","plainTextFormattedCitation":"(Gamar &amp; Widoretno, 2024)","previouslyFormattedCitation":"(Gamar &amp; Widoretno, 2024)"},"properties":{"noteIndex":0},"schema":"https://github.com/citation-style-language/schema/raw/master/csl-citation.json"}</w:instrText>
      </w:r>
      <w:r w:rsidR="00F20E07">
        <w:rPr>
          <w:rFonts w:ascii="Times New Roman" w:eastAsia="Palatino Linotype" w:hAnsi="Times New Roman" w:cs="Times New Roman"/>
        </w:rPr>
        <w:fldChar w:fldCharType="separate"/>
      </w:r>
      <w:r w:rsidR="00F20E07" w:rsidRPr="00F20E07">
        <w:rPr>
          <w:rFonts w:ascii="Times New Roman" w:eastAsia="Palatino Linotype" w:hAnsi="Times New Roman" w:cs="Times New Roman"/>
          <w:noProof/>
        </w:rPr>
        <w:t>(Gamar &amp; Widoretno, 2024)</w:t>
      </w:r>
      <w:r w:rsidR="00F20E07">
        <w:rPr>
          <w:rFonts w:ascii="Times New Roman" w:eastAsia="Palatino Linotype" w:hAnsi="Times New Roman" w:cs="Times New Roman"/>
        </w:rPr>
        <w:fldChar w:fldCharType="end"/>
      </w:r>
      <w:r w:rsidRPr="005222F6">
        <w:rPr>
          <w:rFonts w:ascii="Times New Roman" w:eastAsia="Palatino Linotype" w:hAnsi="Times New Roman" w:cs="Times New Roman"/>
        </w:rPr>
        <w:t xml:space="preserve"> serta </w:t>
      </w:r>
      <w:r w:rsidR="00F20E07">
        <w:rPr>
          <w:rFonts w:ascii="Times New Roman" w:eastAsia="Palatino Linotype" w:hAnsi="Times New Roman" w:cs="Times New Roman"/>
        </w:rPr>
        <w:fldChar w:fldCharType="begin" w:fldLock="1"/>
      </w:r>
      <w:r w:rsidR="00C31A83">
        <w:rPr>
          <w:rFonts w:ascii="Times New Roman" w:eastAsia="Palatino Linotype" w:hAnsi="Times New Roman" w:cs="Times New Roman"/>
        </w:rPr>
        <w:instrText>ADDIN CSL_CITATION {"citationItems":[{"id":"ITEM-1","itemData":{"DOI":"10.11594/untad.jan.7.1.24713","ISSN":"2622-3082","abstract":"This study aims to examine the effect of environmental, social, and governance disclosures on firm value with the moderating variable of carbon emission disclosure. The method used in this research is the quantitative method. The population in this study amounted to 76 mining sector companies listed on the Indonesia Stock Exchange for the period 2020 - 2023. The sample was selected using purposive sampling method, resulting in a total sample of 20 companies. The analysis technique used is multiple linear regression analysis and moderate regression analysis. The results of this study indicate that environmental disclosure has a significant positive effect on firm value. Social disclosure has a significant negative effect on firm value. Governance disclosure has a significant negative effect on firm value. Carbon emission disclosure cannot moderate the relationship between environmental disclosure and firm value. Carbon emission disclosure can moderate the relationship between social disclosure on firm value. Carbon emission disclosure cannot moderate the relationship between governance disclosure on firm value.","author":[{"dropping-particle":"","family":"Meidhita Alauddin","given":"A.Alvira","non-dropping-particle":"","parse-names":false,"suffix":""},{"dropping-particle":"","family":"Tenriwaru","given":"","non-dropping-particle":"","parse-names":false,"suffix":""},{"dropping-particle":"","family":"Nurafifah Ibrahim","given":"Fifi","non-dropping-particle":"","parse-names":false,"suffix":""}],"container-title":"Jurnal Akun Nabelo : Jurnal Akuntansi Netral, Akuntabel, Objektif","id":"ITEM-1","issue":"1","issued":{"date-parts":[["2025"]]},"page":"1176-1195","title":"Pengungkapan Lingkungan, Sosial, Dan Tata Kelola Terhadap Nilai Perusahaan Dengan Pengungkapan Emisi Karbon Sebagai Variabel Moderasi (Studi Pada Perusahaan Pertambangan Yang Terdaftar Di Bursa Efek Indonesia)","type":"article-journal","volume":"7"},"uris":["http://www.mendeley.com/documents/?uuid=2bbb8e59-df72-4b43-8fa2-09d8202fff27"]}],"mendeley":{"formattedCitation":"(Meidhita Alauddin et al., 2025)","plainTextFormattedCitation":"(Meidhita Alauddin et al., 2025)","previouslyFormattedCitation":"(Meidhita Alauddin et al., 2025)"},"properties":{"noteIndex":0},"schema":"https://github.com/citation-style-language/schema/raw/master/csl-citation.json"}</w:instrText>
      </w:r>
      <w:r w:rsidR="00F20E07">
        <w:rPr>
          <w:rFonts w:ascii="Times New Roman" w:eastAsia="Palatino Linotype" w:hAnsi="Times New Roman" w:cs="Times New Roman"/>
        </w:rPr>
        <w:fldChar w:fldCharType="separate"/>
      </w:r>
      <w:r w:rsidR="00F20E07" w:rsidRPr="00F20E07">
        <w:rPr>
          <w:rFonts w:ascii="Times New Roman" w:eastAsia="Palatino Linotype" w:hAnsi="Times New Roman" w:cs="Times New Roman"/>
          <w:noProof/>
        </w:rPr>
        <w:t>(Meidhita Alauddin et al., 2025)</w:t>
      </w:r>
      <w:r w:rsidR="00F20E07">
        <w:rPr>
          <w:rFonts w:ascii="Times New Roman" w:eastAsia="Palatino Linotype" w:hAnsi="Times New Roman" w:cs="Times New Roman"/>
        </w:rPr>
        <w:fldChar w:fldCharType="end"/>
      </w:r>
      <w:r w:rsidRPr="005222F6">
        <w:rPr>
          <w:rFonts w:ascii="Times New Roman" w:eastAsia="Palatino Linotype" w:hAnsi="Times New Roman" w:cs="Times New Roman"/>
        </w:rPr>
        <w:t>, yang menyoroti bahwa kombinasi aspek tata kelola dan transparansi karbon secara bersama-sama berfungsi sebagai sinyal (</w:t>
      </w:r>
      <w:r w:rsidRPr="00F20E07">
        <w:rPr>
          <w:rFonts w:ascii="Times New Roman" w:eastAsia="Palatino Linotype" w:hAnsi="Times New Roman" w:cs="Times New Roman"/>
          <w:i/>
          <w:iCs/>
        </w:rPr>
        <w:t>signalling theory</w:t>
      </w:r>
      <w:r w:rsidRPr="005222F6">
        <w:rPr>
          <w:rFonts w:ascii="Times New Roman" w:eastAsia="Palatino Linotype" w:hAnsi="Times New Roman" w:cs="Times New Roman"/>
        </w:rPr>
        <w:t>) yang kuat bagi pasar untuk mempertahankan legitimasi operasi perusahaan jangka panjang.</w:t>
      </w:r>
    </w:p>
    <w:p w14:paraId="7F24F5E4" w14:textId="77777777" w:rsidR="00756DF6" w:rsidRPr="005222F6" w:rsidRDefault="00756DF6" w:rsidP="00607E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FA3672" w14:textId="082EB272" w:rsidR="00756DF6" w:rsidRPr="005222F6" w:rsidRDefault="00000000" w:rsidP="00607EBC">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5222F6">
        <w:rPr>
          <w:rFonts w:ascii="Times New Roman" w:eastAsia="Times New Roman" w:hAnsi="Times New Roman" w:cs="Times New Roman"/>
          <w:b/>
          <w:bCs/>
          <w:color w:val="000000"/>
          <w:sz w:val="24"/>
          <w:szCs w:val="24"/>
        </w:rPr>
        <w:t xml:space="preserve">KESIMPULAN </w:t>
      </w:r>
    </w:p>
    <w:p w14:paraId="65078EC0" w14:textId="77777777" w:rsidR="00756DF6" w:rsidRPr="005222F6" w:rsidRDefault="00000000" w:rsidP="00607EBC">
      <w:pPr>
        <w:spacing w:before="240"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Berdasarkan hasil pengujian empiris dan pembahasan yang telah dilakukan, penelitian ini berhasil merumuskan beberapa simpulan penting mengenai faktor-faktor yang memengaruhi kualitas pelaporan keberlanjutan pada perusahaan sektor maritim dan logistik yang terdaftar di Bursa Efek Indonesia periode 2021–2024.</w:t>
      </w:r>
    </w:p>
    <w:p w14:paraId="6DFC45B2"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 xml:space="preserve">Pertama, mekanisme tata kelola perusahaan yang diproksikan melalui Dewan Komisaris Independen secara parsial terbukti tidak memiliki pengaruh yang signifikan terhadap kualitas pelaporan keberlanjutan. Fenomena ini mengindikasikan bahwa keberadaan komisaris independen di dalam struktur perusahaan maritim dan logistik cenderung masih bersifat pemenuhan kepatuhan administratif </w:t>
      </w:r>
      <w:r w:rsidRPr="005222F6">
        <w:rPr>
          <w:rFonts w:ascii="Times New Roman" w:eastAsia="Palatino Linotype" w:hAnsi="Times New Roman" w:cs="Times New Roman"/>
        </w:rPr>
        <w:lastRenderedPageBreak/>
        <w:t>atau formalitas demi regulasi pasar modal semata. Pengawasan yang dilakukan internal dewan masih berorientasi kuat pada target-target finansial dan stabilitas ekonomi, sehingga belum mampu memberikan dorongan yang substansial terhadap perluasan pengungkapan aspek nonkeuangan atau isu lingkungan global.</w:t>
      </w:r>
    </w:p>
    <w:p w14:paraId="020AB7BA"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Sebaliknya, pengungkapan emisi karbon (</w:t>
      </w:r>
      <w:r w:rsidRPr="00C31A83">
        <w:rPr>
          <w:rFonts w:ascii="Times New Roman" w:eastAsia="Palatino Linotype" w:hAnsi="Times New Roman" w:cs="Times New Roman"/>
          <w:i/>
          <w:iCs/>
        </w:rPr>
        <w:t>Carbon Emission Disclosure</w:t>
      </w:r>
      <w:r w:rsidRPr="005222F6">
        <w:rPr>
          <w:rFonts w:ascii="Times New Roman" w:eastAsia="Palatino Linotype" w:hAnsi="Times New Roman" w:cs="Times New Roman"/>
        </w:rPr>
        <w:t>) terbukti secara meyakinkan memiliki pengaruh positif dan signifikan terhadap peningkatan kualitas pelaporan keberlanjutan. Hasil ini menegaskan bahwa keterbukaan informasi mengenai inventarisasi emisi dan strategi mitigasi iklim merupakan motor penggerak utama yang mendongkrak keandalan serta kedalaman substansi laporan secara utuh. Melalui lensa Teori Legitimasi, kepedulian lingkungan yang ditunjukkan lewat transparansi data karbon ini menjadi instrumen strategis bagi manajemen untuk meredam tekanan dari berbagai pemangku kepentingan sekaligus mengamankan penerimaan sosial dari masyarakat luas demi kelangsungan bisnis jangka panjang.</w:t>
      </w:r>
    </w:p>
    <w:p w14:paraId="703709FF" w14:textId="77777777" w:rsidR="00756DF6" w:rsidRPr="005222F6" w:rsidRDefault="00000000" w:rsidP="00607EBC">
      <w:pPr>
        <w:spacing w:after="0" w:line="240" w:lineRule="auto"/>
        <w:ind w:firstLine="720"/>
        <w:jc w:val="both"/>
        <w:rPr>
          <w:rFonts w:ascii="Times New Roman" w:eastAsia="Palatino Linotype" w:hAnsi="Times New Roman" w:cs="Times New Roman"/>
        </w:rPr>
      </w:pPr>
      <w:r w:rsidRPr="005222F6">
        <w:rPr>
          <w:rFonts w:ascii="Times New Roman" w:eastAsia="Palatino Linotype" w:hAnsi="Times New Roman" w:cs="Times New Roman"/>
        </w:rPr>
        <w:t>Lebih lanjut, pengujian secara simultan menunjukkan bahwa integrasi antara struktur Dewan Komisaris Independen dan pengungkapan emisi karbon secara bersama-sama memberikan pengaruh yang signifikan terhadap kualitas pelaporan keberlanjutan. Meskipun fungsi pengawasan komisaris independen secara mandiri belum optimal dalam mengawal isu keberlanjutan, kehadirannya yang berpadu dengan transparansi data emisi mampu menciptakan sistem kontrol ganda yang efektif. Sinergi inilah yang pada akhirnya memvalidasi dorongan Teori Legitimasi secara holistik, sehingga memacu korporasi sektor maritim dan logistik untuk menyajikan laporan keberlanjutan yang lebih bermutu, transparan, dan akuntabel.</w:t>
      </w:r>
    </w:p>
    <w:p w14:paraId="0A877B05" w14:textId="3A6E639A" w:rsidR="00756DF6" w:rsidRPr="005222F6" w:rsidRDefault="00D733C7" w:rsidP="00607EBC">
      <w:pPr>
        <w:spacing w:after="0" w:line="240" w:lineRule="auto"/>
        <w:jc w:val="both"/>
        <w:rPr>
          <w:rFonts w:ascii="Times New Roman" w:eastAsia="Palatino Linotype" w:hAnsi="Times New Roman" w:cs="Times New Roman"/>
        </w:rPr>
      </w:pPr>
      <w:r w:rsidRPr="005222F6">
        <w:rPr>
          <w:rFonts w:ascii="Times New Roman" w:eastAsia="Palatino Linotype" w:hAnsi="Times New Roman" w:cs="Times New Roman"/>
        </w:rPr>
        <w:tab/>
        <w:t>Meskipun demikian, penelitian ini memiliki keterbatasan dalam jumlah sampel yang minim dan rentang waktu pengamatan yang singkat akibat ketatnya kriteria seleksi data. Untuk penelitian mendatang, disarankan memodifikasi model dengan menambahkan proksi tata kelola lain seperti komite audit, kepemilikan institusional, manajerial, atau board diversity. Peneliti selanjutnya juga diharapkan memperluas cakupan objek ke sub-sektor transportasi atau industri berat lainnya agar diperoleh temuan yang lebih komprehensif, kuat, dan representatif bagi perkembangan praktik bisnis berkelanjutan di Indonesia.</w:t>
      </w:r>
    </w:p>
    <w:p w14:paraId="123792E5" w14:textId="77777777" w:rsidR="00756DF6" w:rsidRPr="005222F6" w:rsidRDefault="00756DF6" w:rsidP="00607E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756DF6" w:rsidRPr="005222F6">
          <w:headerReference w:type="default" r:id="rId16"/>
          <w:type w:val="continuous"/>
          <w:pgSz w:w="11906" w:h="16838"/>
          <w:pgMar w:top="1440" w:right="1440" w:bottom="1440" w:left="1440" w:header="709" w:footer="709" w:gutter="0"/>
          <w:cols w:space="720"/>
        </w:sectPr>
      </w:pPr>
    </w:p>
    <w:p w14:paraId="7377DD45" w14:textId="140E9EDA" w:rsidR="00D733C7" w:rsidRPr="00607EBC" w:rsidRDefault="00000000" w:rsidP="00607EBC">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5222F6">
        <w:rPr>
          <w:rFonts w:ascii="Times New Roman" w:eastAsia="Times New Roman" w:hAnsi="Times New Roman" w:cs="Times New Roman"/>
          <w:b/>
          <w:bCs/>
          <w:color w:val="000000"/>
          <w:sz w:val="24"/>
          <w:szCs w:val="24"/>
        </w:rPr>
        <w:lastRenderedPageBreak/>
        <w:t xml:space="preserve">REFERENSI </w:t>
      </w:r>
    </w:p>
    <w:p w14:paraId="704A14C1" w14:textId="181EECFC"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eastAsia="Times New Roman" w:hAnsi="Times New Roman" w:cs="Times New Roman"/>
        </w:rPr>
        <w:fldChar w:fldCharType="begin" w:fldLock="1"/>
      </w:r>
      <w:r w:rsidRPr="00C31A83">
        <w:rPr>
          <w:rFonts w:ascii="Times New Roman" w:eastAsia="Times New Roman" w:hAnsi="Times New Roman" w:cs="Times New Roman"/>
        </w:rPr>
        <w:instrText xml:space="preserve">ADDIN Mendeley Bibliography CSL_BIBLIOGRAPHY </w:instrText>
      </w:r>
      <w:r w:rsidRPr="00C31A83">
        <w:rPr>
          <w:rFonts w:ascii="Times New Roman" w:eastAsia="Times New Roman" w:hAnsi="Times New Roman" w:cs="Times New Roman"/>
        </w:rPr>
        <w:fldChar w:fldCharType="separate"/>
      </w:r>
      <w:r w:rsidRPr="00C31A83">
        <w:rPr>
          <w:rFonts w:ascii="Times New Roman" w:hAnsi="Times New Roman" w:cs="Times New Roman"/>
          <w:noProof/>
        </w:rPr>
        <w:t xml:space="preserve">Astuti Intan Novia, Ainul Ridha, &amp; Eliana. (2024). Jurnal Riset Akuntansi Dan Bisnis Jurnal Riset Akuntansi Dan Bisnis. </w:t>
      </w:r>
      <w:r w:rsidRPr="00C31A83">
        <w:rPr>
          <w:rFonts w:ascii="Times New Roman" w:hAnsi="Times New Roman" w:cs="Times New Roman"/>
          <w:i/>
          <w:iCs/>
          <w:noProof/>
        </w:rPr>
        <w:t>Jurnal Riset Akuntansi Dan Bisnis</w:t>
      </w:r>
      <w:r w:rsidRPr="00C31A83">
        <w:rPr>
          <w:rFonts w:ascii="Times New Roman" w:hAnsi="Times New Roman" w:cs="Times New Roman"/>
          <w:noProof/>
        </w:rPr>
        <w:t xml:space="preserve">, </w:t>
      </w:r>
      <w:r w:rsidRPr="00C31A83">
        <w:rPr>
          <w:rFonts w:ascii="Times New Roman" w:hAnsi="Times New Roman" w:cs="Times New Roman"/>
          <w:i/>
          <w:iCs/>
          <w:noProof/>
        </w:rPr>
        <w:t>18</w:t>
      </w:r>
      <w:r w:rsidRPr="00C31A83">
        <w:rPr>
          <w:rFonts w:ascii="Times New Roman" w:hAnsi="Times New Roman" w:cs="Times New Roman"/>
          <w:noProof/>
        </w:rPr>
        <w:t>(2), 140–152.</w:t>
      </w:r>
    </w:p>
    <w:p w14:paraId="650B2FB7"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Breitbarth, T., &amp; Martens, H. (2024). Climate action. In </w:t>
      </w:r>
      <w:r w:rsidRPr="00C31A83">
        <w:rPr>
          <w:rFonts w:ascii="Times New Roman" w:hAnsi="Times New Roman" w:cs="Times New Roman"/>
          <w:i/>
          <w:iCs/>
          <w:noProof/>
        </w:rPr>
        <w:t>Encyclopedia of Sport Management, Second Edition</w:t>
      </w:r>
      <w:r w:rsidRPr="00C31A83">
        <w:rPr>
          <w:rFonts w:ascii="Times New Roman" w:hAnsi="Times New Roman" w:cs="Times New Roman"/>
          <w:noProof/>
        </w:rPr>
        <w:t xml:space="preserve"> (pp. 146–148). https://doi.org/10.4337/9781035317189.ch86</w:t>
      </w:r>
    </w:p>
    <w:p w14:paraId="79326634"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Fasya, M., Susilowati, R. Y. N., Septiyanti, R., &amp; Kusumawardani, N. (2024). Pengaruh Carbon Emission Disclosure dan Good Corporate Governance terhadap Nilai Perusahaan: Studi Empiris pada Perusahaan Sektor Transportasi dan Logistik yang Terdaftar di Bursa Efek Indonesia Periode 2017-2022. </w:t>
      </w:r>
      <w:r w:rsidRPr="00C31A83">
        <w:rPr>
          <w:rFonts w:ascii="Times New Roman" w:hAnsi="Times New Roman" w:cs="Times New Roman"/>
          <w:i/>
          <w:iCs/>
          <w:noProof/>
        </w:rPr>
        <w:t>Jurnal Studi Pemerintahan Dan Akuntabilitas</w:t>
      </w:r>
      <w:r w:rsidRPr="00C31A83">
        <w:rPr>
          <w:rFonts w:ascii="Times New Roman" w:hAnsi="Times New Roman" w:cs="Times New Roman"/>
          <w:noProof/>
        </w:rPr>
        <w:t xml:space="preserve">, </w:t>
      </w:r>
      <w:r w:rsidRPr="00C31A83">
        <w:rPr>
          <w:rFonts w:ascii="Times New Roman" w:hAnsi="Times New Roman" w:cs="Times New Roman"/>
          <w:i/>
          <w:iCs/>
          <w:noProof/>
        </w:rPr>
        <w:t>4</w:t>
      </w:r>
      <w:r w:rsidRPr="00C31A83">
        <w:rPr>
          <w:rFonts w:ascii="Times New Roman" w:hAnsi="Times New Roman" w:cs="Times New Roman"/>
          <w:noProof/>
        </w:rPr>
        <w:t>(1), 1–16. https://doi.org/10.35912/jastaka.v4i1.3403</w:t>
      </w:r>
    </w:p>
    <w:p w14:paraId="1D87DA38"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Fujianti, A., Nasihin, I., Sujaya, F. A., Akuntansi, P. S., &amp; Perjuangan, U. B. (2025). </w:t>
      </w:r>
      <w:r w:rsidRPr="00C31A83">
        <w:rPr>
          <w:rFonts w:ascii="Times New Roman" w:hAnsi="Times New Roman" w:cs="Times New Roman"/>
          <w:i/>
          <w:iCs/>
          <w:noProof/>
        </w:rPr>
        <w:t>1 , 2 , 3</w:t>
      </w:r>
      <w:r w:rsidRPr="00C31A83">
        <w:rPr>
          <w:rFonts w:ascii="Times New Roman" w:hAnsi="Times New Roman" w:cs="Times New Roman"/>
          <w:noProof/>
        </w:rPr>
        <w:t xml:space="preserve">. </w:t>
      </w:r>
      <w:r w:rsidRPr="00C31A83">
        <w:rPr>
          <w:rFonts w:ascii="Times New Roman" w:hAnsi="Times New Roman" w:cs="Times New Roman"/>
          <w:i/>
          <w:iCs/>
          <w:noProof/>
        </w:rPr>
        <w:t>8</w:t>
      </w:r>
      <w:r w:rsidRPr="00C31A83">
        <w:rPr>
          <w:rFonts w:ascii="Times New Roman" w:hAnsi="Times New Roman" w:cs="Times New Roman"/>
          <w:noProof/>
        </w:rPr>
        <w:t>, 2312–2324.</w:t>
      </w:r>
    </w:p>
    <w:p w14:paraId="7FCB5D99"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Fujianti, L., Nelyumna, N., Azizah, W., Astuti, S. B., Hilmiyah, N., &amp; Qodriyah, A. L. (2024). Good Corporate Governance Dan Environmentalal, Social, Governance Disclosures Di Indonesia. </w:t>
      </w:r>
      <w:r w:rsidRPr="00C31A83">
        <w:rPr>
          <w:rFonts w:ascii="Times New Roman" w:hAnsi="Times New Roman" w:cs="Times New Roman"/>
          <w:i/>
          <w:iCs/>
          <w:noProof/>
        </w:rPr>
        <w:t>Jurnal Reviu Akuntansi Dan Keuangan</w:t>
      </w:r>
      <w:r w:rsidRPr="00C31A83">
        <w:rPr>
          <w:rFonts w:ascii="Times New Roman" w:hAnsi="Times New Roman" w:cs="Times New Roman"/>
          <w:noProof/>
        </w:rPr>
        <w:t xml:space="preserve">, </w:t>
      </w:r>
      <w:r w:rsidRPr="00C31A83">
        <w:rPr>
          <w:rFonts w:ascii="Times New Roman" w:hAnsi="Times New Roman" w:cs="Times New Roman"/>
          <w:i/>
          <w:iCs/>
          <w:noProof/>
        </w:rPr>
        <w:t>14</w:t>
      </w:r>
      <w:r w:rsidRPr="00C31A83">
        <w:rPr>
          <w:rFonts w:ascii="Times New Roman" w:hAnsi="Times New Roman" w:cs="Times New Roman"/>
          <w:noProof/>
        </w:rPr>
        <w:t>(1), 19–36. https://doi.org/10.22219/jrak.v14i1.28986</w:t>
      </w:r>
    </w:p>
    <w:p w14:paraId="37D2ACD2"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Gamar, M. F. Al, &amp; Widoretno, A. A. (2024). Keberlanjutan : Jurnal Manajemen dan Jurnal Akuntansi accounting on the firm value of Indonesia energy companies. </w:t>
      </w:r>
      <w:r w:rsidRPr="00C31A83">
        <w:rPr>
          <w:rFonts w:ascii="Times New Roman" w:hAnsi="Times New Roman" w:cs="Times New Roman"/>
          <w:i/>
          <w:iCs/>
          <w:noProof/>
        </w:rPr>
        <w:t>Keberlanjutan : Jurnal Manajemen Dan Jurnal Akuntansi</w:t>
      </w:r>
      <w:r w:rsidRPr="00C31A83">
        <w:rPr>
          <w:rFonts w:ascii="Times New Roman" w:hAnsi="Times New Roman" w:cs="Times New Roman"/>
          <w:noProof/>
        </w:rPr>
        <w:t xml:space="preserve">, </w:t>
      </w:r>
      <w:r w:rsidRPr="00C31A83">
        <w:rPr>
          <w:rFonts w:ascii="Times New Roman" w:hAnsi="Times New Roman" w:cs="Times New Roman"/>
          <w:i/>
          <w:iCs/>
          <w:noProof/>
        </w:rPr>
        <w:t>9</w:t>
      </w:r>
      <w:r w:rsidRPr="00C31A83">
        <w:rPr>
          <w:rFonts w:ascii="Times New Roman" w:hAnsi="Times New Roman" w:cs="Times New Roman"/>
          <w:noProof/>
        </w:rPr>
        <w:t>(1), 1–12. https://doi.org/10.32493/keberlanjutan.v9i1.y2024.p1-12%0Ahttps://openjournal.unpam.ac.id/index.php/keberlanjutan/article/view/39813/19993</w:t>
      </w:r>
    </w:p>
    <w:p w14:paraId="283CC00B"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i/>
          <w:iCs/>
          <w:noProof/>
        </w:rPr>
        <w:t>GRI - Home</w:t>
      </w:r>
      <w:r w:rsidRPr="00C31A83">
        <w:rPr>
          <w:rFonts w:ascii="Times New Roman" w:hAnsi="Times New Roman" w:cs="Times New Roman"/>
          <w:noProof/>
        </w:rPr>
        <w:t>. (n.d.).</w:t>
      </w:r>
    </w:p>
    <w:p w14:paraId="3DA031F9"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Jaenudin, J., Ruhiyat, E., &amp; Sugiyanto, S. (2025). Factors Affecting Carbon Emission Disclosure: Good Corporate Governance As a Moderating Variable. </w:t>
      </w:r>
      <w:r w:rsidRPr="00C31A83">
        <w:rPr>
          <w:rFonts w:ascii="Times New Roman" w:hAnsi="Times New Roman" w:cs="Times New Roman"/>
          <w:i/>
          <w:iCs/>
          <w:noProof/>
        </w:rPr>
        <w:t>EKUITAS (Jurnal Ekonomi Dan Keuangan)</w:t>
      </w:r>
      <w:r w:rsidRPr="00C31A83">
        <w:rPr>
          <w:rFonts w:ascii="Times New Roman" w:hAnsi="Times New Roman" w:cs="Times New Roman"/>
          <w:noProof/>
        </w:rPr>
        <w:t xml:space="preserve">, </w:t>
      </w:r>
      <w:r w:rsidRPr="00C31A83">
        <w:rPr>
          <w:rFonts w:ascii="Times New Roman" w:hAnsi="Times New Roman" w:cs="Times New Roman"/>
          <w:i/>
          <w:iCs/>
          <w:noProof/>
        </w:rPr>
        <w:t>8</w:t>
      </w:r>
      <w:r w:rsidRPr="00C31A83">
        <w:rPr>
          <w:rFonts w:ascii="Times New Roman" w:hAnsi="Times New Roman" w:cs="Times New Roman"/>
          <w:noProof/>
        </w:rPr>
        <w:t>(4), 613–631. https://doi.org/10.24034/j25485024.y2024.v8.i4.6670</w:t>
      </w:r>
    </w:p>
    <w:p w14:paraId="45A9FE57"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KPMG. (2024). </w:t>
      </w:r>
      <w:r w:rsidRPr="00C31A83">
        <w:rPr>
          <w:rFonts w:ascii="Times New Roman" w:hAnsi="Times New Roman" w:cs="Times New Roman"/>
          <w:i/>
          <w:iCs/>
          <w:noProof/>
        </w:rPr>
        <w:t>The move to mandatory sustainability reporting</w:t>
      </w:r>
      <w:r w:rsidRPr="00C31A83">
        <w:rPr>
          <w:rFonts w:ascii="Times New Roman" w:hAnsi="Times New Roman" w:cs="Times New Roman"/>
          <w:noProof/>
        </w:rPr>
        <w:t>. https://kpmg.com</w:t>
      </w:r>
    </w:p>
    <w:p w14:paraId="258F2420"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Luthfiani, N. Z., Putri, A., &amp; Meila, K. D. (2026). </w:t>
      </w:r>
      <w:r w:rsidRPr="00C31A83">
        <w:rPr>
          <w:rFonts w:ascii="Times New Roman" w:hAnsi="Times New Roman" w:cs="Times New Roman"/>
          <w:i/>
          <w:iCs/>
          <w:noProof/>
        </w:rPr>
        <w:t>Pengaruh Green Investment dan Good Corporate Governance terhadap Pengungkapan Emisi Karbon Program Studi Akuntansi , Universitas Informatika dan Bisnis Indonesia , Indonesia Rencana Aksi Nasional Penuruanan Emisi Gas Rumah Kaca dan Peraturan Presiden No .</w:t>
      </w:r>
      <w:r w:rsidRPr="00C31A83">
        <w:rPr>
          <w:rFonts w:ascii="Times New Roman" w:hAnsi="Times New Roman" w:cs="Times New Roman"/>
          <w:noProof/>
        </w:rPr>
        <w:t xml:space="preserve"> </w:t>
      </w:r>
      <w:r w:rsidRPr="00C31A83">
        <w:rPr>
          <w:rFonts w:ascii="Times New Roman" w:hAnsi="Times New Roman" w:cs="Times New Roman"/>
          <w:i/>
          <w:iCs/>
          <w:noProof/>
        </w:rPr>
        <w:t>6</w:t>
      </w:r>
      <w:r w:rsidRPr="00C31A83">
        <w:rPr>
          <w:rFonts w:ascii="Times New Roman" w:hAnsi="Times New Roman" w:cs="Times New Roman"/>
          <w:noProof/>
        </w:rPr>
        <w:t>(November 2025).</w:t>
      </w:r>
    </w:p>
    <w:p w14:paraId="7F69B544"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Meidhita Alauddin, A. A., Tenriwaru, &amp; Nurafifah Ibrahim, F. (2025). Pengungkapan Lingkungan, Sosial, Dan Tata Kelola Terhadap Nilai Perusahaan Dengan Pengungkapan Emisi Karbon Sebagai Variabel Moderasi (Studi Pada Perusahaan Pertambangan Yang Terdaftar Di Bursa Efek Indonesia). </w:t>
      </w:r>
      <w:r w:rsidRPr="00C31A83">
        <w:rPr>
          <w:rFonts w:ascii="Times New Roman" w:hAnsi="Times New Roman" w:cs="Times New Roman"/>
          <w:i/>
          <w:iCs/>
          <w:noProof/>
        </w:rPr>
        <w:t>Jurnal Akun Nabelo : Jurnal Akuntansi Netral, Akuntabel, Objektif</w:t>
      </w:r>
      <w:r w:rsidRPr="00C31A83">
        <w:rPr>
          <w:rFonts w:ascii="Times New Roman" w:hAnsi="Times New Roman" w:cs="Times New Roman"/>
          <w:noProof/>
        </w:rPr>
        <w:t xml:space="preserve">, </w:t>
      </w:r>
      <w:r w:rsidRPr="00C31A83">
        <w:rPr>
          <w:rFonts w:ascii="Times New Roman" w:hAnsi="Times New Roman" w:cs="Times New Roman"/>
          <w:i/>
          <w:iCs/>
          <w:noProof/>
        </w:rPr>
        <w:t>7</w:t>
      </w:r>
      <w:r w:rsidRPr="00C31A83">
        <w:rPr>
          <w:rFonts w:ascii="Times New Roman" w:hAnsi="Times New Roman" w:cs="Times New Roman"/>
          <w:noProof/>
        </w:rPr>
        <w:t>(1), 1176–1195. https://doi.org/10.11594/untad.jan.7.1.24713</w:t>
      </w:r>
    </w:p>
    <w:p w14:paraId="155BE326"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Mulya, F. A., &amp; Rohman, A. (2020). Analisis Pengaruh Tipe Industri, Ukuran Perusahaan, Profitabilitas, Leverage dan Tata Kelola Perusahaan Terhadap Carbon Emission Discloure. </w:t>
      </w:r>
      <w:r w:rsidRPr="00C31A83">
        <w:rPr>
          <w:rFonts w:ascii="Times New Roman" w:hAnsi="Times New Roman" w:cs="Times New Roman"/>
          <w:i/>
          <w:iCs/>
          <w:noProof/>
        </w:rPr>
        <w:t>Diponegoro Journal of Accounting</w:t>
      </w:r>
      <w:r w:rsidRPr="00C31A83">
        <w:rPr>
          <w:rFonts w:ascii="Times New Roman" w:hAnsi="Times New Roman" w:cs="Times New Roman"/>
          <w:noProof/>
        </w:rPr>
        <w:t xml:space="preserve">, </w:t>
      </w:r>
      <w:r w:rsidRPr="00C31A83">
        <w:rPr>
          <w:rFonts w:ascii="Times New Roman" w:hAnsi="Times New Roman" w:cs="Times New Roman"/>
          <w:i/>
          <w:iCs/>
          <w:noProof/>
        </w:rPr>
        <w:t>9</w:t>
      </w:r>
      <w:r w:rsidRPr="00C31A83">
        <w:rPr>
          <w:rFonts w:ascii="Times New Roman" w:hAnsi="Times New Roman" w:cs="Times New Roman"/>
          <w:noProof/>
        </w:rPr>
        <w:t>(4), 1–12.</w:t>
      </w:r>
    </w:p>
    <w:p w14:paraId="0125DC96"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Nursulistyo, E. D., Aryani, Y. A., &amp; Bandi, B. (2022). The Disclosure of Carbon Emission in Indonesia: A Systematic Literature Review. </w:t>
      </w:r>
      <w:r w:rsidRPr="00C31A83">
        <w:rPr>
          <w:rFonts w:ascii="Times New Roman" w:hAnsi="Times New Roman" w:cs="Times New Roman"/>
          <w:i/>
          <w:iCs/>
          <w:noProof/>
        </w:rPr>
        <w:t>Jurnal Dinamika Akuntansi Dan Bisnis</w:t>
      </w:r>
      <w:r w:rsidRPr="00C31A83">
        <w:rPr>
          <w:rFonts w:ascii="Times New Roman" w:hAnsi="Times New Roman" w:cs="Times New Roman"/>
          <w:noProof/>
        </w:rPr>
        <w:t xml:space="preserve">, </w:t>
      </w:r>
      <w:r w:rsidRPr="00C31A83">
        <w:rPr>
          <w:rFonts w:ascii="Times New Roman" w:hAnsi="Times New Roman" w:cs="Times New Roman"/>
          <w:i/>
          <w:iCs/>
          <w:noProof/>
        </w:rPr>
        <w:t>10</w:t>
      </w:r>
      <w:r w:rsidRPr="00C31A83">
        <w:rPr>
          <w:rFonts w:ascii="Times New Roman" w:hAnsi="Times New Roman" w:cs="Times New Roman"/>
          <w:noProof/>
        </w:rPr>
        <w:t>(1), 1–18. https://doi.org/10.24815/jdab.v10i1.27974</w:t>
      </w:r>
    </w:p>
    <w:p w14:paraId="248C0750"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Oktavia, R., &amp; Murtanto. (2026). </w:t>
      </w:r>
      <w:r w:rsidRPr="00C31A83">
        <w:rPr>
          <w:rFonts w:ascii="Times New Roman" w:hAnsi="Times New Roman" w:cs="Times New Roman"/>
          <w:i/>
          <w:iCs/>
          <w:noProof/>
        </w:rPr>
        <w:t>Jurnal Inovasi Akuntansi dan Keuangan Jurnal Inovasi Akuntansi dan Keuangan</w:t>
      </w:r>
      <w:r w:rsidRPr="00C31A83">
        <w:rPr>
          <w:rFonts w:ascii="Times New Roman" w:hAnsi="Times New Roman" w:cs="Times New Roman"/>
          <w:noProof/>
        </w:rPr>
        <w:t xml:space="preserve">. </w:t>
      </w:r>
      <w:r w:rsidRPr="00C31A83">
        <w:rPr>
          <w:rFonts w:ascii="Times New Roman" w:hAnsi="Times New Roman" w:cs="Times New Roman"/>
          <w:i/>
          <w:iCs/>
          <w:noProof/>
        </w:rPr>
        <w:t>6</w:t>
      </w:r>
      <w:r w:rsidRPr="00C31A83">
        <w:rPr>
          <w:rFonts w:ascii="Times New Roman" w:hAnsi="Times New Roman" w:cs="Times New Roman"/>
          <w:noProof/>
        </w:rPr>
        <w:t>(2), 29–39.</w:t>
      </w:r>
    </w:p>
    <w:p w14:paraId="2B0150F8"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Pratiwi, S. M., Suryanti, L., Indrianty, L., &amp; Wanialisa, M. (2024). Pengaruh Pengungkapan Emisi Karbon, Kinerja Lingkungan dan SR Terhadap Nilai Perusahaan (Pada Perusahaan Basic Material Yang Terdaftar di BEI Periode 2020-2023). </w:t>
      </w:r>
      <w:r w:rsidRPr="00C31A83">
        <w:rPr>
          <w:rFonts w:ascii="Times New Roman" w:hAnsi="Times New Roman" w:cs="Times New Roman"/>
          <w:i/>
          <w:iCs/>
          <w:noProof/>
        </w:rPr>
        <w:t>Ikraith-Ekonomika</w:t>
      </w:r>
      <w:r w:rsidRPr="00C31A83">
        <w:rPr>
          <w:rFonts w:ascii="Times New Roman" w:hAnsi="Times New Roman" w:cs="Times New Roman"/>
          <w:noProof/>
        </w:rPr>
        <w:t xml:space="preserve">, </w:t>
      </w:r>
      <w:r w:rsidRPr="00C31A83">
        <w:rPr>
          <w:rFonts w:ascii="Times New Roman" w:hAnsi="Times New Roman" w:cs="Times New Roman"/>
          <w:i/>
          <w:iCs/>
          <w:noProof/>
        </w:rPr>
        <w:t>8</w:t>
      </w:r>
      <w:r w:rsidRPr="00C31A83">
        <w:rPr>
          <w:rFonts w:ascii="Times New Roman" w:hAnsi="Times New Roman" w:cs="Times New Roman"/>
          <w:noProof/>
        </w:rPr>
        <w:t>(2), 181–191. https://doi.org/10.37817/ikraith-ekonomika.v8i2.4317</w:t>
      </w:r>
    </w:p>
    <w:p w14:paraId="6C8C1551" w14:textId="77777777" w:rsidR="00C31A83" w:rsidRPr="00C31A83" w:rsidRDefault="00C31A83" w:rsidP="00607EBC">
      <w:pPr>
        <w:widowControl w:val="0"/>
        <w:autoSpaceDE w:val="0"/>
        <w:autoSpaceDN w:val="0"/>
        <w:adjustRightInd w:val="0"/>
        <w:spacing w:after="0" w:line="240" w:lineRule="auto"/>
        <w:ind w:left="480" w:hanging="480"/>
        <w:rPr>
          <w:rFonts w:ascii="Times New Roman" w:hAnsi="Times New Roman" w:cs="Times New Roman"/>
          <w:noProof/>
        </w:rPr>
      </w:pPr>
      <w:r w:rsidRPr="00C31A83">
        <w:rPr>
          <w:rFonts w:ascii="Times New Roman" w:hAnsi="Times New Roman" w:cs="Times New Roman"/>
          <w:noProof/>
        </w:rPr>
        <w:t xml:space="preserve">Sari, M. P. Y., &amp; Marsono. (2013). Pengaruh Kinerja Keuangan, Ukuran Perusahaan dan Corporate Governance Terhadap Pengungkapan Sustainability Report. </w:t>
      </w:r>
      <w:r w:rsidRPr="00C31A83">
        <w:rPr>
          <w:rFonts w:ascii="Times New Roman" w:hAnsi="Times New Roman" w:cs="Times New Roman"/>
          <w:i/>
          <w:iCs/>
          <w:noProof/>
        </w:rPr>
        <w:t>Diponegoro Journal of Accounting</w:t>
      </w:r>
      <w:r w:rsidRPr="00C31A83">
        <w:rPr>
          <w:rFonts w:ascii="Times New Roman" w:hAnsi="Times New Roman" w:cs="Times New Roman"/>
          <w:noProof/>
        </w:rPr>
        <w:t xml:space="preserve">, </w:t>
      </w:r>
      <w:r w:rsidRPr="00C31A83">
        <w:rPr>
          <w:rFonts w:ascii="Times New Roman" w:hAnsi="Times New Roman" w:cs="Times New Roman"/>
          <w:i/>
          <w:iCs/>
          <w:noProof/>
        </w:rPr>
        <w:t>2</w:t>
      </w:r>
      <w:r w:rsidRPr="00C31A83">
        <w:rPr>
          <w:rFonts w:ascii="Times New Roman" w:hAnsi="Times New Roman" w:cs="Times New Roman"/>
          <w:noProof/>
        </w:rPr>
        <w:t>(3), 1–10.</w:t>
      </w:r>
    </w:p>
    <w:p w14:paraId="3BFE9C99" w14:textId="75763B56" w:rsidR="00756DF6" w:rsidRPr="00C31A83" w:rsidRDefault="00C31A83" w:rsidP="00607EBC">
      <w:pPr>
        <w:spacing w:after="0" w:line="240" w:lineRule="auto"/>
        <w:jc w:val="both"/>
        <w:rPr>
          <w:rFonts w:ascii="Times New Roman" w:eastAsia="Times New Roman" w:hAnsi="Times New Roman" w:cs="Times New Roman"/>
        </w:rPr>
      </w:pPr>
      <w:r w:rsidRPr="00C31A83">
        <w:rPr>
          <w:rFonts w:ascii="Times New Roman" w:eastAsia="Times New Roman" w:hAnsi="Times New Roman" w:cs="Times New Roman"/>
        </w:rPr>
        <w:fldChar w:fldCharType="end"/>
      </w:r>
      <w:r w:rsidR="00000000" w:rsidRPr="00C31A83">
        <w:rPr>
          <w:rFonts w:ascii="Times New Roman" w:eastAsia="Times New Roman" w:hAnsi="Times New Roman" w:cs="Times New Roman"/>
        </w:rPr>
        <w:t xml:space="preserve"> </w:t>
      </w:r>
    </w:p>
    <w:sectPr w:rsidR="00756DF6" w:rsidRPr="00C31A83">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9EF6" w14:textId="77777777" w:rsidR="00FD52D8" w:rsidRDefault="00FD52D8">
      <w:pPr>
        <w:spacing w:after="0" w:line="240" w:lineRule="auto"/>
      </w:pPr>
      <w:r>
        <w:separator/>
      </w:r>
    </w:p>
  </w:endnote>
  <w:endnote w:type="continuationSeparator" w:id="0">
    <w:p w14:paraId="408C0B7F" w14:textId="77777777" w:rsidR="00FD52D8" w:rsidRDefault="00FD5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5AB4768-6011-484F-BD03-91493F21E01E}"/>
    <w:embedBold r:id="rId2" w:fontKey="{90378917-AE67-4252-910A-4DC963CD6E2E}"/>
    <w:embedItalic r:id="rId3" w:fontKey="{769BF542-356F-420C-9981-2FE3DE98BC2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17FCAD0-5777-4617-90C6-1B779CC534D7}"/>
  </w:font>
  <w:font w:name="Century Schoolbook">
    <w:panose1 w:val="02040604050505020304"/>
    <w:charset w:val="00"/>
    <w:family w:val="roman"/>
    <w:pitch w:val="variable"/>
    <w:sig w:usb0="00000287" w:usb1="00000000" w:usb2="00000000" w:usb3="00000000" w:csb0="0000009F" w:csb1="00000000"/>
    <w:embedBold r:id="rId5" w:fontKey="{929CEA73-39D3-4657-ADE0-DCE9D7B5E703}"/>
  </w:font>
  <w:font w:name="Sorts Mill Goudy">
    <w:charset w:val="00"/>
    <w:family w:val="auto"/>
    <w:pitch w:val="default"/>
    <w:embedRegular r:id="rId6" w:fontKey="{6E94ED4E-9AFE-43E2-8220-EB15A6ADEE0E}"/>
    <w:embedBold r:id="rId7" w:fontKey="{1C59CF90-D24C-4A19-8DA2-421F92AEEC03}"/>
    <w:embedItalic r:id="rId8" w:fontKey="{F4B5A64C-9867-4A98-B285-9560A11353EB}"/>
    <w:embedBoldItalic r:id="rId9" w:fontKey="{4AB3DC70-8882-4948-B3C9-AF989AD2BDCD}"/>
  </w:font>
  <w:font w:name="Palatino Linotype">
    <w:panose1 w:val="02040502050505030304"/>
    <w:charset w:val="00"/>
    <w:family w:val="roman"/>
    <w:pitch w:val="variable"/>
    <w:sig w:usb0="E0000287" w:usb1="40000013" w:usb2="00000000" w:usb3="00000000" w:csb0="0000019F" w:csb1="00000000"/>
    <w:embedRegular r:id="rId10" w:fontKey="{6627D988-FE35-49ED-8B1D-9B3DABE2322D}"/>
    <w:embedBold r:id="rId11" w:fontKey="{011CC541-FABA-4CCB-BE8C-3987074D4D4B}"/>
    <w:embedItalic r:id="rId12" w:fontKey="{AB96659A-C7F7-4748-8CF1-8D0BE353C7BF}"/>
    <w:embedBoldItalic r:id="rId13" w:fontKey="{CE8CA397-A4C4-4BC4-A2B3-C2F5B9127ACF}"/>
  </w:font>
  <w:font w:name="Cambria Math">
    <w:panose1 w:val="02040503050406030204"/>
    <w:charset w:val="00"/>
    <w:family w:val="roman"/>
    <w:pitch w:val="variable"/>
    <w:sig w:usb0="E00006FF" w:usb1="420024FF" w:usb2="02000000" w:usb3="00000000" w:csb0="0000019F" w:csb1="00000000"/>
    <w:embedRegular r:id="rId14" w:fontKey="{67EEDD2F-494A-40F8-814F-7BF785885927}"/>
    <w:embedItalic r:id="rId15" w:fontKey="{B1D723CD-99F3-4A98-B349-79987D28F10B}"/>
  </w:font>
  <w:font w:name="Cambria">
    <w:panose1 w:val="02040503050406030204"/>
    <w:charset w:val="00"/>
    <w:family w:val="roman"/>
    <w:pitch w:val="variable"/>
    <w:sig w:usb0="E00006FF" w:usb1="420024FF" w:usb2="02000000" w:usb3="00000000" w:csb0="0000019F" w:csb1="00000000"/>
    <w:embedRegular r:id="rId16" w:fontKey="{EB841AF9-222B-4A51-B1D5-7D5B2BB948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55D5" w14:textId="77777777" w:rsidR="00756DF6" w:rsidRDefault="00756DF6">
    <w:pPr>
      <w:pBdr>
        <w:top w:val="nil"/>
        <w:left w:val="nil"/>
        <w:bottom w:val="nil"/>
        <w:right w:val="nil"/>
        <w:between w:val="nil"/>
      </w:pBdr>
      <w:tabs>
        <w:tab w:val="center" w:pos="4680"/>
        <w:tab w:val="right" w:pos="9360"/>
      </w:tabs>
      <w:spacing w:after="0" w:line="240" w:lineRule="auto"/>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13F1" w14:textId="77777777" w:rsidR="00756DF6" w:rsidRDefault="00000000">
    <w:pPr>
      <w:pBdr>
        <w:top w:val="nil"/>
        <w:left w:val="nil"/>
        <w:bottom w:val="nil"/>
        <w:right w:val="nil"/>
        <w:between w:val="nil"/>
      </w:pBdr>
      <w:tabs>
        <w:tab w:val="center" w:pos="4680"/>
        <w:tab w:val="right" w:pos="9360"/>
        <w:tab w:val="right" w:pos="9000"/>
      </w:tabs>
      <w:spacing w:after="0" w:line="240" w:lineRule="auto"/>
      <w:ind w:right="26"/>
      <w:jc w:val="right"/>
      <w:rPr>
        <w:color w:val="000000"/>
      </w:rPr>
    </w:pPr>
    <w:r>
      <w:rPr>
        <w:color w:val="000000"/>
      </w:rPr>
      <w:fldChar w:fldCharType="begin"/>
    </w:r>
    <w:r>
      <w:rPr>
        <w:color w:val="000000"/>
      </w:rPr>
      <w:instrText>PAGE</w:instrText>
    </w:r>
    <w:r>
      <w:rPr>
        <w:color w:val="000000"/>
      </w:rPr>
      <w:fldChar w:fldCharType="separate"/>
    </w:r>
    <w:r w:rsidR="00E616C5">
      <w:rPr>
        <w:noProof/>
        <w:color w:val="000000"/>
      </w:rPr>
      <w:t>1</w:t>
    </w:r>
    <w:r>
      <w:rPr>
        <w:color w:val="000000"/>
      </w:rPr>
      <w:fldChar w:fldCharType="end"/>
    </w:r>
    <w:r>
      <w:rPr>
        <w:noProof/>
      </w:rPr>
      <w:drawing>
        <wp:anchor distT="0" distB="0" distL="0" distR="0" simplePos="0" relativeHeight="251659264" behindDoc="1" locked="0" layoutInCell="1" hidden="0" allowOverlap="1" wp14:anchorId="6150175F" wp14:editId="589D892D">
          <wp:simplePos x="0" y="0"/>
          <wp:positionH relativeFrom="column">
            <wp:posOffset>45720</wp:posOffset>
          </wp:positionH>
          <wp:positionV relativeFrom="paragraph">
            <wp:posOffset>-116838</wp:posOffset>
          </wp:positionV>
          <wp:extent cx="5861050" cy="45275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61050" cy="452755"/>
                  </a:xfrm>
                  <a:prstGeom prst="rect">
                    <a:avLst/>
                  </a:prstGeom>
                  <a:ln/>
                </pic:spPr>
              </pic:pic>
            </a:graphicData>
          </a:graphic>
        </wp:anchor>
      </w:drawing>
    </w:r>
  </w:p>
  <w:p w14:paraId="4985C66A" w14:textId="77777777" w:rsidR="00756DF6" w:rsidRDefault="00756DF6">
    <w:pPr>
      <w:pBdr>
        <w:top w:val="nil"/>
        <w:left w:val="nil"/>
        <w:bottom w:val="nil"/>
        <w:right w:val="nil"/>
        <w:between w:val="nil"/>
      </w:pBdr>
      <w:tabs>
        <w:tab w:val="center" w:pos="4680"/>
        <w:tab w:val="right" w:pos="9360"/>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2BE4" w14:textId="77777777" w:rsidR="00756DF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6017E48" w14:textId="77777777" w:rsidR="00756DF6" w:rsidRDefault="00756DF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F8F8" w14:textId="77777777" w:rsidR="00FD52D8" w:rsidRDefault="00FD52D8">
      <w:pPr>
        <w:spacing w:after="0" w:line="240" w:lineRule="auto"/>
      </w:pPr>
      <w:r>
        <w:separator/>
      </w:r>
    </w:p>
  </w:footnote>
  <w:footnote w:type="continuationSeparator" w:id="0">
    <w:p w14:paraId="2C8A1EAC" w14:textId="77777777" w:rsidR="00FD52D8" w:rsidRDefault="00FD5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680C" w14:textId="77777777" w:rsidR="00756DF6" w:rsidRDefault="00000000">
    <w:pPr>
      <w:pBdr>
        <w:top w:val="nil"/>
        <w:left w:val="nil"/>
        <w:bottom w:val="nil"/>
        <w:right w:val="nil"/>
        <w:between w:val="nil"/>
      </w:pBdr>
      <w:tabs>
        <w:tab w:val="center" w:pos="4680"/>
        <w:tab w:val="right" w:pos="9360"/>
      </w:tabs>
      <w:spacing w:after="0" w:line="240" w:lineRule="auto"/>
      <w:jc w:val="center"/>
      <w:rPr>
        <w:rFonts w:ascii="Century Schoolbook" w:eastAsia="Century Schoolbook" w:hAnsi="Century Schoolbook" w:cs="Century Schoolbook"/>
        <w:b/>
        <w:bCs/>
        <w:color w:val="000000"/>
        <w:sz w:val="40"/>
        <w:szCs w:val="40"/>
      </w:rPr>
    </w:pPr>
    <w:r>
      <w:rPr>
        <w:rFonts w:ascii="Century Schoolbook" w:eastAsia="Century Schoolbook" w:hAnsi="Century Schoolbook" w:cs="Century Schoolbook"/>
        <w:b/>
        <w:bCs/>
        <w:color w:val="000000"/>
        <w:sz w:val="40"/>
        <w:szCs w:val="40"/>
      </w:rPr>
      <w:t>WORKSHEET : Jurnal Akuntansi</w:t>
    </w:r>
  </w:p>
  <w:p w14:paraId="5CF3826D" w14:textId="77777777" w:rsidR="00756DF6" w:rsidRDefault="00756DF6">
    <w:pPr>
      <w:pBdr>
        <w:top w:val="nil"/>
        <w:left w:val="nil"/>
        <w:bottom w:val="nil"/>
        <w:right w:val="nil"/>
        <w:between w:val="nil"/>
      </w:pBdr>
      <w:tabs>
        <w:tab w:val="center" w:pos="4680"/>
        <w:tab w:val="right" w:pos="9360"/>
      </w:tabs>
      <w:spacing w:after="0" w:line="240" w:lineRule="auto"/>
      <w:jc w:val="center"/>
      <w:rPr>
        <w:rFonts w:ascii="Century Schoolbook" w:eastAsia="Century Schoolbook" w:hAnsi="Century Schoolbook" w:cs="Century Schoolbook"/>
        <w:b/>
        <w:bCs/>
        <w:color w:val="000000"/>
        <w:sz w:val="18"/>
        <w:szCs w:val="18"/>
      </w:rPr>
    </w:pPr>
  </w:p>
  <w:p w14:paraId="04DF8949" w14:textId="77777777" w:rsidR="00756DF6" w:rsidRDefault="00000000">
    <w:pPr>
      <w:pBdr>
        <w:top w:val="nil"/>
        <w:left w:val="nil"/>
        <w:bottom w:val="nil"/>
        <w:right w:val="nil"/>
        <w:between w:val="nil"/>
      </w:pBdr>
      <w:tabs>
        <w:tab w:val="center" w:pos="4680"/>
        <w:tab w:val="right" w:pos="9360"/>
      </w:tabs>
      <w:spacing w:after="0" w:line="240" w:lineRule="auto"/>
      <w:rPr>
        <w:rFonts w:ascii="Sorts Mill Goudy" w:eastAsia="Sorts Mill Goudy" w:hAnsi="Sorts Mill Goudy" w:cs="Sorts Mill Goudy"/>
        <w:color w:val="000000"/>
        <w:sz w:val="18"/>
        <w:szCs w:val="18"/>
      </w:rPr>
    </w:pPr>
    <w:r>
      <w:rPr>
        <w:rFonts w:ascii="Sorts Mill Goudy" w:eastAsia="Sorts Mill Goudy" w:hAnsi="Sorts Mill Goudy" w:cs="Sorts Mill Goudy"/>
        <w:color w:val="000000"/>
        <w:sz w:val="18"/>
        <w:szCs w:val="18"/>
      </w:rPr>
      <w:t>Fakultas Ekonomi dan Bisnis Universitas Dharmawangsa</w:t>
    </w:r>
  </w:p>
  <w:p w14:paraId="0EA26866" w14:textId="77777777" w:rsidR="00756DF6" w:rsidRDefault="00000000">
    <w:pPr>
      <w:pBdr>
        <w:top w:val="nil"/>
        <w:left w:val="nil"/>
        <w:bottom w:val="nil"/>
        <w:right w:val="nil"/>
        <w:between w:val="nil"/>
      </w:pBdr>
      <w:tabs>
        <w:tab w:val="center" w:pos="4680"/>
        <w:tab w:val="right" w:pos="9360"/>
      </w:tabs>
      <w:spacing w:after="0" w:line="240" w:lineRule="auto"/>
      <w:rPr>
        <w:rFonts w:ascii="Sorts Mill Goudy" w:eastAsia="Sorts Mill Goudy" w:hAnsi="Sorts Mill Goudy" w:cs="Sorts Mill Goudy"/>
        <w:color w:val="000000"/>
        <w:sz w:val="18"/>
        <w:szCs w:val="18"/>
      </w:rPr>
    </w:pPr>
    <w:r>
      <w:rPr>
        <w:rFonts w:ascii="Sorts Mill Goudy" w:eastAsia="Sorts Mill Goudy" w:hAnsi="Sorts Mill Goudy" w:cs="Sorts Mill Goudy"/>
        <w:color w:val="000000"/>
        <w:sz w:val="18"/>
        <w:szCs w:val="18"/>
      </w:rPr>
      <w:t>ISSN (Print): 2808 – 8557 ISSN (Online): 2808 – 8573</w:t>
    </w:r>
  </w:p>
  <w:p w14:paraId="078BD159" w14:textId="77777777" w:rsidR="00756DF6" w:rsidRDefault="00000000">
    <w:pPr>
      <w:pBdr>
        <w:top w:val="nil"/>
        <w:left w:val="nil"/>
        <w:bottom w:val="single" w:sz="18" w:space="1" w:color="000000"/>
        <w:right w:val="nil"/>
        <w:between w:val="nil"/>
      </w:pBdr>
      <w:tabs>
        <w:tab w:val="center" w:pos="4680"/>
        <w:tab w:val="right" w:pos="9360"/>
        <w:tab w:val="center" w:pos="4890"/>
      </w:tabs>
      <w:spacing w:after="0" w:line="240" w:lineRule="auto"/>
      <w:rPr>
        <w:rFonts w:ascii="Sorts Mill Goudy" w:eastAsia="Sorts Mill Goudy" w:hAnsi="Sorts Mill Goudy" w:cs="Sorts Mill Goudy"/>
        <w:color w:val="000000"/>
        <w:sz w:val="18"/>
        <w:szCs w:val="18"/>
      </w:rPr>
    </w:pPr>
    <w:r>
      <w:rPr>
        <w:rFonts w:ascii="Sorts Mill Goudy" w:eastAsia="Sorts Mill Goudy" w:hAnsi="Sorts Mill Goudy" w:cs="Sorts Mill Goudy"/>
        <w:color w:val="000000"/>
        <w:sz w:val="18"/>
        <w:szCs w:val="18"/>
      </w:rPr>
      <w:t>Volume. xxx Nomor. Xxx, Fabruari 2022</w:t>
    </w:r>
  </w:p>
  <w:p w14:paraId="19EAF0F7" w14:textId="77777777" w:rsidR="00756DF6" w:rsidRDefault="00000000">
    <w:pPr>
      <w:pBdr>
        <w:top w:val="nil"/>
        <w:left w:val="nil"/>
        <w:bottom w:val="single" w:sz="18" w:space="1" w:color="000000"/>
        <w:right w:val="nil"/>
        <w:between w:val="nil"/>
      </w:pBdr>
      <w:tabs>
        <w:tab w:val="center" w:pos="4680"/>
        <w:tab w:val="right" w:pos="9360"/>
        <w:tab w:val="center" w:pos="4890"/>
      </w:tabs>
      <w:spacing w:after="0" w:line="240" w:lineRule="auto"/>
      <w:rPr>
        <w:rFonts w:ascii="Sorts Mill Goudy" w:eastAsia="Sorts Mill Goudy" w:hAnsi="Sorts Mill Goudy" w:cs="Sorts Mill Goudy"/>
        <w:color w:val="000000"/>
        <w:sz w:val="18"/>
        <w:szCs w:val="18"/>
      </w:rPr>
    </w:pPr>
    <w:r>
      <w:rPr>
        <w:noProof/>
      </w:rPr>
      <mc:AlternateContent>
        <mc:Choice Requires="wps">
          <w:drawing>
            <wp:anchor distT="0" distB="0" distL="114300" distR="114300" simplePos="0" relativeHeight="251658240" behindDoc="0" locked="0" layoutInCell="1" hidden="0" allowOverlap="1" wp14:anchorId="2AE7E97D" wp14:editId="1DF529C4">
              <wp:simplePos x="0" y="0"/>
              <wp:positionH relativeFrom="column">
                <wp:posOffset>-15238</wp:posOffset>
              </wp:positionH>
              <wp:positionV relativeFrom="paragraph">
                <wp:posOffset>106680</wp:posOffset>
              </wp:positionV>
              <wp:extent cx="577215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59925" y="3780000"/>
                        <a:ext cx="57721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-15238</wp:posOffset>
              </wp:positionH>
              <wp:positionV relativeFrom="paragraph">
                <wp:posOffset>106680</wp:posOffset>
              </wp:positionV>
              <wp:extent cx="5772150" cy="12700"/>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772150" cy="12700"/>
                      </a:xfrm>
                      <a:prstGeom prst="rect"/>
                      <a:ln/>
                    </pic:spPr>
                  </pic:pic>
                </a:graphicData>
              </a:graphic>
            </wp:anchor>
          </w:drawing>
        </mc:Fallback>
      </mc:AlternateContent>
    </w:r>
  </w:p>
  <w:p w14:paraId="652AFEF5" w14:textId="77777777" w:rsidR="00756DF6" w:rsidRDefault="00756DF6">
    <w:pPr>
      <w:pBdr>
        <w:top w:val="nil"/>
        <w:left w:val="nil"/>
        <w:bottom w:val="nil"/>
        <w:right w:val="nil"/>
        <w:between w:val="nil"/>
      </w:pBdr>
      <w:tabs>
        <w:tab w:val="center" w:pos="4680"/>
        <w:tab w:val="right" w:pos="9360"/>
      </w:tabs>
      <w:spacing w:after="0" w:line="240" w:lineRule="auto"/>
      <w:jc w:val="right"/>
      <w:rPr>
        <w:rFonts w:ascii="Sorts Mill Goudy" w:eastAsia="Sorts Mill Goudy" w:hAnsi="Sorts Mill Goudy" w:cs="Sorts Mill Goudy"/>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A060" w14:textId="77777777" w:rsidR="00756DF6" w:rsidRDefault="00756DF6">
    <w:pPr>
      <w:widowControl w:val="0"/>
      <w:pBdr>
        <w:top w:val="nil"/>
        <w:left w:val="nil"/>
        <w:bottom w:val="nil"/>
        <w:right w:val="nil"/>
        <w:between w:val="nil"/>
      </w:pBdr>
      <w:spacing w:after="0"/>
      <w:rPr>
        <w:rFonts w:ascii="Sorts Mill Goudy" w:eastAsia="Sorts Mill Goudy" w:hAnsi="Sorts Mill Goudy" w:cs="Sorts Mill Goudy"/>
        <w:color w:val="000000"/>
        <w:sz w:val="18"/>
        <w:szCs w:val="18"/>
      </w:rPr>
    </w:pPr>
  </w:p>
  <w:tbl>
    <w:tblPr>
      <w:tblStyle w:val="a4"/>
      <w:tblW w:w="9641"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513"/>
      <w:gridCol w:w="2128"/>
    </w:tblGrid>
    <w:tr w:rsidR="00756DF6" w14:paraId="13F42038" w14:textId="77777777">
      <w:tc>
        <w:tcPr>
          <w:tcW w:w="7513" w:type="dxa"/>
        </w:tcPr>
        <w:p w14:paraId="389072AB" w14:textId="77777777" w:rsidR="00756DF6" w:rsidRDefault="00000000">
          <w:pPr>
            <w:pBdr>
              <w:top w:val="nil"/>
              <w:left w:val="nil"/>
              <w:bottom w:val="nil"/>
              <w:right w:val="nil"/>
              <w:between w:val="nil"/>
            </w:pBdr>
            <w:tabs>
              <w:tab w:val="center" w:pos="4513"/>
              <w:tab w:val="center" w:pos="1171"/>
            </w:tabs>
            <w:jc w:val="right"/>
            <w:rPr>
              <w:rFonts w:ascii="Sorts Mill Goudy" w:eastAsia="Sorts Mill Goudy" w:hAnsi="Sorts Mill Goudy" w:cs="Sorts Mill Goudy"/>
              <w:b/>
              <w:bCs/>
              <w:i/>
              <w:iCs/>
              <w:color w:val="000000"/>
              <w:sz w:val="24"/>
              <w:szCs w:val="24"/>
            </w:rPr>
          </w:pPr>
          <w:r>
            <w:rPr>
              <w:rFonts w:ascii="Sorts Mill Goudy" w:eastAsia="Sorts Mill Goudy" w:hAnsi="Sorts Mill Goudy" w:cs="Sorts Mill Goudy"/>
              <w:color w:val="000000"/>
              <w:sz w:val="32"/>
              <w:szCs w:val="32"/>
            </w:rPr>
            <w:tab/>
          </w:r>
          <w:r>
            <w:rPr>
              <w:rFonts w:ascii="Sorts Mill Goudy" w:eastAsia="Sorts Mill Goudy" w:hAnsi="Sorts Mill Goudy" w:cs="Sorts Mill Goudy"/>
              <w:b/>
              <w:bCs/>
              <w:color w:val="000000"/>
              <w:sz w:val="28"/>
              <w:szCs w:val="28"/>
            </w:rPr>
            <w:t>WORKSHEET: Jurnal Akuntansi</w:t>
          </w:r>
        </w:p>
        <w:p w14:paraId="188BE443" w14:textId="77777777" w:rsidR="00756DF6" w:rsidRDefault="00000000">
          <w:pPr>
            <w:pBdr>
              <w:top w:val="nil"/>
              <w:left w:val="nil"/>
              <w:bottom w:val="nil"/>
              <w:right w:val="nil"/>
              <w:between w:val="nil"/>
            </w:pBdr>
            <w:tabs>
              <w:tab w:val="center" w:pos="4513"/>
              <w:tab w:val="right" w:pos="9026"/>
              <w:tab w:val="center" w:pos="1171"/>
              <w:tab w:val="right" w:pos="9070"/>
            </w:tabs>
            <w:ind w:hanging="178"/>
            <w:jc w:val="right"/>
            <w:rPr>
              <w:rFonts w:ascii="Sorts Mill Goudy" w:eastAsia="Sorts Mill Goudy" w:hAnsi="Sorts Mill Goudy" w:cs="Sorts Mill Goudy"/>
              <w:b/>
              <w:bCs/>
              <w:i/>
              <w:iCs/>
              <w:color w:val="000000"/>
              <w:sz w:val="32"/>
              <w:szCs w:val="32"/>
            </w:rPr>
          </w:pPr>
          <w:r>
            <w:rPr>
              <w:rFonts w:ascii="Sorts Mill Goudy" w:eastAsia="Sorts Mill Goudy" w:hAnsi="Sorts Mill Goudy" w:cs="Sorts Mill Goudy"/>
              <w:b/>
              <w:bCs/>
              <w:color w:val="000000"/>
            </w:rPr>
            <w:t>Volume 3, Nomor 1 | Februari 2022</w:t>
          </w:r>
        </w:p>
      </w:tc>
      <w:tc>
        <w:tcPr>
          <w:tcW w:w="2128" w:type="dxa"/>
        </w:tcPr>
        <w:p w14:paraId="49C0A585" w14:textId="77777777" w:rsidR="00756DF6" w:rsidRDefault="00000000">
          <w:pPr>
            <w:pBdr>
              <w:top w:val="nil"/>
              <w:left w:val="nil"/>
              <w:bottom w:val="nil"/>
              <w:right w:val="nil"/>
              <w:between w:val="nil"/>
            </w:pBdr>
            <w:tabs>
              <w:tab w:val="center" w:pos="4513"/>
              <w:tab w:val="right" w:pos="9026"/>
              <w:tab w:val="right" w:pos="7938"/>
            </w:tabs>
            <w:jc w:val="right"/>
            <w:rPr>
              <w:rFonts w:ascii="Sorts Mill Goudy" w:eastAsia="Sorts Mill Goudy" w:hAnsi="Sorts Mill Goudy" w:cs="Sorts Mill Goudy"/>
              <w:b/>
              <w:bCs/>
              <w:i/>
              <w:iCs/>
              <w:color w:val="000000"/>
            </w:rPr>
          </w:pPr>
          <w:r>
            <w:rPr>
              <w:rFonts w:ascii="Sorts Mill Goudy" w:eastAsia="Sorts Mill Goudy" w:hAnsi="Sorts Mill Goudy" w:cs="Sorts Mill Goudy"/>
              <w:b/>
              <w:bCs/>
              <w:color w:val="000000"/>
            </w:rPr>
            <w:t xml:space="preserve">p-ISSN: </w:t>
          </w:r>
          <w:r>
            <w:rPr>
              <w:rFonts w:ascii="Sorts Mill Goudy" w:eastAsia="Sorts Mill Goudy" w:hAnsi="Sorts Mill Goudy" w:cs="Sorts Mill Goudy"/>
            </w:rPr>
            <w:t>2808 – 8557</w:t>
          </w:r>
          <w:r>
            <w:rPr>
              <w:rFonts w:ascii="Sorts Mill Goudy" w:eastAsia="Sorts Mill Goudy" w:hAnsi="Sorts Mill Goudy" w:cs="Sorts Mill Goudy"/>
              <w:b/>
              <w:bCs/>
              <w:color w:val="000000"/>
            </w:rPr>
            <w:t xml:space="preserve"> </w:t>
          </w:r>
        </w:p>
        <w:p w14:paraId="7E9ACE95" w14:textId="77777777" w:rsidR="00756DF6" w:rsidRDefault="00000000">
          <w:pPr>
            <w:pBdr>
              <w:top w:val="nil"/>
              <w:left w:val="nil"/>
              <w:bottom w:val="nil"/>
              <w:right w:val="nil"/>
              <w:between w:val="nil"/>
            </w:pBdr>
            <w:tabs>
              <w:tab w:val="center" w:pos="4513"/>
              <w:tab w:val="right" w:pos="9026"/>
              <w:tab w:val="right" w:pos="7938"/>
            </w:tabs>
            <w:jc w:val="right"/>
            <w:rPr>
              <w:rFonts w:ascii="Sorts Mill Goudy" w:eastAsia="Sorts Mill Goudy" w:hAnsi="Sorts Mill Goudy" w:cs="Sorts Mill Goudy"/>
              <w:i/>
              <w:iCs/>
              <w:color w:val="000000"/>
              <w:sz w:val="24"/>
              <w:szCs w:val="24"/>
            </w:rPr>
          </w:pPr>
          <w:r>
            <w:rPr>
              <w:rFonts w:ascii="Sorts Mill Goudy" w:eastAsia="Sorts Mill Goudy" w:hAnsi="Sorts Mill Goudy" w:cs="Sorts Mill Goudy"/>
              <w:b/>
              <w:bCs/>
              <w:color w:val="000000"/>
            </w:rPr>
            <w:t xml:space="preserve">e-ISSN: </w:t>
          </w:r>
          <w:r>
            <w:rPr>
              <w:rFonts w:ascii="Sorts Mill Goudy" w:eastAsia="Sorts Mill Goudy" w:hAnsi="Sorts Mill Goudy" w:cs="Sorts Mill Goudy"/>
            </w:rPr>
            <w:t>2808 – 8573</w:t>
          </w:r>
        </w:p>
      </w:tc>
    </w:tr>
  </w:tbl>
  <w:p w14:paraId="1784C203" w14:textId="77777777" w:rsidR="00756DF6" w:rsidRDefault="00756DF6">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E5B2" w14:textId="77777777" w:rsidR="00756DF6" w:rsidRDefault="00756DF6">
    <w:pPr>
      <w:widowControl w:val="0"/>
      <w:pBdr>
        <w:top w:val="nil"/>
        <w:left w:val="nil"/>
        <w:bottom w:val="nil"/>
        <w:right w:val="nil"/>
        <w:between w:val="nil"/>
      </w:pBdr>
      <w:spacing w:after="0"/>
      <w:rPr>
        <w:color w:val="000000"/>
      </w:rPr>
    </w:pPr>
  </w:p>
  <w:tbl>
    <w:tblPr>
      <w:tblStyle w:val="a5"/>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895"/>
      <w:gridCol w:w="2121"/>
    </w:tblGrid>
    <w:tr w:rsidR="00756DF6" w14:paraId="12864EF5" w14:textId="77777777">
      <w:tc>
        <w:tcPr>
          <w:tcW w:w="6895" w:type="dxa"/>
        </w:tcPr>
        <w:p w14:paraId="0843B0C3" w14:textId="77777777" w:rsidR="00756DF6" w:rsidRDefault="00000000">
          <w:pPr>
            <w:pBdr>
              <w:top w:val="nil"/>
              <w:left w:val="nil"/>
              <w:bottom w:val="nil"/>
              <w:right w:val="nil"/>
              <w:between w:val="nil"/>
            </w:pBdr>
            <w:tabs>
              <w:tab w:val="center" w:pos="4513"/>
              <w:tab w:val="center" w:pos="1171"/>
            </w:tabs>
            <w:jc w:val="right"/>
            <w:rPr>
              <w:rFonts w:ascii="Sorts Mill Goudy" w:eastAsia="Sorts Mill Goudy" w:hAnsi="Sorts Mill Goudy" w:cs="Sorts Mill Goudy"/>
              <w:b/>
              <w:bCs/>
              <w:i/>
              <w:iCs/>
              <w:color w:val="000000"/>
              <w:sz w:val="24"/>
              <w:szCs w:val="24"/>
            </w:rPr>
          </w:pPr>
          <w:r>
            <w:rPr>
              <w:rFonts w:ascii="Sorts Mill Goudy" w:eastAsia="Sorts Mill Goudy" w:hAnsi="Sorts Mill Goudy" w:cs="Sorts Mill Goudy"/>
              <w:color w:val="000000"/>
              <w:sz w:val="32"/>
              <w:szCs w:val="32"/>
            </w:rPr>
            <w:tab/>
          </w:r>
          <w:r>
            <w:rPr>
              <w:rFonts w:ascii="Sorts Mill Goudy" w:eastAsia="Sorts Mill Goudy" w:hAnsi="Sorts Mill Goudy" w:cs="Sorts Mill Goudy"/>
              <w:b/>
              <w:bCs/>
              <w:color w:val="000000"/>
              <w:sz w:val="28"/>
              <w:szCs w:val="28"/>
            </w:rPr>
            <w:t>WORKSHEET: Jurnal Akuntansi</w:t>
          </w:r>
        </w:p>
        <w:p w14:paraId="27E0ED2D" w14:textId="77777777" w:rsidR="00756DF6" w:rsidRDefault="00000000">
          <w:pPr>
            <w:pBdr>
              <w:top w:val="nil"/>
              <w:left w:val="nil"/>
              <w:bottom w:val="nil"/>
              <w:right w:val="nil"/>
              <w:between w:val="nil"/>
            </w:pBdr>
            <w:tabs>
              <w:tab w:val="center" w:pos="4513"/>
              <w:tab w:val="right" w:pos="9026"/>
              <w:tab w:val="center" w:pos="1171"/>
              <w:tab w:val="right" w:pos="9070"/>
            </w:tabs>
            <w:ind w:hanging="178"/>
            <w:jc w:val="right"/>
            <w:rPr>
              <w:rFonts w:ascii="Sorts Mill Goudy" w:eastAsia="Sorts Mill Goudy" w:hAnsi="Sorts Mill Goudy" w:cs="Sorts Mill Goudy"/>
              <w:b/>
              <w:bCs/>
              <w:i/>
              <w:iCs/>
              <w:color w:val="000000"/>
              <w:sz w:val="32"/>
              <w:szCs w:val="32"/>
            </w:rPr>
          </w:pPr>
          <w:r>
            <w:rPr>
              <w:rFonts w:ascii="Sorts Mill Goudy" w:eastAsia="Sorts Mill Goudy" w:hAnsi="Sorts Mill Goudy" w:cs="Sorts Mill Goudy"/>
              <w:b/>
              <w:bCs/>
              <w:color w:val="000000"/>
            </w:rPr>
            <w:t>Volume 3, Nomor 1 | Februari 2022</w:t>
          </w:r>
        </w:p>
      </w:tc>
      <w:tc>
        <w:tcPr>
          <w:tcW w:w="2121" w:type="dxa"/>
        </w:tcPr>
        <w:p w14:paraId="7AF7A3FF" w14:textId="77777777" w:rsidR="00756DF6" w:rsidRDefault="00000000">
          <w:pPr>
            <w:pBdr>
              <w:top w:val="nil"/>
              <w:left w:val="nil"/>
              <w:bottom w:val="nil"/>
              <w:right w:val="nil"/>
              <w:between w:val="nil"/>
            </w:pBdr>
            <w:tabs>
              <w:tab w:val="center" w:pos="4513"/>
              <w:tab w:val="right" w:pos="9026"/>
              <w:tab w:val="right" w:pos="7938"/>
            </w:tabs>
            <w:jc w:val="right"/>
            <w:rPr>
              <w:rFonts w:ascii="Sorts Mill Goudy" w:eastAsia="Sorts Mill Goudy" w:hAnsi="Sorts Mill Goudy" w:cs="Sorts Mill Goudy"/>
              <w:b/>
              <w:bCs/>
              <w:i/>
              <w:iCs/>
              <w:color w:val="000000"/>
            </w:rPr>
          </w:pPr>
          <w:r>
            <w:rPr>
              <w:rFonts w:ascii="Sorts Mill Goudy" w:eastAsia="Sorts Mill Goudy" w:hAnsi="Sorts Mill Goudy" w:cs="Sorts Mill Goudy"/>
              <w:b/>
              <w:bCs/>
              <w:color w:val="000000"/>
            </w:rPr>
            <w:t xml:space="preserve">p-ISSN: </w:t>
          </w:r>
          <w:r>
            <w:rPr>
              <w:rFonts w:ascii="Sorts Mill Goudy" w:eastAsia="Sorts Mill Goudy" w:hAnsi="Sorts Mill Goudy" w:cs="Sorts Mill Goudy"/>
            </w:rPr>
            <w:t>2808 – 8557</w:t>
          </w:r>
          <w:r>
            <w:rPr>
              <w:rFonts w:ascii="Sorts Mill Goudy" w:eastAsia="Sorts Mill Goudy" w:hAnsi="Sorts Mill Goudy" w:cs="Sorts Mill Goudy"/>
              <w:b/>
              <w:bCs/>
              <w:color w:val="000000"/>
            </w:rPr>
            <w:t xml:space="preserve"> </w:t>
          </w:r>
        </w:p>
        <w:p w14:paraId="095B66E0" w14:textId="77777777" w:rsidR="00756DF6" w:rsidRDefault="00000000">
          <w:pPr>
            <w:pBdr>
              <w:top w:val="nil"/>
              <w:left w:val="nil"/>
              <w:bottom w:val="nil"/>
              <w:right w:val="nil"/>
              <w:between w:val="nil"/>
            </w:pBdr>
            <w:tabs>
              <w:tab w:val="center" w:pos="4513"/>
              <w:tab w:val="right" w:pos="9026"/>
              <w:tab w:val="right" w:pos="7938"/>
            </w:tabs>
            <w:jc w:val="right"/>
            <w:rPr>
              <w:rFonts w:ascii="Sorts Mill Goudy" w:eastAsia="Sorts Mill Goudy" w:hAnsi="Sorts Mill Goudy" w:cs="Sorts Mill Goudy"/>
              <w:i/>
              <w:iCs/>
              <w:color w:val="000000"/>
              <w:sz w:val="24"/>
              <w:szCs w:val="24"/>
            </w:rPr>
          </w:pPr>
          <w:r>
            <w:rPr>
              <w:rFonts w:ascii="Sorts Mill Goudy" w:eastAsia="Sorts Mill Goudy" w:hAnsi="Sorts Mill Goudy" w:cs="Sorts Mill Goudy"/>
              <w:b/>
              <w:bCs/>
              <w:color w:val="000000"/>
            </w:rPr>
            <w:t xml:space="preserve">e-ISSN: </w:t>
          </w:r>
          <w:r>
            <w:rPr>
              <w:rFonts w:ascii="Sorts Mill Goudy" w:eastAsia="Sorts Mill Goudy" w:hAnsi="Sorts Mill Goudy" w:cs="Sorts Mill Goudy"/>
            </w:rPr>
            <w:t>2808 – 8573</w:t>
          </w:r>
        </w:p>
      </w:tc>
    </w:tr>
  </w:tbl>
  <w:p w14:paraId="458FCD98" w14:textId="77777777" w:rsidR="00756DF6" w:rsidRDefault="00756DF6">
    <w:pPr>
      <w:pBdr>
        <w:top w:val="nil"/>
        <w:left w:val="nil"/>
        <w:bottom w:val="nil"/>
        <w:right w:val="nil"/>
        <w:between w:val="nil"/>
      </w:pBdr>
      <w:tabs>
        <w:tab w:val="center" w:pos="4680"/>
        <w:tab w:val="right" w:pos="9360"/>
      </w:tabs>
      <w:spacing w:after="0" w:line="240" w:lineRule="auto"/>
      <w:rPr>
        <w:rFonts w:ascii="Sorts Mill Goudy" w:eastAsia="Sorts Mill Goudy" w:hAnsi="Sorts Mill Goudy" w:cs="Sorts Mill Goudy"/>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F6"/>
    <w:rsid w:val="0015547E"/>
    <w:rsid w:val="001E08F0"/>
    <w:rsid w:val="0029280D"/>
    <w:rsid w:val="003155A0"/>
    <w:rsid w:val="00365F0A"/>
    <w:rsid w:val="0038516A"/>
    <w:rsid w:val="00494E03"/>
    <w:rsid w:val="004B7C1C"/>
    <w:rsid w:val="005222F6"/>
    <w:rsid w:val="00590E19"/>
    <w:rsid w:val="00607EBC"/>
    <w:rsid w:val="006F25B8"/>
    <w:rsid w:val="006F70F6"/>
    <w:rsid w:val="00756DF6"/>
    <w:rsid w:val="00813E63"/>
    <w:rsid w:val="00954621"/>
    <w:rsid w:val="00B50588"/>
    <w:rsid w:val="00C31A83"/>
    <w:rsid w:val="00D733C7"/>
    <w:rsid w:val="00DC3CAE"/>
    <w:rsid w:val="00E616C5"/>
    <w:rsid w:val="00F20E07"/>
    <w:rsid w:val="00FB4E76"/>
    <w:rsid w:val="00FD52D8"/>
    <w:rsid w:val="00FE6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F87C4"/>
  <w15:docId w15:val="{EFE69879-636E-42C0-AFEF-78043F26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TableGrid">
    <w:name w:val="Table Grid"/>
    <w:basedOn w:val="TableNormal"/>
    <w:uiPriority w:val="39"/>
    <w:rsid w:val="00FE6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01B1C7-FAB3-4E6D-AFB8-04FC78C15435}">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gmELGBS+cfB91V+Geo4vHCbLmw==">CgMxLjAaHwoBMBIaChgICVIUChJ0YWJsZS51aXdvb3J2cXduZ3oaHwoBMRIaChgICVIUChJ0YWJsZS5pNjFlc2NqZTdoemQaHwoBMhIaChgICVIUChJ0YWJsZS54bDhuNzNtcWs2cDAaHwoBMxIaChgICVIUChJ0YWJsZS5rZHQzODk1cjdsdTgaHwoBNBIaChgICVIUChJ0YWJsZS4zbHEwZGZ6N2RpeDk4AHIhMVFRTmI2VDBSQ29fVlVISW5VbkVKbVZxTGlEZkNMRGVI</go:docsCustomData>
</go:gDocsCustomXmlDataStorage>
</file>

<file path=customXml/itemProps1.xml><?xml version="1.0" encoding="utf-8"?>
<ds:datastoreItem xmlns:ds="http://schemas.openxmlformats.org/officeDocument/2006/customXml" ds:itemID="{8DD82EF9-D40D-4CD7-81FF-DCA0C7A8B7E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18066</Words>
  <Characters>102978</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aslan</dc:creator>
  <cp:lastModifiedBy>SASU</cp:lastModifiedBy>
  <cp:revision>6</cp:revision>
  <dcterms:created xsi:type="dcterms:W3CDTF">2026-06-09T08:30:00Z</dcterms:created>
  <dcterms:modified xsi:type="dcterms:W3CDTF">2026-06-09T08:45:00Z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9c494fdb-47f7-30d8-b12f-373ccc7eb22d</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