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39B96" w14:textId="1A871302" w:rsidR="00512D3B" w:rsidRPr="00AB6AC3" w:rsidRDefault="00512D3B" w:rsidP="00AB6AC3">
      <w:pPr>
        <w:spacing w:after="120" w:line="360" w:lineRule="auto"/>
        <w:rPr>
          <w:rtl/>
          <w:lang w:bidi="ar-JO"/>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242"/>
      </w:tblGrid>
      <w:tr w:rsidR="00D42E85" w:rsidRPr="00AB6AC3" w14:paraId="7D10F77E" w14:textId="77777777" w:rsidTr="00B82A8E">
        <w:tc>
          <w:tcPr>
            <w:tcW w:w="3397" w:type="dxa"/>
            <w:tcBorders>
              <w:bottom w:val="single" w:sz="4" w:space="0" w:color="auto"/>
            </w:tcBorders>
          </w:tcPr>
          <w:p w14:paraId="3B14BB02" w14:textId="23EC7EA6" w:rsidR="00D42E85" w:rsidRPr="00AB6AC3" w:rsidRDefault="00FC4095" w:rsidP="00F1210C">
            <w:pPr>
              <w:spacing w:line="360" w:lineRule="auto"/>
              <w:jc w:val="both"/>
              <w:rPr>
                <w:rFonts w:ascii="Century Gothic" w:hAnsi="Century Gothic"/>
                <w:b/>
                <w:smallCaps/>
              </w:rPr>
            </w:pPr>
            <w:r>
              <w:rPr>
                <w:rFonts w:ascii="Century Gothic" w:hAnsi="Century Gothic"/>
                <w:b/>
                <w:smallCaps/>
              </w:rPr>
              <w:t>PENDAMPINGAN PELATIHAN SERVICE EXCELLENCE UNTUK MENINGKATKAN DAYA SAING, PRODUKTIVITAS PELAYANAN GURU SD MUHAMMADIYAH KANGEAN</w:t>
            </w:r>
          </w:p>
          <w:p w14:paraId="19F44110" w14:textId="77777777" w:rsidR="00D42E85" w:rsidRPr="00AB6AC3" w:rsidRDefault="00D42E85" w:rsidP="00AB6AC3">
            <w:pPr>
              <w:spacing w:line="360" w:lineRule="auto"/>
              <w:rPr>
                <w:rFonts w:ascii="Century Gothic" w:hAnsi="Century Gothic"/>
              </w:rPr>
            </w:pPr>
          </w:p>
          <w:p w14:paraId="49854218" w14:textId="7084B858" w:rsidR="00FC4095" w:rsidRPr="00FC4095" w:rsidRDefault="00FC4095" w:rsidP="00FC4095">
            <w:pPr>
              <w:spacing w:line="360" w:lineRule="auto"/>
              <w:rPr>
                <w:rFonts w:ascii="Century Gothic" w:hAnsi="Century Gothic"/>
                <w:lang w:val="pl-PL"/>
              </w:rPr>
            </w:pPr>
            <w:r w:rsidRPr="00FC4095">
              <w:rPr>
                <w:rFonts w:ascii="Century Gothic" w:hAnsi="Century Gothic"/>
                <w:lang w:val="pl-PL"/>
              </w:rPr>
              <w:t>Muhammad Anang Firmansyah</w:t>
            </w:r>
            <w:r w:rsidRPr="00FC4095">
              <w:rPr>
                <w:rFonts w:ascii="Century Gothic" w:hAnsi="Century Gothic"/>
                <w:vertAlign w:val="superscript"/>
                <w:lang w:val="pl-PL"/>
              </w:rPr>
              <w:t>1</w:t>
            </w:r>
            <w:r w:rsidRPr="00FC4095">
              <w:rPr>
                <w:rFonts w:ascii="Century Gothic" w:hAnsi="Century Gothic"/>
                <w:lang w:val="pl-PL"/>
              </w:rPr>
              <w:t>,</w:t>
            </w:r>
          </w:p>
          <w:p w14:paraId="4ACF25E8" w14:textId="35967D01" w:rsidR="00FC4095" w:rsidRPr="00F1210C" w:rsidRDefault="00FC4095" w:rsidP="00FC4095">
            <w:pPr>
              <w:spacing w:line="360" w:lineRule="auto"/>
              <w:rPr>
                <w:rFonts w:ascii="Century Gothic" w:hAnsi="Century Gothic"/>
                <w:vertAlign w:val="superscript"/>
              </w:rPr>
            </w:pPr>
            <w:r w:rsidRPr="00FC4095">
              <w:rPr>
                <w:rFonts w:ascii="Century Gothic" w:hAnsi="Century Gothic"/>
              </w:rPr>
              <w:t>Halimatus Sa’diyah</w:t>
            </w:r>
            <w:r w:rsidRPr="00FC4095">
              <w:rPr>
                <w:rFonts w:ascii="Century Gothic" w:hAnsi="Century Gothic"/>
                <w:vertAlign w:val="superscript"/>
              </w:rPr>
              <w:t>2</w:t>
            </w:r>
            <w:r w:rsidRPr="00FC4095">
              <w:rPr>
                <w:rFonts w:ascii="Century Gothic" w:hAnsi="Century Gothic"/>
              </w:rPr>
              <w:t>, Fadia Azahra</w:t>
            </w:r>
            <w:r w:rsidRPr="00FC4095">
              <w:rPr>
                <w:rFonts w:ascii="Century Gothic" w:hAnsi="Century Gothic"/>
                <w:vertAlign w:val="superscript"/>
              </w:rPr>
              <w:t>3</w:t>
            </w:r>
            <w:r w:rsidRPr="00FC4095">
              <w:rPr>
                <w:rFonts w:ascii="Century Gothic" w:hAnsi="Century Gothic"/>
              </w:rPr>
              <w:t>, Muhammad Kemal Amroni</w:t>
            </w:r>
            <w:r w:rsidRPr="00FC4095">
              <w:rPr>
                <w:rFonts w:ascii="Century Gothic" w:hAnsi="Century Gothic"/>
                <w:vertAlign w:val="superscript"/>
              </w:rPr>
              <w:t>4</w:t>
            </w:r>
            <w:r w:rsidRPr="00FC4095">
              <w:rPr>
                <w:rFonts w:ascii="Century Gothic" w:hAnsi="Century Gothic"/>
              </w:rPr>
              <w:t>, Dail Diatul Fitri</w:t>
            </w:r>
            <w:r w:rsidR="00F1210C">
              <w:rPr>
                <w:rFonts w:ascii="Century Gothic" w:hAnsi="Century Gothic"/>
                <w:vertAlign w:val="superscript"/>
              </w:rPr>
              <w:t>5</w:t>
            </w:r>
            <w:r w:rsidR="00F1210C">
              <w:rPr>
                <w:rFonts w:ascii="Century Gothic" w:hAnsi="Century Gothic"/>
              </w:rPr>
              <w:t xml:space="preserve"> </w:t>
            </w:r>
            <w:r w:rsidR="00F1210C" w:rsidRPr="00F1210C">
              <w:rPr>
                <w:rFonts w:ascii="Century Gothic" w:hAnsi="Century Gothic"/>
              </w:rPr>
              <w:t>Imazizah Athabarani</w:t>
            </w:r>
            <w:r w:rsidR="00F1210C">
              <w:rPr>
                <w:rFonts w:ascii="Century Gothic" w:hAnsi="Century Gothic"/>
                <w:vertAlign w:val="superscript"/>
              </w:rPr>
              <w:t>6</w:t>
            </w:r>
          </w:p>
          <w:p w14:paraId="658EB2B1" w14:textId="6D901053" w:rsidR="00D42E85" w:rsidRDefault="00FC4095" w:rsidP="00AB6AC3">
            <w:pPr>
              <w:spacing w:line="360" w:lineRule="auto"/>
              <w:rPr>
                <w:vertAlign w:val="superscript"/>
                <w:lang w:val="pl-PL"/>
              </w:rPr>
            </w:pPr>
            <w:r w:rsidRPr="00FC4095">
              <w:rPr>
                <w:vertAlign w:val="superscript"/>
                <w:lang w:val="pl-PL"/>
              </w:rPr>
              <w:t xml:space="preserve"> </w:t>
            </w:r>
          </w:p>
          <w:p w14:paraId="618627DF" w14:textId="24806ADB" w:rsidR="00FC4095" w:rsidRPr="00AB6AC3" w:rsidRDefault="00FC4095" w:rsidP="00AB6AC3">
            <w:pPr>
              <w:spacing w:line="360" w:lineRule="auto"/>
              <w:rPr>
                <w:rFonts w:ascii="Century Gothic" w:hAnsi="Century Gothic"/>
              </w:rPr>
            </w:pPr>
            <w:r>
              <w:rPr>
                <w:rFonts w:ascii="Century Gothic" w:hAnsi="Century Gothic"/>
              </w:rPr>
              <w:t>Akuntansi, Universitas Muhammadiyah Surabaya</w:t>
            </w:r>
          </w:p>
          <w:p w14:paraId="7FE24213" w14:textId="77777777" w:rsidR="00D42E85" w:rsidRPr="00AB6AC3" w:rsidRDefault="00D42E85" w:rsidP="00AB6AC3">
            <w:pPr>
              <w:spacing w:line="360" w:lineRule="auto"/>
              <w:rPr>
                <w:rFonts w:ascii="Century Gothic" w:hAnsi="Century Gothic"/>
                <w:lang w:val="id-ID"/>
              </w:rPr>
            </w:pPr>
          </w:p>
          <w:p w14:paraId="260DDCFF" w14:textId="77777777" w:rsidR="00D42E85" w:rsidRPr="00AB6AC3" w:rsidRDefault="00D42E85" w:rsidP="00AB6AC3">
            <w:pPr>
              <w:spacing w:line="360" w:lineRule="auto"/>
              <w:rPr>
                <w:rFonts w:ascii="Century Gothic" w:hAnsi="Century Gothic"/>
                <w:b/>
                <w:bCs/>
                <w:lang w:val="id-ID"/>
              </w:rPr>
            </w:pPr>
            <w:r w:rsidRPr="00AB6AC3">
              <w:rPr>
                <w:rFonts w:ascii="Century Gothic" w:hAnsi="Century Gothic"/>
                <w:b/>
                <w:bCs/>
                <w:lang w:val="id-ID"/>
              </w:rPr>
              <w:t>Article history</w:t>
            </w:r>
          </w:p>
          <w:p w14:paraId="7CE3F37B" w14:textId="2539653D" w:rsidR="00D42E85" w:rsidRPr="00AB6AC3" w:rsidRDefault="00D42E85" w:rsidP="00AB6AC3">
            <w:pPr>
              <w:spacing w:line="360" w:lineRule="auto"/>
              <w:rPr>
                <w:rFonts w:ascii="Century Gothic" w:hAnsi="Century Gothic"/>
                <w:lang w:val="id-ID"/>
              </w:rPr>
            </w:pPr>
            <w:r w:rsidRPr="00AB6AC3">
              <w:rPr>
                <w:rFonts w:ascii="Century Gothic" w:hAnsi="Century Gothic"/>
                <w:lang w:val="id-ID"/>
              </w:rPr>
              <w:t>Received : diisi oleh editor</w:t>
            </w:r>
          </w:p>
          <w:p w14:paraId="5000B583" w14:textId="77777777" w:rsidR="00D42E85" w:rsidRPr="00AB6AC3" w:rsidRDefault="00D42E85" w:rsidP="00AB6AC3">
            <w:pPr>
              <w:spacing w:line="360" w:lineRule="auto"/>
              <w:rPr>
                <w:rFonts w:ascii="Century Gothic" w:hAnsi="Century Gothic"/>
                <w:lang w:val="id-ID"/>
              </w:rPr>
            </w:pPr>
            <w:r w:rsidRPr="00AB6AC3">
              <w:rPr>
                <w:rFonts w:ascii="Century Gothic" w:hAnsi="Century Gothic"/>
                <w:lang w:val="id-ID"/>
              </w:rPr>
              <w:t>Revised : diisi oleh editor</w:t>
            </w:r>
          </w:p>
          <w:p w14:paraId="464037EF" w14:textId="77777777" w:rsidR="00D42E85" w:rsidRPr="00AB6AC3" w:rsidRDefault="00D42E85" w:rsidP="00AB6AC3">
            <w:pPr>
              <w:spacing w:line="360" w:lineRule="auto"/>
              <w:rPr>
                <w:rFonts w:ascii="Century Gothic" w:hAnsi="Century Gothic"/>
                <w:lang w:val="id-ID"/>
              </w:rPr>
            </w:pPr>
            <w:r w:rsidRPr="00AB6AC3">
              <w:rPr>
                <w:rFonts w:ascii="Century Gothic" w:hAnsi="Century Gothic"/>
                <w:lang w:val="id-ID"/>
              </w:rPr>
              <w:t>Accepted : diisi oleh editor</w:t>
            </w:r>
          </w:p>
          <w:p w14:paraId="28AEA165" w14:textId="77777777" w:rsidR="00D42E85" w:rsidRPr="00AB6AC3" w:rsidRDefault="00D42E85" w:rsidP="00AB6AC3">
            <w:pPr>
              <w:spacing w:line="360" w:lineRule="auto"/>
              <w:rPr>
                <w:rFonts w:ascii="Century Gothic" w:hAnsi="Century Gothic"/>
                <w:lang w:val="id-ID"/>
              </w:rPr>
            </w:pPr>
          </w:p>
          <w:p w14:paraId="4E7263CD" w14:textId="77777777" w:rsidR="00D42E85" w:rsidRPr="00AB6AC3" w:rsidRDefault="00D42E85" w:rsidP="00AB6AC3">
            <w:pPr>
              <w:spacing w:line="360" w:lineRule="auto"/>
              <w:rPr>
                <w:rFonts w:ascii="Century Gothic" w:hAnsi="Century Gothic"/>
              </w:rPr>
            </w:pPr>
            <w:r w:rsidRPr="00AB6AC3">
              <w:rPr>
                <w:rFonts w:ascii="Century Gothic" w:hAnsi="Century Gothic"/>
              </w:rPr>
              <w:t>*</w:t>
            </w:r>
            <w:r w:rsidRPr="00AB6AC3">
              <w:rPr>
                <w:rFonts w:ascii="Century Gothic" w:hAnsi="Century Gothic"/>
                <w:b/>
                <w:bCs/>
              </w:rPr>
              <w:t>Corresponding author</w:t>
            </w:r>
          </w:p>
          <w:p w14:paraId="156B8D96" w14:textId="77777777" w:rsidR="00D42E85" w:rsidRPr="00AB6AC3" w:rsidRDefault="00D42E85" w:rsidP="00AB6AC3">
            <w:pPr>
              <w:spacing w:line="360" w:lineRule="auto"/>
              <w:rPr>
                <w:rFonts w:ascii="Century Gothic" w:hAnsi="Century Gothic"/>
                <w:lang w:val="id-ID"/>
              </w:rPr>
            </w:pPr>
            <w:r w:rsidRPr="00AB6AC3">
              <w:rPr>
                <w:rFonts w:ascii="Century Gothic" w:hAnsi="Century Gothic"/>
                <w:lang w:val="id-ID"/>
              </w:rPr>
              <w:t>Pilih penulis yang akan menjadi korespondensi author</w:t>
            </w:r>
          </w:p>
          <w:p w14:paraId="5A236C5D" w14:textId="77777777" w:rsidR="00D42E85" w:rsidRPr="00AB6AC3" w:rsidRDefault="00D42E85" w:rsidP="00AB6AC3">
            <w:pPr>
              <w:spacing w:line="360" w:lineRule="auto"/>
              <w:rPr>
                <w:rFonts w:ascii="Century Gothic" w:hAnsi="Century Gothic"/>
                <w:lang w:val="id-ID"/>
              </w:rPr>
            </w:pPr>
            <w:r w:rsidRPr="00AB6AC3">
              <w:rPr>
                <w:rFonts w:ascii="Century Gothic" w:hAnsi="Century Gothic"/>
                <w:lang w:val="id-ID"/>
              </w:rPr>
              <w:lastRenderedPageBreak/>
              <w:t>Email : corresponding author</w:t>
            </w:r>
          </w:p>
          <w:p w14:paraId="1C010075" w14:textId="77777777" w:rsidR="00D42E85" w:rsidRPr="00AB6AC3" w:rsidRDefault="00D42E85" w:rsidP="00AB6AC3">
            <w:pPr>
              <w:spacing w:line="360" w:lineRule="auto"/>
            </w:pPr>
          </w:p>
        </w:tc>
        <w:tc>
          <w:tcPr>
            <w:tcW w:w="6242" w:type="dxa"/>
            <w:tcBorders>
              <w:bottom w:val="single" w:sz="4" w:space="0" w:color="auto"/>
            </w:tcBorders>
          </w:tcPr>
          <w:p w14:paraId="2D2E8D0B" w14:textId="4492C0C2" w:rsidR="00D42E85" w:rsidRPr="00AB6AC3" w:rsidRDefault="00D42E85" w:rsidP="00AB6AC3">
            <w:pPr>
              <w:spacing w:line="360" w:lineRule="auto"/>
              <w:rPr>
                <w:rFonts w:ascii="Century Gothic" w:hAnsi="Century Gothic" w:cs="Times"/>
                <w:b/>
              </w:rPr>
            </w:pPr>
            <w:r w:rsidRPr="00AB6AC3">
              <w:rPr>
                <w:rFonts w:ascii="Century Gothic" w:hAnsi="Century Gothic" w:cs="Times"/>
                <w:b/>
              </w:rPr>
              <w:lastRenderedPageBreak/>
              <w:t>Abstrak</w:t>
            </w:r>
          </w:p>
          <w:p w14:paraId="7EB4B178" w14:textId="7516316F" w:rsidR="00F331E1" w:rsidRPr="00AB6AC3" w:rsidRDefault="00FE6E37" w:rsidP="00AB6AC3">
            <w:pPr>
              <w:spacing w:line="360" w:lineRule="auto"/>
              <w:jc w:val="both"/>
              <w:rPr>
                <w:rFonts w:ascii="Century Gothic" w:hAnsi="Century Gothic" w:cs="Times"/>
              </w:rPr>
            </w:pPr>
            <w:r w:rsidRPr="00AB6AC3">
              <w:rPr>
                <w:rFonts w:ascii="Century Gothic" w:hAnsi="Century Gothic" w:cs="Times"/>
              </w:rPr>
              <w:t xml:space="preserve">Pengabdian kepada masyarakat ini bertujuan untuk meningkatkan kualitas pelayanan guru melalui pelatihan dan pendampingan service excellence di SD Muhammadiyah Kangean. Latar belakang kegiatan ini didasarkan pada kondisi awal pelayanan pembelajaran yang masih berfokus pada penyampaian materi serta belum optimalnya komunikasi dan interaksi guru dengan siswa. Selain itu, guru belum memiliki pemahaman yang memadai mengenai konsep pelayanan prima dalam pembelajaran. Kondisi tersebut berdampak pada belum optimalnya kualitas layanan pendidikan dan daya saing sekolah. Oleh karena itu, diperlukan kegiatan pelatihan service excellence yang disertai pendampingan untuk meningkatkan kualitas pelayanan guru dan produktivitas pembelajaran. Metode pelaksanaan kegiatan menggunakan pendekatan pelatihan dan pendampingan dengan tahapan observasi awal, identifikasi masalah, pelatihan service excellence, pendampingan guru, serta evaluasi kegiatan. Teknik pengumpulan data dilakukan melalui observasi, wawancara, dokumentasi, dan kuesioner. Pelatihan dilaksanakan melalui metode ceramah, diskusi, dan simulasi pelayanan, sedangkan pendampingan dilakukan melalui praktik pelayanan pembelajaran dan monitoring </w:t>
            </w:r>
            <w:r w:rsidRPr="00AB6AC3">
              <w:rPr>
                <w:rFonts w:ascii="Century Gothic" w:hAnsi="Century Gothic" w:cs="Times"/>
              </w:rPr>
              <w:lastRenderedPageBreak/>
              <w:t>implementasi service excellence di kelas. Hasil kegiatan menunjukkan bahwa pelatihan service excellence mampu meningkatkan sikap pelayanan guru, komunikasi pembelajaran, dan kepuasan siswa. Guru menjadi lebih responsif terhadap kebutuhan siswa, memberikan pelayanan yang lebih cepat, serta meningkatkan interaksi selama pembelajaran. Pendampingan yang dilakukan juga meningkatkan produktivitas guru dalam memberikan layanan pembelajaran secara lebih efektif dan sistematis. Selain itu, peningkatan kualitas pelayanan berdampak pada meningkatnya citra sekolah, kepercayaan orang tua, serta daya saing SD Muhammadiyah Kangean.</w:t>
            </w:r>
          </w:p>
          <w:p w14:paraId="6F73590C" w14:textId="77777777" w:rsidR="00FE6E37" w:rsidRPr="00AB6AC3" w:rsidRDefault="00FE6E37" w:rsidP="00AB6AC3">
            <w:pPr>
              <w:spacing w:line="360" w:lineRule="auto"/>
              <w:jc w:val="both"/>
              <w:rPr>
                <w:rFonts w:ascii="Century Gothic" w:hAnsi="Century Gothic" w:cs="Times"/>
              </w:rPr>
            </w:pPr>
          </w:p>
          <w:p w14:paraId="7C0C89F3" w14:textId="6DBC66BD" w:rsidR="005013A9" w:rsidRPr="00AB6AC3" w:rsidRDefault="00F331E1" w:rsidP="00AB6AC3">
            <w:pPr>
              <w:spacing w:line="360" w:lineRule="auto"/>
              <w:jc w:val="both"/>
              <w:rPr>
                <w:rFonts w:ascii="Century Gothic" w:hAnsi="Century Gothic" w:cs="Times"/>
              </w:rPr>
            </w:pPr>
            <w:r w:rsidRPr="00FC4095">
              <w:rPr>
                <w:rFonts w:ascii="Century Gothic" w:hAnsi="Century Gothic" w:cs="Times"/>
                <w:b/>
                <w:bCs/>
              </w:rPr>
              <w:t>Kata Kunci:</w:t>
            </w:r>
            <w:r w:rsidRPr="00AB6AC3">
              <w:rPr>
                <w:rFonts w:ascii="Century Gothic" w:hAnsi="Century Gothic" w:cs="Times"/>
              </w:rPr>
              <w:t xml:space="preserve"> </w:t>
            </w:r>
            <w:r w:rsidR="00FE6E37" w:rsidRPr="00AB6AC3">
              <w:rPr>
                <w:rFonts w:ascii="Century Gothic" w:hAnsi="Century Gothic" w:cs="Times"/>
                <w:i/>
                <w:iCs/>
              </w:rPr>
              <w:t>service excellence,</w:t>
            </w:r>
            <w:r w:rsidR="00FE6E37" w:rsidRPr="00AB6AC3">
              <w:rPr>
                <w:rFonts w:ascii="Century Gothic" w:hAnsi="Century Gothic" w:cs="Times"/>
              </w:rPr>
              <w:t xml:space="preserve"> pelayanan guru, daya saing sekolah, produktivitas guru, pengabdian masyarakat</w:t>
            </w:r>
          </w:p>
          <w:p w14:paraId="6FBE5F36" w14:textId="77777777" w:rsidR="00FE6E37" w:rsidRPr="00AB6AC3" w:rsidRDefault="00FE6E37" w:rsidP="00AB6AC3">
            <w:pPr>
              <w:spacing w:line="360" w:lineRule="auto"/>
              <w:jc w:val="both"/>
              <w:rPr>
                <w:rFonts w:ascii="Century Gothic" w:hAnsi="Century Gothic" w:cs="Times"/>
              </w:rPr>
            </w:pPr>
          </w:p>
          <w:p w14:paraId="08153BC6" w14:textId="7E687330" w:rsidR="005013A9" w:rsidRPr="00AB6AC3" w:rsidRDefault="005013A9" w:rsidP="00AB6AC3">
            <w:pPr>
              <w:spacing w:line="360" w:lineRule="auto"/>
              <w:rPr>
                <w:rFonts w:ascii="Century Gothic" w:hAnsi="Century Gothic" w:cs="Times"/>
                <w:b/>
                <w:i/>
                <w:iCs/>
                <w:lang w:val="id-ID"/>
              </w:rPr>
            </w:pPr>
            <w:r w:rsidRPr="00AB6AC3">
              <w:rPr>
                <w:rFonts w:ascii="Century Gothic" w:hAnsi="Century Gothic" w:cs="Times"/>
                <w:b/>
                <w:i/>
                <w:iCs/>
              </w:rPr>
              <w:t>Abstra</w:t>
            </w:r>
            <w:r w:rsidRPr="00AB6AC3">
              <w:rPr>
                <w:rFonts w:ascii="Century Gothic" w:hAnsi="Century Gothic" w:cs="Times"/>
                <w:b/>
                <w:i/>
                <w:iCs/>
                <w:lang w:val="id-ID"/>
              </w:rPr>
              <w:t xml:space="preserve">ct </w:t>
            </w:r>
          </w:p>
          <w:p w14:paraId="31A2BE39" w14:textId="77777777" w:rsidR="005013A9" w:rsidRPr="00AB6AC3" w:rsidRDefault="005013A9" w:rsidP="00AB6AC3">
            <w:pPr>
              <w:spacing w:line="360" w:lineRule="auto"/>
              <w:rPr>
                <w:rFonts w:ascii="Century Gothic" w:hAnsi="Century Gothic" w:cs="Times"/>
                <w:i/>
                <w:iCs/>
              </w:rPr>
            </w:pPr>
          </w:p>
          <w:p w14:paraId="4B685963" w14:textId="0ADE37A0" w:rsidR="005013A9" w:rsidRPr="00AB6AC3" w:rsidRDefault="00AB6AC3" w:rsidP="00AB6AC3">
            <w:pPr>
              <w:spacing w:line="360" w:lineRule="auto"/>
              <w:jc w:val="both"/>
              <w:rPr>
                <w:rFonts w:ascii="Century Gothic" w:hAnsi="Century Gothic" w:cs="Times"/>
                <w:i/>
                <w:iCs/>
              </w:rPr>
            </w:pPr>
            <w:r w:rsidRPr="00AB6AC3">
              <w:rPr>
                <w:rFonts w:ascii="Century Gothic" w:hAnsi="Century Gothic" w:cs="Times"/>
                <w:i/>
                <w:iCs/>
              </w:rPr>
              <w:t xml:space="preserve">This community service program aims to improve the quality of teacher service through service excellence training and mentoring at Muhammadiyah Kangean Elementary School. The background to this activity is based on the initial condition of learning services that still focus on </w:t>
            </w:r>
            <w:r w:rsidRPr="00AB6AC3">
              <w:rPr>
                <w:rFonts w:ascii="Century Gothic" w:hAnsi="Century Gothic" w:cs="Times"/>
                <w:i/>
                <w:iCs/>
              </w:rPr>
              <w:lastRenderedPageBreak/>
              <w:t>material delivery and suboptimal communication and interaction between teachers and students. In addition, teachers do not have an adequate understanding of the concept of excellent service in learning. This condition impacts the suboptimal quality of educational services and school competitiveness. Therefore, service excellence training activities accompanied by mentoring are needed to improve the quality of teacher service and learning productivity. The implementation method uses a training and mentoring approach with the stages of initial observation, problem identification, service excellence training, teacher mentoring, and activity evaluation. Data collection techniques are carried out through observation, interviews, documentation, and questionnaires. Training is carried out through lectures, discussions, and service simulations, while mentoring is carried out through learning service practices and monitoring the implementation of service excellence in the classroom. The results of the activity indicate that service excellence training is able to improve teacher service attitudes, learning communication, and student satisfaction. Teachers become more responsive to student needs, provide faster service, and increase interaction during learning. The mentoring provided also increases teacher productivity in providing learning services</w:t>
            </w:r>
            <w:r w:rsidR="00FC4095">
              <w:rPr>
                <w:rFonts w:ascii="Century Gothic" w:hAnsi="Century Gothic" w:cs="Times"/>
                <w:i/>
                <w:iCs/>
              </w:rPr>
              <w:t>.</w:t>
            </w:r>
            <w:r w:rsidRPr="00AB6AC3">
              <w:rPr>
                <w:rFonts w:ascii="Century Gothic" w:hAnsi="Century Gothic" w:cs="Times"/>
                <w:i/>
                <w:iCs/>
              </w:rPr>
              <w:t xml:space="preserve"> </w:t>
            </w:r>
            <w:r w:rsidRPr="00AB6AC3">
              <w:rPr>
                <w:rFonts w:ascii="Century Gothic" w:hAnsi="Century Gothic" w:cs="Times"/>
                <w:i/>
                <w:iCs/>
              </w:rPr>
              <w:lastRenderedPageBreak/>
              <w:t>more effectively and systematically. In addition, improving the quality of service has an impact on improving the school's image, parental trust, and the competitiveness of Muhammadiyah Kangean Elementary School.</w:t>
            </w:r>
            <w:r w:rsidR="00F331E1" w:rsidRPr="00AB6AC3">
              <w:rPr>
                <w:rFonts w:ascii="Century Gothic" w:hAnsi="Century Gothic" w:cs="Times"/>
                <w:i/>
                <w:iCs/>
              </w:rPr>
              <w:t>automatically. So you don't need to edit it manually. Of course, if you create a section of this paper that requires numbering after this template, the number will continue with the existing part number. Once again, you don't need to edit the part numbers, because if the contents of this template are deleted, the numbers will be sorted by themselves. If you want to try to delete the contents of this template, please back up first</w:t>
            </w:r>
            <w:r w:rsidR="005013A9" w:rsidRPr="00AB6AC3">
              <w:rPr>
                <w:rFonts w:ascii="Century Gothic" w:hAnsi="Century Gothic" w:cs="Times"/>
                <w:i/>
                <w:iCs/>
              </w:rPr>
              <w:t xml:space="preserve">  </w:t>
            </w:r>
          </w:p>
          <w:p w14:paraId="7D3A0C25" w14:textId="77777777" w:rsidR="005013A9" w:rsidRPr="00AB6AC3" w:rsidRDefault="005013A9" w:rsidP="00AB6AC3">
            <w:pPr>
              <w:spacing w:line="360" w:lineRule="auto"/>
              <w:rPr>
                <w:rFonts w:ascii="Century Gothic" w:hAnsi="Century Gothic" w:cs="Times"/>
                <w:i/>
                <w:iCs/>
              </w:rPr>
            </w:pPr>
          </w:p>
          <w:p w14:paraId="5094F1E6" w14:textId="63F47E83" w:rsidR="00D42E85" w:rsidRPr="00AB6AC3" w:rsidRDefault="00FC4095" w:rsidP="00AB6AC3">
            <w:pPr>
              <w:spacing w:line="360" w:lineRule="auto"/>
            </w:pPr>
            <w:r w:rsidRPr="00FC4095">
              <w:rPr>
                <w:rFonts w:ascii="Century Gothic" w:hAnsi="Century Gothic" w:cs="Times"/>
                <w:b/>
                <w:bCs/>
                <w:i/>
                <w:iCs/>
              </w:rPr>
              <w:t>Keywords:</w:t>
            </w:r>
            <w:r w:rsidRPr="00FC4095">
              <w:rPr>
                <w:rFonts w:ascii="Century Gothic" w:hAnsi="Century Gothic" w:cs="Times"/>
                <w:i/>
                <w:iCs/>
              </w:rPr>
              <w:t xml:space="preserve"> service excellence, teacher services, school competitiveness, teacher productivity, community service</w:t>
            </w:r>
          </w:p>
        </w:tc>
      </w:tr>
      <w:tr w:rsidR="00D42E85" w:rsidRPr="00AB6AC3" w14:paraId="4F5F4F5F" w14:textId="77777777" w:rsidTr="00B82A8E">
        <w:tc>
          <w:tcPr>
            <w:tcW w:w="3397" w:type="dxa"/>
            <w:tcBorders>
              <w:top w:val="single" w:sz="4" w:space="0" w:color="auto"/>
            </w:tcBorders>
          </w:tcPr>
          <w:p w14:paraId="0EF38F0B" w14:textId="77777777" w:rsidR="00D42E85" w:rsidRPr="00AB6AC3" w:rsidRDefault="00D42E85" w:rsidP="00AB6AC3">
            <w:pPr>
              <w:spacing w:line="360" w:lineRule="auto"/>
            </w:pPr>
          </w:p>
        </w:tc>
        <w:tc>
          <w:tcPr>
            <w:tcW w:w="6242" w:type="dxa"/>
            <w:tcBorders>
              <w:top w:val="single" w:sz="4" w:space="0" w:color="auto"/>
            </w:tcBorders>
          </w:tcPr>
          <w:p w14:paraId="30C34C9F" w14:textId="5B9DA9A8" w:rsidR="00D42E85" w:rsidRPr="00AB6AC3" w:rsidRDefault="00401CD4" w:rsidP="00AB6AC3">
            <w:pPr>
              <w:spacing w:line="360" w:lineRule="auto"/>
              <w:jc w:val="right"/>
            </w:pPr>
            <w:r w:rsidRPr="00AB6AC3">
              <w:rPr>
                <w:rFonts w:ascii="Century Gothic" w:hAnsi="Century Gothic" w:cs="Times"/>
              </w:rPr>
              <w:t xml:space="preserve">Copyright </w:t>
            </w:r>
            <w:r w:rsidR="00D42E85" w:rsidRPr="00AB6AC3">
              <w:rPr>
                <w:rFonts w:ascii="Century Gothic" w:hAnsi="Century Gothic" w:cs="Times"/>
              </w:rPr>
              <w:t>© 20</w:t>
            </w:r>
            <w:r w:rsidR="00471381" w:rsidRPr="00AB6AC3">
              <w:rPr>
                <w:rFonts w:ascii="Century Gothic" w:hAnsi="Century Gothic" w:cs="Times"/>
                <w:lang w:val="id-ID"/>
              </w:rPr>
              <w:t>xx</w:t>
            </w:r>
            <w:r w:rsidR="00D42E85" w:rsidRPr="00AB6AC3">
              <w:rPr>
                <w:rFonts w:ascii="Century Gothic" w:hAnsi="Century Gothic" w:cs="Times"/>
              </w:rPr>
              <w:t xml:space="preserve"> </w:t>
            </w:r>
            <w:r w:rsidR="00085D40" w:rsidRPr="00AB6AC3">
              <w:rPr>
                <w:rFonts w:ascii="Century Gothic" w:hAnsi="Century Gothic" w:cs="Times"/>
              </w:rPr>
              <w:t>Author</w:t>
            </w:r>
            <w:r w:rsidR="00D42E85" w:rsidRPr="00AB6AC3">
              <w:rPr>
                <w:rFonts w:ascii="Century Gothic" w:hAnsi="Century Gothic" w:cs="Times"/>
              </w:rPr>
              <w:t>. All rights reserved</w:t>
            </w:r>
          </w:p>
        </w:tc>
      </w:tr>
    </w:tbl>
    <w:p w14:paraId="180FE25F" w14:textId="77777777" w:rsidR="00D42E85" w:rsidRPr="00AB6AC3" w:rsidRDefault="00D42E85" w:rsidP="00AB6AC3">
      <w:pPr>
        <w:widowControl w:val="0"/>
        <w:autoSpaceDE w:val="0"/>
        <w:autoSpaceDN w:val="0"/>
        <w:adjustRightInd w:val="0"/>
        <w:spacing w:after="240" w:line="360" w:lineRule="auto"/>
        <w:sectPr w:rsidR="00D42E85" w:rsidRPr="00AB6AC3" w:rsidSect="001D7CA6">
          <w:headerReference w:type="default" r:id="rId8"/>
          <w:footerReference w:type="default" r:id="rId9"/>
          <w:headerReference w:type="first" r:id="rId10"/>
          <w:footerReference w:type="first" r:id="rId11"/>
          <w:type w:val="continuous"/>
          <w:pgSz w:w="11894" w:h="16157" w:code="9"/>
          <w:pgMar w:top="1411" w:right="1138" w:bottom="1699" w:left="1138" w:header="1138" w:footer="1138" w:gutter="0"/>
          <w:cols w:space="708"/>
          <w:titlePg/>
          <w:docGrid w:linePitch="360"/>
        </w:sectPr>
      </w:pPr>
    </w:p>
    <w:p w14:paraId="325D22D7" w14:textId="19BECC48" w:rsidR="00E313A9" w:rsidRPr="00AB6AC3" w:rsidRDefault="00E313A9" w:rsidP="00AB6AC3">
      <w:pPr>
        <w:pStyle w:val="Heading1"/>
        <w:tabs>
          <w:tab w:val="left" w:pos="-3179"/>
          <w:tab w:val="num" w:pos="432"/>
        </w:tabs>
        <w:overflowPunct w:val="0"/>
        <w:autoSpaceDE w:val="0"/>
        <w:autoSpaceDN w:val="0"/>
        <w:adjustRightInd w:val="0"/>
        <w:spacing w:before="0" w:after="200" w:line="360" w:lineRule="auto"/>
        <w:jc w:val="both"/>
        <w:textAlignment w:val="baseline"/>
        <w:rPr>
          <w:rFonts w:ascii="Century Gothic" w:hAnsi="Century Gothic"/>
          <w:sz w:val="24"/>
          <w:szCs w:val="24"/>
        </w:rPr>
      </w:pPr>
      <w:r w:rsidRPr="00AB6AC3">
        <w:rPr>
          <w:rFonts w:ascii="Century Gothic" w:hAnsi="Century Gothic"/>
          <w:sz w:val="24"/>
          <w:szCs w:val="24"/>
        </w:rPr>
        <w:lastRenderedPageBreak/>
        <w:t>PENDAHULUAN</w:t>
      </w:r>
    </w:p>
    <w:p w14:paraId="50EB4391" w14:textId="77777777" w:rsidR="00FE6E37" w:rsidRPr="00AB6AC3" w:rsidRDefault="00FE6E37" w:rsidP="00AB6AC3">
      <w:pPr>
        <w:spacing w:after="200" w:line="360" w:lineRule="auto"/>
        <w:ind w:firstLine="720"/>
        <w:jc w:val="both"/>
        <w:rPr>
          <w:rFonts w:ascii="Century Gothic" w:hAnsi="Century Gothic"/>
          <w:lang w:val="id-ID" w:eastAsia="id-ID"/>
        </w:rPr>
      </w:pPr>
      <w:r w:rsidRPr="00AB6AC3">
        <w:rPr>
          <w:rFonts w:ascii="Century Gothic" w:hAnsi="Century Gothic"/>
          <w:lang w:val="id-ID" w:eastAsia="id-ID"/>
        </w:rPr>
        <w:t>Perguruan tinggi memiliki peran strategis dalam melaksanakan pengabdian kepada masyarakat sebagai bagian dari Tri Dharma yang bertujuan meningkatkan kualitas sumber daya manusia dan memperkuat kapasitas lembaga pendidikan. Pengabdian kepada masyarakat dalam bidang pendidikan dasar menjadi penting karena sekolah merupakan fondasi pembentukan kualitas sumber daya manusia sejak dini. Salah satu aspek penting dalam peningkatan kualitas pendidikan dasar adalah pelayanan prima dalam proses pembelajaran dan layanan pendidikan kepada peserta didik serta orang tua. Pendidikan modern menempatkan sekolah sebagai organisasi jasa yang dituntut memberikan layanan berkualitas tinggi untuk memenuhi kebutuhan pengguna layanan pendidikan. Kualitas layanan pendidikan yang baik terbukti meningkatkan kepuasan pemangku kepentingan serta memperkuat posisi kompetitif lembaga pendidikan dalam lingkungan yang semakin kompetitif (Abbas, 2020; Hart &amp; Rodgers, 2024). Oleh karena itu, implementasi service excellence dalam pendidikan dasar menjadi pendekatan strategis yang dapat dilakukan melalui kegiatan pengabdian kepada masyarakat berbasis pelatihan dan pendampingan guru.</w:t>
      </w:r>
    </w:p>
    <w:p w14:paraId="6C8BE452" w14:textId="77777777" w:rsidR="00FE6E37" w:rsidRPr="00AB6AC3" w:rsidRDefault="00FE6E37" w:rsidP="00AB6AC3">
      <w:pPr>
        <w:spacing w:after="200" w:line="360" w:lineRule="auto"/>
        <w:jc w:val="both"/>
        <w:rPr>
          <w:rFonts w:ascii="Century Gothic" w:hAnsi="Century Gothic"/>
          <w:lang w:val="id-ID" w:eastAsia="id-ID"/>
        </w:rPr>
      </w:pPr>
      <w:r w:rsidRPr="00AB6AC3">
        <w:rPr>
          <w:rFonts w:ascii="Century Gothic" w:hAnsi="Century Gothic"/>
          <w:lang w:val="id-ID" w:eastAsia="id-ID"/>
        </w:rPr>
        <w:tab/>
        <w:t xml:space="preserve">Persaingan antar sekolah dasar saat ini semakin meningkat seiring dengan meningkatnya kesadaran masyarakat terhadap mutu layanan pendidikan. Orang tua tidak hanya mempertimbangkan prestasi akademik, tetapi juga kualitas pelayanan yang diberikan oleh guru, komunikasi sekolah, serta kenyamanan lingkungan belajar. Sekolah yang mampu memberikan pelayanan yang responsif, empatik, dan profesional cenderung lebih diminati oleh masyarakat. Dalam konteks ini, kualitas layanan pendidikan menjadi salah satu faktor utama dalam membangun keunggulan kompetitif sekolah. Penelitian menunjukkan bahwa peningkatan kualitas layanan pendidikan berkontribusi signifikan terhadap daya saing lembaga pendidikan dan keberlanjutan institusi dalam jangka panjang (Athanasiadis &amp; Papadopoulou, 2024). Selain itu, pelayanan pendidikan yang </w:t>
      </w:r>
      <w:r w:rsidRPr="00AB6AC3">
        <w:rPr>
          <w:rFonts w:ascii="Century Gothic" w:hAnsi="Century Gothic"/>
          <w:lang w:val="id-ID" w:eastAsia="id-ID"/>
        </w:rPr>
        <w:lastRenderedPageBreak/>
        <w:t>berkualitas juga berdampak pada peningkatan kepercayaan masyarakat terhadap sekolah. Oleh karena itu, peningkatan kualitas pelayanan guru menjadi strategi penting dalam meningkatkan daya saing sekolah dasar.</w:t>
      </w:r>
    </w:p>
    <w:p w14:paraId="4DC3050A" w14:textId="77777777" w:rsidR="00FE6E37" w:rsidRPr="00AB6AC3" w:rsidRDefault="00FE6E37" w:rsidP="00AB6AC3">
      <w:pPr>
        <w:spacing w:after="200" w:line="360" w:lineRule="auto"/>
        <w:jc w:val="both"/>
        <w:rPr>
          <w:rFonts w:ascii="Century Gothic" w:hAnsi="Century Gothic"/>
          <w:lang w:val="id-ID" w:eastAsia="id-ID"/>
        </w:rPr>
      </w:pPr>
      <w:r w:rsidRPr="00AB6AC3">
        <w:rPr>
          <w:rFonts w:ascii="Century Gothic" w:hAnsi="Century Gothic"/>
          <w:lang w:val="id-ID" w:eastAsia="id-ID"/>
        </w:rPr>
        <w:tab/>
        <w:t xml:space="preserve">Guru merupakan ujung tombak pelayanan pendidikan karena berinteraksi langsung dengan peserta didik dalam proses pembelajaran. Kualitas pelayanan guru tercermin melalui kemampuan komunikasi, empati, responsivitas, dan profesionalisme dalam melayani kebutuhan belajar siswa. Guru yang mampu memberikan pelayanan pembelajaran berkualitas akan menciptakan pengalaman belajar yang positif bagi peserta didik. Selain itu, kualitas layanan guru juga berpengaruh terhadap kepuasan peserta didik dan orang tua terhadap sekolah. Penelitian menunjukkan bahwa kompetensi guru yang didukung melalui pelatihan dan coaching mampu meningkatkan kualitas layanan pendidikan secara signifikan (Yan et al., 2022). </w:t>
      </w:r>
    </w:p>
    <w:p w14:paraId="4DA53629" w14:textId="77777777" w:rsidR="00FE6E37" w:rsidRPr="00AB6AC3" w:rsidRDefault="00FE6E37" w:rsidP="00AB6AC3">
      <w:pPr>
        <w:spacing w:after="200" w:line="360" w:lineRule="auto"/>
        <w:jc w:val="both"/>
        <w:rPr>
          <w:rFonts w:ascii="Century Gothic" w:hAnsi="Century Gothic"/>
          <w:lang w:val="id-ID" w:eastAsia="id-ID"/>
        </w:rPr>
      </w:pPr>
      <w:r w:rsidRPr="00AB6AC3">
        <w:rPr>
          <w:rFonts w:ascii="Century Gothic" w:hAnsi="Century Gothic"/>
          <w:lang w:val="id-ID" w:eastAsia="id-ID"/>
        </w:rPr>
        <w:tab/>
        <w:t xml:space="preserve">Implementasi service excellence dalam pendidikan dasar masih menghadapi berbagai tantangan. Guru umumnya lebih berfokus pada penyampaian materi dibandingkan pada aspek pelayanan pembelajaran. Selain itu, konsep pelayanan prima dalam pendidikan belum sepenuhnya dipahami oleh guru sebagai bagian dari kualitas layanan pendidikan. Keterbatasan pelatihan yang berfokus pada pelayanan pendidikan juga menjadi faktor yang menyebabkan rendahnya implementasi service excellence di sekolah dasar. Penelitian sebelumnya lebih banyak membahas kualitas layanan pendidikan secara konseptual, namun masih terbatas pada implementasi pelatihan service excellence berbasis pendampingan secara langsung kepada guru. Selain itu, sebagian besar penelitian hanya menekankan pada peningkatan kualitas layanan tanpa mengaitkannya dengan produktivitas pelayanan guru. Kesenjangan lainnya adalah terbatasnya penelitian yang mengkaji pelatihan service excellence pada sekolah dasar di wilayah kepulauan dengan karakteristik sumber daya yang terbatas. </w:t>
      </w:r>
    </w:p>
    <w:p w14:paraId="561BA174" w14:textId="77777777" w:rsidR="00FE6E37" w:rsidRPr="00AB6AC3" w:rsidRDefault="00FE6E37" w:rsidP="00AB6AC3">
      <w:pPr>
        <w:spacing w:after="200" w:line="360" w:lineRule="auto"/>
        <w:jc w:val="both"/>
        <w:rPr>
          <w:rFonts w:ascii="Century Gothic" w:hAnsi="Century Gothic"/>
          <w:lang w:val="id-ID" w:eastAsia="id-ID"/>
        </w:rPr>
      </w:pPr>
      <w:r w:rsidRPr="00AB6AC3">
        <w:rPr>
          <w:rFonts w:ascii="Century Gothic" w:hAnsi="Century Gothic"/>
          <w:lang w:val="id-ID" w:eastAsia="id-ID"/>
        </w:rPr>
        <w:lastRenderedPageBreak/>
        <w:tab/>
        <w:t>SD Muhammadiyah Kangean sebagai salah satu sekolah dasar di wilayah kepulauan menghadapi tantangan dalam meningkatkan kualitas pelayanan pendidikan. Letak geografis yang berada di wilayah kepulauan menyebabkan keterbatasan akses pelatihan profesional bagi guru. Selain itu, kegiatan pengembangan kompetensi guru selama ini lebih berfokus pada aspek pedagogik dan belum menyentuh aspek pelayanan pendidikan. Kondisi awal menunjukkan bahwa pelayanan pembelajaran masih berorientasi pada penyampaian materi tanpa memperhatikan aspek kepuasan peserta didik. Guru belum memiliki standar pelayanan pembelajaran yang terstruktur dan konsisten. Selain itu, komunikasi layanan kepada siswa dan orang tua belum berjalan optimal. Kondisi tersebut berdampak pada belum optimalnya kualitas layanan pendidikan. Jika kondisi ini tidak ditangani, maka daya saing sekolah dapat menurun dalam menghadapi persaingan antar sekolah dasar.</w:t>
      </w:r>
    </w:p>
    <w:p w14:paraId="7D0DC1D1" w14:textId="77777777" w:rsidR="00FE6E37" w:rsidRPr="00AB6AC3" w:rsidRDefault="00FE6E37" w:rsidP="00AB6AC3">
      <w:pPr>
        <w:spacing w:after="200" w:line="360" w:lineRule="auto"/>
        <w:jc w:val="both"/>
        <w:rPr>
          <w:rFonts w:ascii="Century Gothic" w:hAnsi="Century Gothic"/>
          <w:lang w:val="id-ID" w:eastAsia="id-ID"/>
        </w:rPr>
      </w:pPr>
      <w:r w:rsidRPr="00AB6AC3">
        <w:rPr>
          <w:rFonts w:ascii="Century Gothic" w:hAnsi="Century Gothic"/>
          <w:lang w:val="id-ID" w:eastAsia="id-ID"/>
        </w:rPr>
        <w:tab/>
        <w:t>Pelatihan service excellence merupakan salah satu pendekatan yang efektif dalam meningkatkan kualitas pelayanan pendidikan. Pelatihan ini bertujuan meningkatkan pemahaman guru terhadap konsep pelayanan prima serta penerapannya dalam pembelajaran. Selain itu, pelatihan juga membantu guru memahami pentingnya kepuasan peserta didik sebagai indikator kualitas layanan pendidikan. Pendampingan setelah pelatihan menjadi bagian penting untuk memastikan implementasi service excellence berjalan secara konsisten. Program mentoring dan coaching terbukti mampu meningkatkan kompetensi guru serta kualitas layanan pembelajaran secara berkelanjutan (Alsaleh et al., 2017). Pendampingan juga membantu guru dalam mengidentifikasi permasalahan layanan pembelajaran secara langsung.</w:t>
      </w:r>
    </w:p>
    <w:p w14:paraId="13D17799" w14:textId="77777777" w:rsidR="00FE6E37" w:rsidRPr="00AB6AC3" w:rsidRDefault="00FE6E37" w:rsidP="00AB6AC3">
      <w:pPr>
        <w:spacing w:after="200" w:line="360" w:lineRule="auto"/>
        <w:jc w:val="both"/>
        <w:rPr>
          <w:rFonts w:ascii="Century Gothic" w:hAnsi="Century Gothic"/>
          <w:lang w:val="id-ID" w:eastAsia="id-ID"/>
        </w:rPr>
      </w:pPr>
      <w:r w:rsidRPr="00AB6AC3">
        <w:rPr>
          <w:rFonts w:ascii="Century Gothic" w:hAnsi="Century Gothic"/>
          <w:lang w:val="id-ID" w:eastAsia="id-ID"/>
        </w:rPr>
        <w:tab/>
        <w:t xml:space="preserve">Penerapan service excellence dalam pendidikan dasar tidak hanya meningkatkan kualitas layanan tetapi juga meningkatkan produktivitas pelayanan pendidikan. Guru yang memahami konsep pelayanan prima akan lebih responsif terhadap kebutuhan peserta didik. Selain itu, pelayanan yang berkualitas mampu menciptakan lingkungan pembelajaran yang kondusif. Sekolah yang memiliki </w:t>
      </w:r>
      <w:r w:rsidRPr="00AB6AC3">
        <w:rPr>
          <w:rFonts w:ascii="Century Gothic" w:hAnsi="Century Gothic"/>
          <w:lang w:val="id-ID" w:eastAsia="id-ID"/>
        </w:rPr>
        <w:lastRenderedPageBreak/>
        <w:t>kualitas layanan tinggi cenderung memperoleh kepercayaan masyarakat. Hal tersebut berdampak pada peningkatan jumlah peserta didik dan daya saing sekolah. Penelitian menunjukkan bahwa program pelatihan berbasis layanan dan pendampingan mampu meningkatkan kualitas layanan pendidikan sekaligus memperkuat daya saing lembaga pendidikan (Rodríguez-Zurita &amp; Jaya-Montalvo, 2025).</w:t>
      </w:r>
    </w:p>
    <w:p w14:paraId="70F89628" w14:textId="77777777" w:rsidR="00FE6E37" w:rsidRPr="00AB6AC3" w:rsidRDefault="00FE6E37" w:rsidP="00AB6AC3">
      <w:pPr>
        <w:spacing w:after="200" w:line="360" w:lineRule="auto"/>
        <w:jc w:val="both"/>
        <w:rPr>
          <w:rFonts w:ascii="Century Gothic" w:hAnsi="Century Gothic"/>
          <w:lang w:val="id-ID" w:eastAsia="id-ID"/>
        </w:rPr>
      </w:pPr>
      <w:r w:rsidRPr="00AB6AC3">
        <w:rPr>
          <w:rFonts w:ascii="Century Gothic" w:hAnsi="Century Gothic"/>
          <w:lang w:val="id-ID" w:eastAsia="id-ID"/>
        </w:rPr>
        <w:tab/>
        <w:t>Berdasarkan permasalahan tersebut, kegiatan pengabdian kepada masyarakat ini bertujuan untuk meningkatkan pemahaman guru SD Muhammadiyah Kangean mengenai service excellence dalam pelayanan pendidikan. Selain itu, kegiatan ini bertujuan meningkatkan kualitas pelayanan guru dalam proses pembelajaran. Kegiatan ini juga bertujuan meningkatkan produktivitas pelayanan pendidikan melalui pendampingan berkelanjutan. Selain itu, pengabdian ini bertujuan meningkatkan daya saing sekolah melalui penerapan pelayanan prima dalam pendidikan.</w:t>
      </w:r>
    </w:p>
    <w:p w14:paraId="2AA3B960" w14:textId="4003E86E" w:rsidR="00471381" w:rsidRPr="00AB6AC3" w:rsidRDefault="00471381" w:rsidP="00AB6AC3">
      <w:pPr>
        <w:spacing w:after="200" w:line="360" w:lineRule="auto"/>
        <w:jc w:val="both"/>
        <w:rPr>
          <w:rFonts w:ascii="Century Gothic" w:eastAsiaTheme="majorEastAsia" w:hAnsi="Century Gothic" w:cstheme="majorBidi"/>
          <w:b/>
          <w:bCs/>
          <w:kern w:val="32"/>
          <w:lang w:val="id-ID"/>
        </w:rPr>
      </w:pPr>
      <w:r w:rsidRPr="00AB6AC3">
        <w:rPr>
          <w:rFonts w:ascii="Century Gothic" w:eastAsiaTheme="majorEastAsia" w:hAnsi="Century Gothic" w:cstheme="majorBidi"/>
          <w:b/>
          <w:bCs/>
          <w:kern w:val="32"/>
        </w:rPr>
        <w:t>METODE PELAKSANAAN</w:t>
      </w:r>
    </w:p>
    <w:p w14:paraId="5D3C2C00" w14:textId="4B92CDC2" w:rsidR="00471381" w:rsidRPr="00AB6AC3" w:rsidRDefault="00FE6E37" w:rsidP="00AB6AC3">
      <w:pPr>
        <w:spacing w:after="200" w:line="360" w:lineRule="auto"/>
        <w:ind w:firstLine="425"/>
        <w:jc w:val="both"/>
        <w:rPr>
          <w:rFonts w:ascii="Century Gothic" w:hAnsi="Century Gothic"/>
          <w:lang w:val="id-ID" w:eastAsia="id-ID"/>
        </w:rPr>
      </w:pPr>
      <w:r w:rsidRPr="00AB6AC3">
        <w:rPr>
          <w:rFonts w:ascii="Century Gothic" w:hAnsi="Century Gothic"/>
          <w:lang w:val="id-ID" w:eastAsia="id-ID"/>
        </w:rPr>
        <w:t>Kegiatan pengabdian kepada masyarakat ini dilaksanakan di SD Muhammadiyah Kangean. Pemilihan lokasi didasarkan pada kebutuhan peningkatan kualitas pelayanan guru melalui pelatihan service excellence. Lokasi penelitian merupakan tempat dilaksanakannya kegiatan yang menjadi sumber data penelitian (Sugiyono, 2019). Kegiatan ini dilaksanakan pada tanggal 16 Maret 2026. Pelaksanaan kegiatan dilakukan secara terstruktur mulai dari observasi awal hingga evaluasi kegiatan agar tujuan pelatihan dapat tercapai secara optimal. Penentuan waktu kegiatan merupakan bagian penting dalam penelitian karena berkaitan dengan pelaksanaan pengumpulan data secara sistematis (Arikunto, 2013).</w:t>
      </w:r>
    </w:p>
    <w:p w14:paraId="59EC58E0" w14:textId="42D30509" w:rsidR="00FE6E37" w:rsidRPr="00AB6AC3" w:rsidRDefault="00FE6E37" w:rsidP="00AB6AC3">
      <w:pPr>
        <w:spacing w:after="200" w:line="360" w:lineRule="auto"/>
        <w:ind w:firstLine="425"/>
        <w:jc w:val="both"/>
        <w:rPr>
          <w:rFonts w:ascii="Century Gothic" w:hAnsi="Century Gothic"/>
          <w:lang w:val="id-ID" w:eastAsia="id-ID"/>
        </w:rPr>
      </w:pPr>
      <w:r w:rsidRPr="00AB6AC3">
        <w:rPr>
          <w:rFonts w:ascii="Century Gothic" w:hAnsi="Century Gothic"/>
          <w:lang w:val="id-ID" w:eastAsia="id-ID"/>
        </w:rPr>
        <w:t xml:space="preserve">Peserta kegiatan dalam pengabdian kepada masyarakat ini adalah guru SD Muhammadiyah Kangean. Guru dipilih sebagai peserta karena guru merupakan subjek yang terlibat langsung dalam pelayanan pendidikan kepada peserta didik. Subjek penelitian adalah pihak yang dijadikan sumber data dalam kegiatan </w:t>
      </w:r>
      <w:r w:rsidRPr="00AB6AC3">
        <w:rPr>
          <w:rFonts w:ascii="Century Gothic" w:hAnsi="Century Gothic"/>
          <w:lang w:val="id-ID" w:eastAsia="id-ID"/>
        </w:rPr>
        <w:lastRenderedPageBreak/>
        <w:t>penelitian atau pengabdian (Sugiyono, 2019). Jumlah peserta dalam kegiatan ini sebanyak …… orang guru yang terdiri dari guru kelas dan guru mata pelajaran. Penentuan jumlah peserta dilakukan secara purposive karena peserta dipilih berdasarkan kebutuhan kegiatan pelatihan service excellence. Teknik purposive digunakan untuk memilih subjek yang sesuai dengan tujuan penelitian (Creswell, 2014).</w:t>
      </w:r>
    </w:p>
    <w:p w14:paraId="48B2F638" w14:textId="77777777" w:rsidR="00FE6E37" w:rsidRPr="00AB6AC3" w:rsidRDefault="00FE6E37" w:rsidP="00AB6AC3">
      <w:pPr>
        <w:spacing w:after="200" w:line="360" w:lineRule="auto"/>
        <w:ind w:firstLine="425"/>
        <w:jc w:val="both"/>
        <w:rPr>
          <w:rFonts w:ascii="Century Gothic" w:hAnsi="Century Gothic"/>
          <w:lang w:val="id-ID" w:eastAsia="id-ID"/>
        </w:rPr>
      </w:pPr>
      <w:r w:rsidRPr="00AB6AC3">
        <w:rPr>
          <w:rFonts w:ascii="Century Gothic" w:hAnsi="Century Gothic"/>
          <w:lang w:val="id-ID" w:eastAsia="id-ID"/>
        </w:rPr>
        <w:t>Metode pelaksanaan kegiatan pengabdian kepada masyarakat ini menggunakan pendekatan pelatihan dan pendampingan. Metode pelaksanaan kegiatan meliputi ceramah, diskusi, simulasi pelayanan, pendampingan langsung, dan evaluasi. Metode pelatihan merupakan cara yang digunakan untuk meningkatkan pengetahuan dan keterampilan peserta secara sistematis (Sudjana, 2010). Metode ceramah digunakan untuk menyampaikan materi service excellence kepada guru SD Muhammadiyah Kangean. Ceramah merupakan metode penyampaian materi secara lisan kepada peserta untuk memberikan pemahaman konsep secara sistematis (Sanjaya, 2016). Materi yang disampaikan meliputi konsep pelayanan prima, komunikasi layanan, dan kualitas pelayanan pendidikan.</w:t>
      </w:r>
    </w:p>
    <w:p w14:paraId="149CA57A" w14:textId="77777777" w:rsidR="00FE6E37" w:rsidRPr="00AB6AC3" w:rsidRDefault="00FE6E37" w:rsidP="00AB6AC3">
      <w:pPr>
        <w:spacing w:after="200" w:line="360" w:lineRule="auto"/>
        <w:ind w:firstLine="425"/>
        <w:jc w:val="both"/>
        <w:rPr>
          <w:rFonts w:ascii="Century Gothic" w:hAnsi="Century Gothic"/>
          <w:lang w:val="id-ID" w:eastAsia="id-ID"/>
        </w:rPr>
      </w:pPr>
      <w:r w:rsidRPr="00AB6AC3">
        <w:rPr>
          <w:rFonts w:ascii="Century Gothic" w:hAnsi="Century Gothic"/>
          <w:lang w:val="id-ID" w:eastAsia="id-ID"/>
        </w:rPr>
        <w:tab/>
        <w:t>Metode diskusi digunakan untuk memberikan kesempatan kepada peserta untuk menyampaikan permasalahan pelayanan pendidikan yang dihadapi. Diskusi merupakan metode pembelajaran yang melibatkan peserta secara aktif dalam bertukar pendapat untuk memecahkan masalah (Djamarah &amp; Zain, 2013). Metode simulasi pelayanan dilakukan untuk melatih guru dalam menerapkan service excellence dalam pembelajaran. Simulasi merupakan metode pembelajaran melalui praktik langsung untuk meningkatkan keterampilan peserta (Sanjaya, 2016).</w:t>
      </w:r>
    </w:p>
    <w:p w14:paraId="34750515" w14:textId="00462B39" w:rsidR="00FE6E37" w:rsidRPr="00AB6AC3" w:rsidRDefault="00FE6E37" w:rsidP="00AB6AC3">
      <w:pPr>
        <w:spacing w:after="200" w:line="360" w:lineRule="auto"/>
        <w:ind w:firstLine="425"/>
        <w:jc w:val="both"/>
        <w:rPr>
          <w:rFonts w:ascii="Century Gothic" w:hAnsi="Century Gothic"/>
          <w:lang w:val="id-ID" w:eastAsia="id-ID"/>
        </w:rPr>
      </w:pPr>
      <w:r w:rsidRPr="00AB6AC3">
        <w:rPr>
          <w:rFonts w:ascii="Century Gothic" w:hAnsi="Century Gothic"/>
          <w:lang w:val="id-ID" w:eastAsia="id-ID"/>
        </w:rPr>
        <w:tab/>
        <w:t xml:space="preserve">Metode pendampingan langsung dilakukan setelah pelatihan untuk membantu guru dalam menerapkan pelayanan prima dalam pembelajaran. Pendampingan merupakan kegiatan bimbingan yang dilakukan secara berkelanjutan untuk meningkatkan kompetensi peserta (Sudjana, 2010). Metode </w:t>
      </w:r>
      <w:r w:rsidRPr="00AB6AC3">
        <w:rPr>
          <w:rFonts w:ascii="Century Gothic" w:hAnsi="Century Gothic"/>
          <w:lang w:val="id-ID" w:eastAsia="id-ID"/>
        </w:rPr>
        <w:lastRenderedPageBreak/>
        <w:t>evaluasi dilakukan untuk mengetahui keberhasilan kegiatan pelatihan service excellence. Evaluasi merupakan proses pengumpulan data untuk mengetahui tingkat keberhasilan suatu kegiatan (Arikunto, 2013).</w:t>
      </w:r>
    </w:p>
    <w:p w14:paraId="7D050D78" w14:textId="2219EC12" w:rsidR="00FE6E37" w:rsidRPr="00AB6AC3" w:rsidRDefault="00FE6E37" w:rsidP="00AB6AC3">
      <w:pPr>
        <w:spacing w:after="200" w:line="360" w:lineRule="auto"/>
        <w:ind w:firstLine="425"/>
        <w:jc w:val="both"/>
        <w:rPr>
          <w:rFonts w:ascii="Century Gothic" w:hAnsi="Century Gothic"/>
          <w:lang w:eastAsia="id-ID"/>
        </w:rPr>
      </w:pPr>
      <w:r w:rsidRPr="00AB6AC3">
        <w:rPr>
          <w:rFonts w:ascii="Century Gothic" w:hAnsi="Century Gothic"/>
          <w:lang w:val="id-ID" w:eastAsia="id-ID"/>
        </w:rPr>
        <w:t>Tahapan kegiatan pengabdian kepada masyarakat ini dilaksanakan secara sistematis melalui beberapa tahap. Tahap pertama adalah observasi awal untuk mengetahui kondisi pelayanan guru sebelum pelatihan. Observasi merupakan teknik pengumpulan data dengan mengamati secara langsung objek yang diteliti (Sugiyono, 2019). Tahap kedua adalah identifikasi masalah berdasarkan hasil observasi awal. Identifikasi masalah dilakukan untuk mengetahui kebutuhan pelatihan service excellence bagi guru. Identifikasi masalah merupakan langkah awal dalam merancang kegiatan penelitian atau pengabdian (Creswell, 2014). Tahap ketiga adalah pelatihan service excellence kepada guru SD Muhammadiyah Kangean. Pelatihan dilakukan melalui penyampaian materi dan praktik pelayanan pembelajaran. Pelatihan bertujuan meningkatkan pengetahuan dan keterampilan peserta (Sudjana, 2010). Tahap keempat adalah pendampingan guru dalam menerapkan service excellence. Pendampingan dilakukan melalui bimbingan langsung selama proses pembelajaran. Pendampingan bertujuan memastikan peserta mampu menerapkan hasil pelatihan secara berkelanjutan (Sanjaya, 2016). Tahap kelima adalah evaluasi kegiatan untuk mengetahui efektivitas pelatihan service excellence. Evaluasi dilakukan dengan membandingkan kondisi sebelum dan sesudah kegiatan. Evaluasi digunakan untuk mengetahui keberhasilan kegiatan pelatihan (Arikunto, 2013).</w:t>
      </w:r>
      <w:r w:rsidRPr="00AB6AC3">
        <w:rPr>
          <w:rFonts w:ascii="Century Gothic" w:hAnsi="Century Gothic"/>
          <w:lang w:eastAsia="id-ID"/>
        </w:rPr>
        <w:t xml:space="preserve"> </w:t>
      </w:r>
    </w:p>
    <w:p w14:paraId="6870E054" w14:textId="780FA0FF" w:rsidR="00E313A9" w:rsidRPr="00AB6AC3" w:rsidRDefault="005D7AAC" w:rsidP="00AB6AC3">
      <w:pPr>
        <w:pStyle w:val="Heading1"/>
        <w:tabs>
          <w:tab w:val="left" w:pos="-3179"/>
          <w:tab w:val="num" w:pos="432"/>
        </w:tabs>
        <w:overflowPunct w:val="0"/>
        <w:autoSpaceDE w:val="0"/>
        <w:autoSpaceDN w:val="0"/>
        <w:adjustRightInd w:val="0"/>
        <w:spacing w:before="0" w:after="200" w:line="360" w:lineRule="auto"/>
        <w:ind w:left="431" w:hanging="431"/>
        <w:jc w:val="both"/>
        <w:textAlignment w:val="baseline"/>
        <w:rPr>
          <w:rFonts w:ascii="Century Gothic" w:hAnsi="Century Gothic"/>
          <w:sz w:val="24"/>
          <w:szCs w:val="24"/>
        </w:rPr>
      </w:pPr>
      <w:r w:rsidRPr="00AB6AC3">
        <w:rPr>
          <w:rFonts w:ascii="Century Gothic" w:hAnsi="Century Gothic"/>
          <w:sz w:val="24"/>
          <w:szCs w:val="24"/>
        </w:rPr>
        <w:t xml:space="preserve">HASIL </w:t>
      </w:r>
      <w:r w:rsidR="00E313A9" w:rsidRPr="00AB6AC3">
        <w:rPr>
          <w:rFonts w:ascii="Century Gothic" w:hAnsi="Century Gothic"/>
          <w:sz w:val="24"/>
          <w:szCs w:val="24"/>
        </w:rPr>
        <w:t>PEMBAHASAN</w:t>
      </w:r>
    </w:p>
    <w:p w14:paraId="161E252F" w14:textId="77777777" w:rsidR="00AB6AC3" w:rsidRPr="00AB6AC3" w:rsidRDefault="00AB6AC3" w:rsidP="00AB6AC3">
      <w:pPr>
        <w:spacing w:after="200" w:line="360" w:lineRule="auto"/>
        <w:ind w:firstLine="431"/>
        <w:jc w:val="both"/>
        <w:rPr>
          <w:rFonts w:ascii="Century Gothic" w:hAnsi="Century Gothic"/>
          <w:lang w:val="id-ID" w:eastAsia="id-ID"/>
        </w:rPr>
      </w:pPr>
      <w:r w:rsidRPr="00AB6AC3">
        <w:rPr>
          <w:rFonts w:ascii="Century Gothic" w:hAnsi="Century Gothic"/>
          <w:lang w:val="id-ID" w:eastAsia="id-ID"/>
        </w:rPr>
        <w:t xml:space="preserve">Kondisi awal kegiatan pengabdian kepada masyarakat dilakukan di SD Muhammadiyah Kangean yang berstatus sekolah swasta di bawah yayasan dengan nomor NPSN 69984094. Sekolah ini berlokasi di Kecamatan Arjasa, Kabupaten Sumenep dan telah terakreditasi B serta menerapkan Kurikulum Merdeka. SD Muhammadiyah Kangean didirikan pada tanggal 16 Juli 2018 dan </w:t>
      </w:r>
      <w:r w:rsidRPr="00AB6AC3">
        <w:rPr>
          <w:rFonts w:ascii="Century Gothic" w:hAnsi="Century Gothic"/>
          <w:lang w:val="id-ID" w:eastAsia="id-ID"/>
        </w:rPr>
        <w:lastRenderedPageBreak/>
        <w:t>memperoleh izin operasional terbaru pada tanggal 19 Februari 2024. Kondisi tersebut menunjukkan bahwa sekolah masih tergolong berkembang dan memerlukan penguatan pada aspek pelayanan pendidikan, khususnya dalam peningkatan kualitas pelayanan guru.</w:t>
      </w:r>
    </w:p>
    <w:p w14:paraId="1D854043" w14:textId="77777777" w:rsidR="00AB6AC3" w:rsidRPr="00AB6AC3" w:rsidRDefault="00AB6AC3" w:rsidP="00AB6AC3">
      <w:pPr>
        <w:spacing w:after="200" w:line="360" w:lineRule="auto"/>
        <w:jc w:val="both"/>
        <w:rPr>
          <w:rFonts w:ascii="Century Gothic" w:hAnsi="Century Gothic"/>
          <w:lang w:val="id-ID" w:eastAsia="id-ID"/>
        </w:rPr>
      </w:pPr>
      <w:r w:rsidRPr="00AB6AC3">
        <w:rPr>
          <w:rFonts w:ascii="Century Gothic" w:hAnsi="Century Gothic"/>
          <w:lang w:val="id-ID" w:eastAsia="id-ID"/>
        </w:rPr>
        <w:tab/>
        <w:t>Berdasarkan observasi awal, pelayanan guru sebelum pelatihan service excellence masih berfokus pada kegiatan pembelajaran akademik. Guru melaksanakan proses pembelajaran sesuai kurikulum, namun belum secara maksimal menerapkan pendekatan pelayanan prima kepada peserta didik. Interaksi guru dengan siswa masih terbatas pada penyampaian materi, pemberian tugas, dan evaluasi pembelajaran. Guru belum secara optimal memberikan pelayanan pembelajaran yang berorientasi pada kebutuhan siswa. Selain itu, komunikasi pelayanan antara guru dan siswa belum berjalan secara optimal. Guru belum secara konsisten memberikan perhatian individual kepada siswa selama proses pembelajaran. Beberapa siswa masih pasif dalam kegiatan pembelajaran karena interaksi pembelajaran masih berpusat pada guru. Pelayanan pembelajaran yang belum optimal ini menunjukkan bahwa konsep service excellence belum diterapkan secara maksimal dalam kegiatan pembelajaran.</w:t>
      </w:r>
    </w:p>
    <w:p w14:paraId="1BFF090F" w14:textId="77777777" w:rsidR="00AB6AC3" w:rsidRPr="00AB6AC3" w:rsidRDefault="00AB6AC3" w:rsidP="00AB6AC3">
      <w:pPr>
        <w:spacing w:after="200" w:line="360" w:lineRule="auto"/>
        <w:jc w:val="both"/>
        <w:rPr>
          <w:rFonts w:ascii="Century Gothic" w:hAnsi="Century Gothic"/>
          <w:lang w:val="id-ID" w:eastAsia="id-ID"/>
        </w:rPr>
      </w:pPr>
      <w:r w:rsidRPr="00AB6AC3">
        <w:rPr>
          <w:rFonts w:ascii="Century Gothic" w:hAnsi="Century Gothic"/>
          <w:lang w:val="id-ID" w:eastAsia="id-ID"/>
        </w:rPr>
        <w:tab/>
        <w:t>Berdasarkan hasil wawancara dengan guru, terdapat beberapa kendala dalam pelaksanaan pelayanan pembelajaran. Kendala pertama adalah guru belum pernah memperoleh pelatihan khusus mengenai service excellence dalam pendidikan. Guru selama ini lebih banyak mengikuti pelatihan yang berfokus pada perangkat pembelajaran dan kurikulum. Akibatnya, pemahaman guru mengenai pelayanan prima dalam pembelajaran masih terbatas. Kendala kedua adalah belum adanya standar pelayanan pembelajaran yang diterapkan secara sistematis di sekolah. Guru melaksanakan pembelajaran berdasarkan pengalaman masing-masing tanpa adanya panduan pelayanan yang terstruktur. Hal ini menyebabkan kualitas pelayanan pembelajaran belum merata antar guru.</w:t>
      </w:r>
    </w:p>
    <w:p w14:paraId="066D771A" w14:textId="60C94BE3" w:rsidR="00AB6AC3" w:rsidRPr="00AB6AC3" w:rsidRDefault="00000000" w:rsidP="00AB6AC3">
      <w:pPr>
        <w:spacing w:after="200" w:line="360" w:lineRule="auto"/>
        <w:jc w:val="both"/>
        <w:rPr>
          <w:rFonts w:ascii="Century Gothic" w:hAnsi="Century Gothic"/>
          <w:lang w:val="id-ID" w:eastAsia="id-ID"/>
        </w:rPr>
      </w:pPr>
      <w:r>
        <w:rPr>
          <w:noProof/>
        </w:rPr>
        <w:lastRenderedPageBreak/>
        <w:pict w14:anchorId="3102316B">
          <v:shapetype id="_x0000_t202" coordsize="21600,21600" o:spt="202" path="m,l,21600r21600,l21600,xe">
            <v:stroke joinstyle="miter"/>
            <v:path gradientshapeok="t" o:connecttype="rect"/>
          </v:shapetype>
          <v:shape id="_x0000_s2050" type="#_x0000_t202" style="position:absolute;left:0;text-align:left;margin-left:76.65pt;margin-top:401.3pt;width:326.55pt;height:.05pt;z-index:251658240;mso-position-horizontal-relative:text;mso-position-vertical-relative:text" stroked="f">
            <v:textbox style="mso-fit-shape-to-text:t" inset="0,0,0,0">
              <w:txbxContent>
                <w:p w14:paraId="3C2E9D21" w14:textId="39821272" w:rsidR="00AB6AC3" w:rsidRPr="00AB6AC3" w:rsidRDefault="00AB6AC3" w:rsidP="00AB6AC3">
                  <w:pPr>
                    <w:pStyle w:val="Caption"/>
                    <w:jc w:val="center"/>
                    <w:rPr>
                      <w:rFonts w:ascii="Century Gothic" w:hAnsi="Century Gothic"/>
                      <w:b/>
                      <w:bCs/>
                      <w:i w:val="0"/>
                      <w:iCs w:val="0"/>
                      <w:noProof/>
                      <w:color w:val="auto"/>
                      <w:sz w:val="36"/>
                      <w:szCs w:val="36"/>
                    </w:rPr>
                  </w:pPr>
                  <w:r w:rsidRPr="00AB6AC3">
                    <w:rPr>
                      <w:rFonts w:ascii="Century Gothic" w:hAnsi="Century Gothic"/>
                      <w:b/>
                      <w:bCs/>
                      <w:i w:val="0"/>
                      <w:iCs w:val="0"/>
                      <w:color w:val="auto"/>
                      <w:sz w:val="24"/>
                      <w:szCs w:val="24"/>
                    </w:rPr>
                    <w:t xml:space="preserve">Gambar </w:t>
                  </w:r>
                  <w:r w:rsidRPr="00AB6AC3">
                    <w:rPr>
                      <w:rFonts w:ascii="Century Gothic" w:hAnsi="Century Gothic"/>
                      <w:b/>
                      <w:bCs/>
                      <w:i w:val="0"/>
                      <w:iCs w:val="0"/>
                      <w:color w:val="auto"/>
                      <w:sz w:val="24"/>
                      <w:szCs w:val="24"/>
                    </w:rPr>
                    <w:fldChar w:fldCharType="begin"/>
                  </w:r>
                  <w:r w:rsidRPr="00AB6AC3">
                    <w:rPr>
                      <w:rFonts w:ascii="Century Gothic" w:hAnsi="Century Gothic"/>
                      <w:b/>
                      <w:bCs/>
                      <w:i w:val="0"/>
                      <w:iCs w:val="0"/>
                      <w:color w:val="auto"/>
                      <w:sz w:val="24"/>
                      <w:szCs w:val="24"/>
                    </w:rPr>
                    <w:instrText xml:space="preserve"> SEQ Gambar \* ARABIC </w:instrText>
                  </w:r>
                  <w:r w:rsidRPr="00AB6AC3">
                    <w:rPr>
                      <w:rFonts w:ascii="Century Gothic" w:hAnsi="Century Gothic"/>
                      <w:b/>
                      <w:bCs/>
                      <w:i w:val="0"/>
                      <w:iCs w:val="0"/>
                      <w:color w:val="auto"/>
                      <w:sz w:val="24"/>
                      <w:szCs w:val="24"/>
                    </w:rPr>
                    <w:fldChar w:fldCharType="separate"/>
                  </w:r>
                  <w:r w:rsidRPr="00AB6AC3">
                    <w:rPr>
                      <w:rFonts w:ascii="Century Gothic" w:hAnsi="Century Gothic"/>
                      <w:b/>
                      <w:bCs/>
                      <w:i w:val="0"/>
                      <w:iCs w:val="0"/>
                      <w:noProof/>
                      <w:color w:val="auto"/>
                      <w:sz w:val="24"/>
                      <w:szCs w:val="24"/>
                    </w:rPr>
                    <w:t>1</w:t>
                  </w:r>
                  <w:r w:rsidRPr="00AB6AC3">
                    <w:rPr>
                      <w:rFonts w:ascii="Century Gothic" w:hAnsi="Century Gothic"/>
                      <w:b/>
                      <w:bCs/>
                      <w:i w:val="0"/>
                      <w:iCs w:val="0"/>
                      <w:color w:val="auto"/>
                      <w:sz w:val="24"/>
                      <w:szCs w:val="24"/>
                    </w:rPr>
                    <w:fldChar w:fldCharType="end"/>
                  </w:r>
                  <w:r w:rsidRPr="00AB6AC3">
                    <w:rPr>
                      <w:rFonts w:ascii="Century Gothic" w:hAnsi="Century Gothic"/>
                      <w:b/>
                      <w:bCs/>
                      <w:i w:val="0"/>
                      <w:iCs w:val="0"/>
                      <w:color w:val="auto"/>
                      <w:sz w:val="24"/>
                      <w:szCs w:val="24"/>
                    </w:rPr>
                    <w:t>. Sosialisasi Pelatihan Service Excellence</w:t>
                  </w:r>
                </w:p>
              </w:txbxContent>
            </v:textbox>
          </v:shape>
        </w:pict>
      </w:r>
      <w:r w:rsidR="00AB6AC3" w:rsidRPr="00AB6AC3">
        <w:rPr>
          <w:noProof/>
        </w:rPr>
        <w:drawing>
          <wp:anchor distT="0" distB="0" distL="114300" distR="114300" simplePos="0" relativeHeight="251657216" behindDoc="0" locked="0" layoutInCell="1" allowOverlap="1" wp14:anchorId="59DCA685" wp14:editId="5C0DCBB7">
            <wp:simplePos x="0" y="0"/>
            <wp:positionH relativeFrom="column">
              <wp:posOffset>973727</wp:posOffset>
            </wp:positionH>
            <wp:positionV relativeFrom="paragraph">
              <wp:posOffset>2841352</wp:posOffset>
            </wp:positionV>
            <wp:extent cx="4147185" cy="2198915"/>
            <wp:effectExtent l="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47185" cy="2198915"/>
                    </a:xfrm>
                    <a:prstGeom prst="rect">
                      <a:avLst/>
                    </a:prstGeom>
                  </pic:spPr>
                </pic:pic>
              </a:graphicData>
            </a:graphic>
            <wp14:sizeRelH relativeFrom="margin">
              <wp14:pctWidth>0</wp14:pctWidth>
            </wp14:sizeRelH>
            <wp14:sizeRelV relativeFrom="margin">
              <wp14:pctHeight>0</wp14:pctHeight>
            </wp14:sizeRelV>
          </wp:anchor>
        </w:drawing>
      </w:r>
      <w:r w:rsidR="00AB6AC3" w:rsidRPr="00AB6AC3">
        <w:rPr>
          <w:rFonts w:ascii="Century Gothic" w:hAnsi="Century Gothic"/>
          <w:lang w:val="id-ID" w:eastAsia="id-ID"/>
        </w:rPr>
        <w:tab/>
        <w:t>Kendala lainnya adalah keterbatasan dalam menerapkan komunikasi pelayanan kepada siswa. Guru masih menggunakan metode pembelajaran konvensional sehingga interaksi pembelajaran kurang optimal. Selain itu, guru belum secara konsisten memberikan umpan balik pelayanan kepada siswa selama proses pembelajaran berlangsung. Berdasarkan kondisi tersebut, diperlukan kegiatan pelatihan service excellence untuk meningkatkan pemahaman guru mengenai pelayanan prima. Selain itu, pendampingan diperlukan untuk membantu guru dalam menerapkan pelayanan pembelajaran secara langsung. Kegiatan ini diharapkan dapat meningkatkan kualitas pelayanan guru serta memperkuat daya saing SD Muhammadiyah Kangean.</w:t>
      </w:r>
    </w:p>
    <w:p w14:paraId="2DE72398" w14:textId="1AD2E924" w:rsidR="00AB6AC3" w:rsidRPr="00AB6AC3" w:rsidRDefault="00AB6AC3" w:rsidP="00AB6AC3">
      <w:pPr>
        <w:spacing w:after="200" w:line="360" w:lineRule="auto"/>
        <w:jc w:val="both"/>
        <w:rPr>
          <w:rFonts w:ascii="Century Gothic" w:hAnsi="Century Gothic"/>
          <w:lang w:val="id-ID" w:eastAsia="id-ID"/>
        </w:rPr>
      </w:pPr>
    </w:p>
    <w:p w14:paraId="0B74BD6E" w14:textId="23F5686A" w:rsidR="00AB6AC3" w:rsidRPr="00AB6AC3" w:rsidRDefault="00AB6AC3" w:rsidP="00AB6AC3">
      <w:pPr>
        <w:spacing w:after="200" w:line="360" w:lineRule="auto"/>
        <w:jc w:val="both"/>
        <w:rPr>
          <w:rFonts w:ascii="Century Gothic" w:hAnsi="Century Gothic"/>
          <w:lang w:val="id-ID" w:eastAsia="id-ID"/>
        </w:rPr>
      </w:pPr>
    </w:p>
    <w:p w14:paraId="7A0B7C0E" w14:textId="25A32703" w:rsidR="00AB6AC3" w:rsidRPr="00AB6AC3" w:rsidRDefault="00AB6AC3" w:rsidP="00AB6AC3">
      <w:pPr>
        <w:spacing w:after="200" w:line="360" w:lineRule="auto"/>
        <w:jc w:val="both"/>
        <w:rPr>
          <w:rFonts w:ascii="Century Gothic" w:hAnsi="Century Gothic"/>
          <w:lang w:val="id-ID" w:eastAsia="id-ID"/>
        </w:rPr>
      </w:pPr>
    </w:p>
    <w:p w14:paraId="7F1C76BA" w14:textId="630D2DBB" w:rsidR="00AB6AC3" w:rsidRPr="00AB6AC3" w:rsidRDefault="00AB6AC3" w:rsidP="00AB6AC3">
      <w:pPr>
        <w:spacing w:after="200" w:line="360" w:lineRule="auto"/>
        <w:jc w:val="both"/>
        <w:rPr>
          <w:rFonts w:ascii="Century Gothic" w:hAnsi="Century Gothic"/>
          <w:lang w:val="id-ID" w:eastAsia="id-ID"/>
        </w:rPr>
      </w:pPr>
    </w:p>
    <w:p w14:paraId="63E4CEA3" w14:textId="491C738A" w:rsidR="00AB6AC3" w:rsidRPr="00AB6AC3" w:rsidRDefault="00AB6AC3" w:rsidP="00AB6AC3">
      <w:pPr>
        <w:spacing w:after="200" w:line="360" w:lineRule="auto"/>
        <w:jc w:val="both"/>
        <w:rPr>
          <w:rFonts w:ascii="Century Gothic" w:hAnsi="Century Gothic"/>
          <w:lang w:val="id-ID" w:eastAsia="id-ID"/>
        </w:rPr>
      </w:pPr>
    </w:p>
    <w:p w14:paraId="05653EE6" w14:textId="77777777" w:rsidR="00AB6AC3" w:rsidRPr="00AB6AC3" w:rsidRDefault="00AB6AC3" w:rsidP="00AB6AC3">
      <w:pPr>
        <w:spacing w:after="200" w:line="360" w:lineRule="auto"/>
        <w:jc w:val="both"/>
        <w:rPr>
          <w:rFonts w:ascii="Century Gothic" w:hAnsi="Century Gothic"/>
          <w:lang w:val="id-ID" w:eastAsia="id-ID"/>
        </w:rPr>
      </w:pPr>
    </w:p>
    <w:p w14:paraId="73A325F1" w14:textId="77777777" w:rsidR="00AB6AC3" w:rsidRPr="00AB6AC3" w:rsidRDefault="00AB6AC3" w:rsidP="00AB6AC3">
      <w:pPr>
        <w:spacing w:after="200" w:line="360" w:lineRule="auto"/>
        <w:ind w:left="720"/>
        <w:jc w:val="both"/>
        <w:rPr>
          <w:rFonts w:ascii="Century Gothic" w:hAnsi="Century Gothic"/>
          <w:b/>
          <w:bCs/>
          <w:lang w:val="id-ID" w:eastAsia="id-ID"/>
        </w:rPr>
      </w:pPr>
      <w:r w:rsidRPr="00AB6AC3">
        <w:rPr>
          <w:rFonts w:ascii="Century Gothic" w:hAnsi="Century Gothic"/>
          <w:b/>
          <w:bCs/>
          <w:lang w:val="id-ID" w:eastAsia="id-ID"/>
        </w:rPr>
        <w:t>Pelaksanaan Pelatihan Service Excellence</w:t>
      </w:r>
    </w:p>
    <w:p w14:paraId="54F3902D" w14:textId="77777777" w:rsidR="00AB6AC3" w:rsidRPr="00AB6AC3" w:rsidRDefault="00AB6AC3" w:rsidP="00AB6AC3">
      <w:pPr>
        <w:spacing w:after="200" w:line="360" w:lineRule="auto"/>
        <w:ind w:left="720"/>
        <w:jc w:val="both"/>
        <w:rPr>
          <w:rFonts w:ascii="Century Gothic" w:hAnsi="Century Gothic"/>
          <w:b/>
          <w:bCs/>
          <w:lang w:val="id-ID" w:eastAsia="id-ID"/>
        </w:rPr>
      </w:pPr>
      <w:r w:rsidRPr="00AB6AC3">
        <w:rPr>
          <w:rFonts w:ascii="Century Gothic" w:hAnsi="Century Gothic"/>
          <w:b/>
          <w:bCs/>
          <w:lang w:val="id-ID" w:eastAsia="id-ID"/>
        </w:rPr>
        <w:t>Pendampingan Guru</w:t>
      </w:r>
    </w:p>
    <w:p w14:paraId="1EEEF17B" w14:textId="77777777" w:rsidR="00AB6AC3" w:rsidRPr="00AB6AC3" w:rsidRDefault="00AB6AC3" w:rsidP="00AB6AC3">
      <w:pPr>
        <w:spacing w:after="200" w:line="360" w:lineRule="auto"/>
        <w:ind w:left="720"/>
        <w:jc w:val="both"/>
        <w:rPr>
          <w:rFonts w:ascii="Century Gothic" w:hAnsi="Century Gothic"/>
          <w:lang w:val="id-ID" w:eastAsia="id-ID"/>
        </w:rPr>
      </w:pPr>
      <w:r w:rsidRPr="00AB6AC3">
        <w:rPr>
          <w:rFonts w:ascii="Century Gothic" w:hAnsi="Century Gothic"/>
          <w:lang w:val="id-ID" w:eastAsia="id-ID"/>
        </w:rPr>
        <w:tab/>
        <w:t>Setelah pelaksanaan pelatihan service excellence, kegiatan dilanjutkan dengan pendampingan guru dalam menerapkan pelayanan prima dalam pembelajaran. Pendampingan dilakukan secara langsung di kelas untuk memastikan guru mampu mengimplementasikan konsep service excellence secara berkelanjutan. Pendampingan bertujuan untuk meningkatkan kualitas pelayanan pembelajaran serta membantu guru dalam menerapkan pelayanan pendidikan yang lebih efektif.</w:t>
      </w:r>
    </w:p>
    <w:p w14:paraId="4FB2BB13" w14:textId="77777777" w:rsidR="00AB6AC3" w:rsidRPr="00AB6AC3" w:rsidRDefault="00AB6AC3" w:rsidP="00AB6AC3">
      <w:pPr>
        <w:spacing w:after="200" w:line="360" w:lineRule="auto"/>
        <w:ind w:left="720"/>
        <w:jc w:val="both"/>
        <w:rPr>
          <w:rFonts w:ascii="Century Gothic" w:hAnsi="Century Gothic"/>
          <w:lang w:val="id-ID" w:eastAsia="id-ID"/>
        </w:rPr>
      </w:pPr>
      <w:r w:rsidRPr="00AB6AC3">
        <w:rPr>
          <w:rFonts w:ascii="Century Gothic" w:hAnsi="Century Gothic"/>
          <w:lang w:val="id-ID" w:eastAsia="id-ID"/>
        </w:rPr>
        <w:lastRenderedPageBreak/>
        <w:tab/>
        <w:t>Pada tahap pendampingan, guru mulai menerapkan service excellence dalam pembelajaran. Guru memberikan perhatian kepada siswa sebelum pembelajaran dimulai. Selain itu, guru juga meningkatkan komunikasi dengan siswa selama proses pembelajaran. Guru memberikan kesempatan kepada siswa untuk bertanya dan menyampaikan pendapat. Guru juga mulai menerapkan pelayanan pembelajaran yang lebih responsif. Guru memberikan bantuan kepada siswa yang mengalami kesulitan dalam memahami materi. Selain itu, guru juga memberikan umpan balik pembelajaran secara langsung kepada siswa. Praktik pelayanan ini menunjukkan adanya peningkatan kualitas pelayanan guru setelah pelatihan service excellence.</w:t>
      </w:r>
    </w:p>
    <w:p w14:paraId="16BF9502" w14:textId="77777777" w:rsidR="00AB6AC3" w:rsidRPr="00AB6AC3" w:rsidRDefault="00AB6AC3" w:rsidP="00AB6AC3">
      <w:pPr>
        <w:spacing w:after="200" w:line="360" w:lineRule="auto"/>
        <w:ind w:left="720"/>
        <w:jc w:val="both"/>
        <w:rPr>
          <w:rFonts w:ascii="Century Gothic" w:hAnsi="Century Gothic"/>
          <w:lang w:val="id-ID" w:eastAsia="id-ID"/>
        </w:rPr>
      </w:pPr>
      <w:r w:rsidRPr="00AB6AC3">
        <w:rPr>
          <w:rFonts w:ascii="Century Gothic" w:hAnsi="Century Gothic"/>
          <w:lang w:val="id-ID" w:eastAsia="id-ID"/>
        </w:rPr>
        <w:tab/>
        <w:t>Selain praktik langsung, pendampingan juga dilakukan melalui simulasi pelayanan pembelajaran. Simulasi dilakukan dengan mempraktikkan situasi pembelajaran yang berorientasi pada pelayanan siswa. Guru dilatih untuk menghadapi berbagai kondisi pembelajaran seperti siswa kurang aktif, siswa mengalami kesulitan belajar, dan komunikasi pembelajaran. Melalui simulasi pelayanan, guru memperoleh pengalaman dalam menerapkan service excellence. Guru juga mendapatkan masukan terkait pelayanan pembelajaran yang dilakukan. Simulasi ini membantu guru meningkatkan keterampilan pelayanan dalam pembelajaran.</w:t>
      </w:r>
    </w:p>
    <w:p w14:paraId="4EC41DAE" w14:textId="77777777" w:rsidR="00AB6AC3" w:rsidRPr="00AB6AC3" w:rsidRDefault="00AB6AC3" w:rsidP="00AB6AC3">
      <w:pPr>
        <w:spacing w:after="200" w:line="360" w:lineRule="auto"/>
        <w:ind w:left="720"/>
        <w:jc w:val="both"/>
        <w:rPr>
          <w:rFonts w:ascii="Century Gothic" w:hAnsi="Century Gothic"/>
          <w:b/>
          <w:bCs/>
          <w:lang w:val="id-ID" w:eastAsia="id-ID"/>
        </w:rPr>
      </w:pPr>
      <w:r w:rsidRPr="00AB6AC3">
        <w:rPr>
          <w:rFonts w:ascii="Century Gothic" w:hAnsi="Century Gothic"/>
          <w:b/>
          <w:bCs/>
          <w:lang w:val="id-ID" w:eastAsia="id-ID"/>
        </w:rPr>
        <w:t>Monitoring Pendampingan</w:t>
      </w:r>
    </w:p>
    <w:p w14:paraId="54B37FA4" w14:textId="77777777" w:rsidR="00AB6AC3" w:rsidRPr="00AB6AC3" w:rsidRDefault="00AB6AC3" w:rsidP="00AB6AC3">
      <w:pPr>
        <w:spacing w:after="200" w:line="360" w:lineRule="auto"/>
        <w:ind w:left="720"/>
        <w:jc w:val="both"/>
        <w:rPr>
          <w:rFonts w:ascii="Century Gothic" w:hAnsi="Century Gothic"/>
          <w:lang w:val="id-ID" w:eastAsia="id-ID"/>
        </w:rPr>
      </w:pPr>
      <w:r w:rsidRPr="00AB6AC3">
        <w:rPr>
          <w:rFonts w:ascii="Century Gothic" w:hAnsi="Century Gothic"/>
          <w:lang w:val="id-ID" w:eastAsia="id-ID"/>
        </w:rPr>
        <w:tab/>
        <w:t xml:space="preserve">Monitoring pendampingan dilakukan untuk mengetahui perkembangan penerapan service excellence oleh guru. Monitoring dilakukan melalui observasi pembelajaran dan diskusi dengan guru. Tim pengabdian mengamati pelaksanaan pelayanan pembelajaran yang dilakukan oleh guru di kelas. Hasil monitoring menunjukkan adanya peningkatan kualitas pelayanan guru. Guru lebih aktif berinteraksi dengan siswa dan memberikan pelayanan pembelajaran yang lebih baik. Selain itu, guru juga mulai menerapkan komunikasi yang lebih efektif dalam </w:t>
      </w:r>
      <w:r w:rsidRPr="00AB6AC3">
        <w:rPr>
          <w:rFonts w:ascii="Century Gothic" w:hAnsi="Century Gothic"/>
          <w:lang w:val="id-ID" w:eastAsia="id-ID"/>
        </w:rPr>
        <w:lastRenderedPageBreak/>
        <w:t>pembelajaran. Monitoring pendampingan juga menunjukkan bahwa guru mampu menerapkan service excellence secara berkelanjutan dalam kegiatan pembelajaran.</w:t>
      </w:r>
    </w:p>
    <w:p w14:paraId="053491D8" w14:textId="77777777" w:rsidR="00AB6AC3" w:rsidRPr="00AB6AC3" w:rsidRDefault="00AB6AC3" w:rsidP="00AB6AC3">
      <w:pPr>
        <w:spacing w:after="200" w:line="360" w:lineRule="auto"/>
        <w:ind w:left="720"/>
        <w:jc w:val="both"/>
        <w:rPr>
          <w:rFonts w:ascii="Century Gothic" w:hAnsi="Century Gothic"/>
          <w:lang w:val="id-ID" w:eastAsia="id-ID"/>
        </w:rPr>
      </w:pPr>
      <w:r w:rsidRPr="00AB6AC3">
        <w:rPr>
          <w:rFonts w:ascii="Century Gothic" w:hAnsi="Century Gothic"/>
          <w:lang w:val="id-ID" w:eastAsia="id-ID"/>
        </w:rPr>
        <w:tab/>
        <w:t>Pendampingan yang dilakukan secara langsung membantu guru memahami penerapan pelayanan prima dalam pembelajaran. Kegiatan pendampingan ini memberikan dampak positif terhadap kualitas pelayanan guru di SD Muhammadiyah Kangean. Dengan demikian, pelatihan service excellence yang diikuti dengan pendampingan mampu meningkatkan kualitas pelayanan pendidikan secara optimal.</w:t>
      </w:r>
    </w:p>
    <w:p w14:paraId="4CCBC816" w14:textId="77777777" w:rsidR="00AB6AC3" w:rsidRPr="00AB6AC3" w:rsidRDefault="00AB6AC3" w:rsidP="00AB6AC3">
      <w:pPr>
        <w:spacing w:after="200" w:line="360" w:lineRule="auto"/>
        <w:ind w:left="720"/>
        <w:jc w:val="both"/>
        <w:rPr>
          <w:rFonts w:ascii="Century Gothic" w:hAnsi="Century Gothic"/>
          <w:b/>
          <w:bCs/>
          <w:lang w:val="id-ID" w:eastAsia="id-ID"/>
        </w:rPr>
      </w:pPr>
      <w:r w:rsidRPr="00AB6AC3">
        <w:rPr>
          <w:rFonts w:ascii="Century Gothic" w:hAnsi="Century Gothic"/>
          <w:b/>
          <w:bCs/>
          <w:lang w:val="id-ID" w:eastAsia="id-ID"/>
        </w:rPr>
        <w:t>Hasil Peningkatan Pelayanan</w:t>
      </w:r>
    </w:p>
    <w:p w14:paraId="40C7CBCF" w14:textId="77777777" w:rsidR="00AB6AC3" w:rsidRPr="00AB6AC3" w:rsidRDefault="00AB6AC3" w:rsidP="00AB6AC3">
      <w:pPr>
        <w:spacing w:after="200" w:line="360" w:lineRule="auto"/>
        <w:ind w:left="720"/>
        <w:jc w:val="both"/>
        <w:rPr>
          <w:rFonts w:ascii="Century Gothic" w:hAnsi="Century Gothic"/>
          <w:lang w:val="id-ID" w:eastAsia="id-ID"/>
        </w:rPr>
      </w:pPr>
      <w:r w:rsidRPr="00AB6AC3">
        <w:rPr>
          <w:rFonts w:ascii="Century Gothic" w:hAnsi="Century Gothic"/>
          <w:lang w:val="id-ID" w:eastAsia="id-ID"/>
        </w:rPr>
        <w:tab/>
        <w:t>Pelaksanaan pelatihan dan pendampingan service excellence di SD Muhammadiyah Kangean menunjukkan adanya peningkatan kualitas pelayanan guru dalam pembelajaran. Peningkatan tersebut terlihat pada perubahan sikap pelayanan guru, komunikasi pembelajaran, serta kepuasan siswa selama proses pembelajaran berlangsung. Selain itu, hasil kegiatan juga diperkuat dengan tanggapan guru yang terlibat dalam pelatihan dan pendampingan service excellence.</w:t>
      </w:r>
    </w:p>
    <w:p w14:paraId="4BE2998B" w14:textId="77777777" w:rsidR="00AB6AC3" w:rsidRPr="00AB6AC3" w:rsidRDefault="00AB6AC3" w:rsidP="00AB6AC3">
      <w:pPr>
        <w:spacing w:after="200" w:line="360" w:lineRule="auto"/>
        <w:ind w:left="720"/>
        <w:jc w:val="both"/>
        <w:rPr>
          <w:rFonts w:ascii="Century Gothic" w:hAnsi="Century Gothic"/>
          <w:lang w:val="id-ID" w:eastAsia="id-ID"/>
        </w:rPr>
      </w:pPr>
      <w:r w:rsidRPr="00AB6AC3">
        <w:rPr>
          <w:rFonts w:ascii="Century Gothic" w:hAnsi="Century Gothic"/>
          <w:lang w:val="id-ID" w:eastAsia="id-ID"/>
        </w:rPr>
        <w:tab/>
        <w:t xml:space="preserve">Setelah pelaksanaan pelatihan service excellence, terjadi perubahan sikap pelayanan guru dalam pembelajaran. Guru mulai menunjukkan sikap ramah, responsif, serta memberikan perhatian kepada siswa selama proses pembelajaran. Guru juga mulai menyambut siswa sebelum pembelajaran dimulai dan memberikan motivasi kepada siswa. Perubahan sikap pelayanan ini menunjukkan bahwa guru mulai menerapkan prinsip service excellence dalam pembelajaran. Guru juga mulai memberikan bantuan kepada siswa yang mengalami kesulitan belajar. Selain itu, guru memberikan perhatian secara merata kepada seluruh siswa. Sikap empati yang ditunjukkan guru menciptakan suasana pembelajaran yang lebih nyaman. Pelayanan pembelajaran menjadi lebih berorientasi pada kebutuhan siswa. Tjiptono (2017) menyatakan bahwa “service excellence </w:t>
      </w:r>
      <w:r w:rsidRPr="00AB6AC3">
        <w:rPr>
          <w:rFonts w:ascii="Century Gothic" w:hAnsi="Century Gothic"/>
          <w:lang w:val="id-ID" w:eastAsia="id-ID"/>
        </w:rPr>
        <w:lastRenderedPageBreak/>
        <w:t>merupakan upaya memberikan pelayanan terbaik yang meliputi sikap ramah, responsif, empati, dan perhatian terhadap kebutuhan pelanggan.” Dalam konteks pendidikan, siswa merupakan penerima layanan sehingga sikap pelayanan guru menjadi faktor penting dalam meningkatkan kualitas pembelajaran.</w:t>
      </w:r>
    </w:p>
    <w:p w14:paraId="4F293F10" w14:textId="77777777" w:rsidR="00AB6AC3" w:rsidRPr="00AB6AC3" w:rsidRDefault="00AB6AC3" w:rsidP="00AB6AC3">
      <w:pPr>
        <w:spacing w:after="200" w:line="360" w:lineRule="auto"/>
        <w:ind w:left="720"/>
        <w:jc w:val="both"/>
        <w:rPr>
          <w:rFonts w:ascii="Century Gothic" w:hAnsi="Century Gothic"/>
          <w:lang w:val="id-ID" w:eastAsia="id-ID"/>
        </w:rPr>
      </w:pPr>
      <w:r w:rsidRPr="00AB6AC3">
        <w:rPr>
          <w:rFonts w:ascii="Century Gothic" w:hAnsi="Century Gothic"/>
          <w:lang w:val="id-ID" w:eastAsia="id-ID"/>
        </w:rPr>
        <w:tab/>
        <w:t>Berdasarkan tanggapan guru, pelatihan service excellence memberikan pemahaman baru mengenai pentingnya pelayanan dalam pembelajaran. Salah satu guru menyampaikan bahwa: “Setelah mengikuti pelatihan service excellence, saya lebih memahami bahwa guru tidak hanya mengajar tetapi juga melayani siswa. Saya mulai memberikan perhatian kepada siswa sebelum pembelajaran dimulai dan berusaha menciptakan suasana kelas yang lebih nyaman.” Guru lain juga menyampaikan bahwa pelayanan pembelajaran menjadi lebih baik setelah pelatihan. Guru mulai memberikan respon terhadap kebutuhan siswa dan meningkatkan perhatian selama pembelajaran berlangsung. Tanggapan tersebut menunjukkan bahwa pelatihan service excellence mampu meningkatkan sikap pelayanan guru.</w:t>
      </w:r>
    </w:p>
    <w:p w14:paraId="7C653348" w14:textId="77777777" w:rsidR="00AB6AC3" w:rsidRPr="00AB6AC3" w:rsidRDefault="00AB6AC3" w:rsidP="00AB6AC3">
      <w:pPr>
        <w:spacing w:after="200" w:line="360" w:lineRule="auto"/>
        <w:ind w:left="720"/>
        <w:jc w:val="both"/>
        <w:rPr>
          <w:rFonts w:ascii="Century Gothic" w:hAnsi="Century Gothic"/>
          <w:b/>
          <w:bCs/>
          <w:lang w:val="id-ID" w:eastAsia="id-ID"/>
        </w:rPr>
      </w:pPr>
      <w:r w:rsidRPr="00AB6AC3">
        <w:rPr>
          <w:rFonts w:ascii="Century Gothic" w:hAnsi="Century Gothic"/>
          <w:b/>
          <w:bCs/>
          <w:lang w:val="id-ID" w:eastAsia="id-ID"/>
        </w:rPr>
        <w:t>Peningkatan Komunikasi Guru</w:t>
      </w:r>
    </w:p>
    <w:p w14:paraId="516D55A1" w14:textId="77777777" w:rsidR="00AB6AC3" w:rsidRPr="00AB6AC3" w:rsidRDefault="00AB6AC3" w:rsidP="00AB6AC3">
      <w:pPr>
        <w:spacing w:after="200" w:line="360" w:lineRule="auto"/>
        <w:ind w:left="720"/>
        <w:jc w:val="both"/>
        <w:rPr>
          <w:rFonts w:ascii="Century Gothic" w:hAnsi="Century Gothic"/>
          <w:lang w:val="id-ID" w:eastAsia="id-ID"/>
        </w:rPr>
      </w:pPr>
      <w:r w:rsidRPr="00AB6AC3">
        <w:rPr>
          <w:rFonts w:ascii="Century Gothic" w:hAnsi="Century Gothic"/>
          <w:lang w:val="id-ID" w:eastAsia="id-ID"/>
        </w:rPr>
        <w:tab/>
        <w:t>Pelatihan service excellence juga berdampak pada peningkatan komunikasi guru dalam pembelajaran. Guru mulai menggunakan komunikasi dua arah dengan siswa. Guru memberikan kesempatan kepada siswa untuk bertanya dan menyampaikan pendapat. Komunikasi pembelajaran menjadi lebih interaktif dibandingkan sebelum pelatihan. Selain itu, guru juga meningkatkan komunikasi interpersonal dengan siswa. Guru memberikan pertanyaan kepada siswa serta memberikan respon terhadap jawaban siswa. Komunikasi yang lebih aktif menciptakan suasana pembelajaran yang lebih kondusif. Siswa menjadi lebih aktif selama pembelajaran berlangsung.</w:t>
      </w:r>
    </w:p>
    <w:p w14:paraId="6A7AE0B8" w14:textId="77777777" w:rsidR="00AB6AC3" w:rsidRPr="00AB6AC3" w:rsidRDefault="00AB6AC3" w:rsidP="00AB6AC3">
      <w:pPr>
        <w:spacing w:after="200" w:line="360" w:lineRule="auto"/>
        <w:ind w:left="720"/>
        <w:jc w:val="both"/>
        <w:rPr>
          <w:rFonts w:ascii="Century Gothic" w:hAnsi="Century Gothic"/>
          <w:lang w:val="id-ID" w:eastAsia="id-ID"/>
        </w:rPr>
      </w:pPr>
      <w:r w:rsidRPr="00AB6AC3">
        <w:rPr>
          <w:rFonts w:ascii="Century Gothic" w:hAnsi="Century Gothic"/>
          <w:lang w:val="id-ID" w:eastAsia="id-ID"/>
        </w:rPr>
        <w:lastRenderedPageBreak/>
        <w:tab/>
        <w:t>Zeithaml, Bitner, dan Gremler (2018) menyatakan bahwa “effective communication is essential in delivering service quality because it helps customers understand services and builds trust between service provider and users.” Komunikasi yang efektif dalam pembelajaran dapat meningkatkan kualitas pelayanan pendidikan. Berdasarkan tanggapan guru, pelatihan service excellence membantu meningkatkan komunikasi pembelajaran. Salah satu guru menyampaikan bahwa:</w:t>
      </w:r>
    </w:p>
    <w:p w14:paraId="070BEDE1" w14:textId="77777777" w:rsidR="00AB6AC3" w:rsidRPr="00AB6AC3" w:rsidRDefault="00AB6AC3" w:rsidP="00AB6AC3">
      <w:pPr>
        <w:spacing w:after="200" w:line="360" w:lineRule="auto"/>
        <w:ind w:left="720"/>
        <w:jc w:val="both"/>
        <w:rPr>
          <w:rFonts w:ascii="Century Gothic" w:hAnsi="Century Gothic"/>
          <w:lang w:val="id-ID" w:eastAsia="id-ID"/>
        </w:rPr>
      </w:pPr>
      <w:r w:rsidRPr="00AB6AC3">
        <w:rPr>
          <w:rFonts w:ascii="Century Gothic" w:hAnsi="Century Gothic"/>
          <w:lang w:val="id-ID" w:eastAsia="id-ID"/>
        </w:rPr>
        <w:t>“Sebelum pelatihan, saya lebih banyak menjelaskan materi. Setelah pelatihan, saya mencoba lebih banyak berkomunikasi dengan siswa dan memberikan kesempatan mereka untuk bertanya.”</w:t>
      </w:r>
    </w:p>
    <w:p w14:paraId="6FB18DF4" w14:textId="77777777" w:rsidR="00AB6AC3" w:rsidRPr="00AB6AC3" w:rsidRDefault="00AB6AC3" w:rsidP="00AB6AC3">
      <w:pPr>
        <w:spacing w:after="200" w:line="360" w:lineRule="auto"/>
        <w:ind w:left="720"/>
        <w:jc w:val="both"/>
        <w:rPr>
          <w:rFonts w:ascii="Century Gothic" w:hAnsi="Century Gothic"/>
          <w:lang w:val="id-ID" w:eastAsia="id-ID"/>
        </w:rPr>
      </w:pPr>
      <w:r w:rsidRPr="00AB6AC3">
        <w:rPr>
          <w:rFonts w:ascii="Century Gothic" w:hAnsi="Century Gothic"/>
          <w:lang w:val="id-ID" w:eastAsia="id-ID"/>
        </w:rPr>
        <w:tab/>
        <w:t>Guru lain juga menyampaikan bahwa komunikasi dengan siswa menjadi lebih baik. Guru lebih sering memberikan pertanyaan dan membangun interaksi dengan siswa. Hal ini menunjukkan bahwa pelatihan service excellence mampu meningkatkan komunikasi guru dalam pembelajaran.</w:t>
      </w:r>
    </w:p>
    <w:p w14:paraId="099FB2D8" w14:textId="77777777" w:rsidR="00AB6AC3" w:rsidRPr="00AB6AC3" w:rsidRDefault="00AB6AC3" w:rsidP="00AB6AC3">
      <w:pPr>
        <w:spacing w:after="200" w:line="360" w:lineRule="auto"/>
        <w:ind w:left="720"/>
        <w:jc w:val="both"/>
        <w:rPr>
          <w:rFonts w:ascii="Century Gothic" w:hAnsi="Century Gothic"/>
          <w:b/>
          <w:bCs/>
          <w:lang w:val="id-ID" w:eastAsia="id-ID"/>
        </w:rPr>
      </w:pPr>
      <w:r w:rsidRPr="00AB6AC3">
        <w:rPr>
          <w:rFonts w:ascii="Century Gothic" w:hAnsi="Century Gothic"/>
          <w:b/>
          <w:bCs/>
          <w:lang w:val="id-ID" w:eastAsia="id-ID"/>
        </w:rPr>
        <w:t>Peningkatan Kepuasan Siswa</w:t>
      </w:r>
    </w:p>
    <w:p w14:paraId="4E9CBCD8" w14:textId="77777777" w:rsidR="00AB6AC3" w:rsidRPr="00AB6AC3" w:rsidRDefault="00AB6AC3" w:rsidP="00AB6AC3">
      <w:pPr>
        <w:spacing w:after="200" w:line="360" w:lineRule="auto"/>
        <w:ind w:left="720"/>
        <w:jc w:val="both"/>
        <w:rPr>
          <w:rFonts w:ascii="Century Gothic" w:hAnsi="Century Gothic"/>
          <w:lang w:val="id-ID" w:eastAsia="id-ID"/>
        </w:rPr>
      </w:pPr>
      <w:r w:rsidRPr="00AB6AC3">
        <w:rPr>
          <w:rFonts w:ascii="Century Gothic" w:hAnsi="Century Gothic"/>
          <w:lang w:val="id-ID" w:eastAsia="id-ID"/>
        </w:rPr>
        <w:tab/>
        <w:t xml:space="preserve">Pelaksanaan pelatihan dan pendampingan service excellence juga berdampak pada peningkatan kepuasan siswa terhadap pelayanan pembelajaran. Siswa terlihat lebih aktif mengikuti pembelajaran. Selain itu, siswa menunjukkan antusiasme selama proses pembelajaran berlangsung. Suasana kelas menjadi lebih interaktif dan kondusif. Guru memberikan perhatian kepada siswa secara merata. Siswa yang mengalami kesulitan belajar mendapatkan bantuan secara langsung. Selain itu, guru memberikan umpan balik kepada siswa selama pembelajaran. Kondisi ini menunjukkan bahwa pelayanan pembelajaran menjadi lebih baik. Kotler dan Keller (2016) menyatakan bahwa “customer satisfaction is a person’s feeling of pleasure or disappointment resulting from comparing perceived performance to expectations.” Dalam pendidikan, kepuasan siswa tercapai ketika pelayanan pembelajaran sesuai dengan kebutuhan siswa. </w:t>
      </w:r>
      <w:r w:rsidRPr="00AB6AC3">
        <w:rPr>
          <w:rFonts w:ascii="Century Gothic" w:hAnsi="Century Gothic"/>
          <w:lang w:val="id-ID" w:eastAsia="id-ID"/>
        </w:rPr>
        <w:lastRenderedPageBreak/>
        <w:t>Berdasarkan tanggapan guru, siswa menunjukkan respon positif terhadap perubahan pelayanan pembelajaran. Salah satu guru menyampaikan bahwa: “Siswa terlihat lebih aktif setelah saya mencoba menerapkan pelayanan yang lebih baik. Mereka lebih berani bertanya dan lebih antusias mengikuti pembelajaran.” Guru lain juga menyampaikan bahwa suasana pembelajaran menjadi lebih nyaman. Siswa lebih aktif dan berpartisipasi dalam kegiatan pembelajaran. Hal ini menunjukkan bahwa pelatihan service excellence mampu meningkatkan kepuasan siswa.</w:t>
      </w:r>
    </w:p>
    <w:p w14:paraId="6E058308" w14:textId="77777777" w:rsidR="00AB6AC3" w:rsidRPr="00AB6AC3" w:rsidRDefault="00AB6AC3" w:rsidP="00AB6AC3">
      <w:pPr>
        <w:spacing w:after="200" w:line="360" w:lineRule="auto"/>
        <w:ind w:left="720"/>
        <w:jc w:val="both"/>
        <w:rPr>
          <w:rFonts w:ascii="Century Gothic" w:hAnsi="Century Gothic"/>
          <w:lang w:val="id-ID" w:eastAsia="id-ID"/>
        </w:rPr>
      </w:pPr>
      <w:r w:rsidRPr="00AB6AC3">
        <w:rPr>
          <w:rFonts w:ascii="Century Gothic" w:hAnsi="Century Gothic"/>
          <w:lang w:val="id-ID" w:eastAsia="id-ID"/>
        </w:rPr>
        <w:tab/>
        <w:t>Secara keseluruhan, pelatihan dan pendampingan service excellence memberikan dampak positif terhadap peningkatan kualitas pelayanan guru. Peningkatan tersebut terlihat dari perubahan sikap pelayanan guru, peningkatan komunikasi pembelajaran, serta meningkatnya kepuasan siswa. Selain itu, tanggapan guru menunjukkan bahwa pelatihan service excellence memberikan manfaat nyata dalam meningkatkan kualitas pelayanan pendidikan di SD Muhammadiyah Kangean. Pelatihan dan pendampingan service excellence juga memberikan dampak terhadap peningkatan produktivitas guru dalam pelayanan pembelajaran. Peningkatan produktivitas guru ditunjukkan melalui guru yang lebih responsif, pelayanan yang lebih cepat, serta interaksi pembelajaran yang lebih baik. Peningkatan tersebut terjadi karena guru mulai menerapkan prinsip pelayanan prima dalam pembelajaran.</w:t>
      </w:r>
    </w:p>
    <w:p w14:paraId="6480BE91" w14:textId="77777777" w:rsidR="00AB6AC3" w:rsidRPr="00AB6AC3" w:rsidRDefault="00AB6AC3" w:rsidP="00AB6AC3">
      <w:pPr>
        <w:spacing w:after="200" w:line="360" w:lineRule="auto"/>
        <w:ind w:left="720"/>
        <w:jc w:val="both"/>
        <w:rPr>
          <w:rFonts w:ascii="Century Gothic" w:hAnsi="Century Gothic"/>
          <w:b/>
          <w:bCs/>
          <w:lang w:val="id-ID" w:eastAsia="id-ID"/>
        </w:rPr>
      </w:pPr>
      <w:r w:rsidRPr="00AB6AC3">
        <w:rPr>
          <w:rFonts w:ascii="Century Gothic" w:hAnsi="Century Gothic"/>
          <w:b/>
          <w:bCs/>
          <w:lang w:val="id-ID" w:eastAsia="id-ID"/>
        </w:rPr>
        <w:t>Guru Lebih Responsif</w:t>
      </w:r>
    </w:p>
    <w:p w14:paraId="3A1BB9D6" w14:textId="77777777" w:rsidR="00AB6AC3" w:rsidRPr="00AB6AC3" w:rsidRDefault="00AB6AC3" w:rsidP="00AB6AC3">
      <w:pPr>
        <w:spacing w:after="200" w:line="360" w:lineRule="auto"/>
        <w:ind w:left="720"/>
        <w:jc w:val="both"/>
        <w:rPr>
          <w:rFonts w:ascii="Century Gothic" w:hAnsi="Century Gothic"/>
          <w:lang w:val="id-ID" w:eastAsia="id-ID"/>
        </w:rPr>
      </w:pPr>
      <w:r w:rsidRPr="00AB6AC3">
        <w:rPr>
          <w:rFonts w:ascii="Century Gothic" w:hAnsi="Century Gothic"/>
          <w:lang w:val="id-ID" w:eastAsia="id-ID"/>
        </w:rPr>
        <w:tab/>
        <w:t xml:space="preserve">Setelah pelatihan service excellence, guru menjadi lebih responsif terhadap kebutuhan siswa. Guru lebih cepat membantu siswa yang mengalami kesulitan belajar. Selain itu, guru juga lebih aktif memberikan perhatian kepada siswa selama pembelajaran. Responsivitas guru terlihat dari kemampuan guru dalam merespon pertanyaan siswa serta memberikan penjelasan tambahan. Mekanisme peningkatan responsivitas terjadi melalui pelatihan komunikasi pelayanan dan empati dalam </w:t>
      </w:r>
      <w:r w:rsidRPr="00AB6AC3">
        <w:rPr>
          <w:rFonts w:ascii="Century Gothic" w:hAnsi="Century Gothic"/>
          <w:lang w:val="id-ID" w:eastAsia="id-ID"/>
        </w:rPr>
        <w:lastRenderedPageBreak/>
        <w:t>pembelajaran. Guru dilatih untuk memahami kebutuhan siswa dan memberikan respon secara langsung. Pendampingan yang dilakukan membantu guru menerapkan responsivitas dalam pembelajaran secara konsisten. Salah satu guru menyampaikan: “Setelah pelatihan, saya lebih cepat merespon pertanyaan siswa dan langsung membantu siswa yang kesulitan. Pembelajaran menjadi lebih efektif.” Hal ini menunjukkan bahwa pelatihan service excellence mampu meningkatkan responsivitas guru dalam pembelajaran.</w:t>
      </w:r>
    </w:p>
    <w:p w14:paraId="54B51591" w14:textId="77777777" w:rsidR="00AB6AC3" w:rsidRPr="00AB6AC3" w:rsidRDefault="00AB6AC3" w:rsidP="00AB6AC3">
      <w:pPr>
        <w:spacing w:after="200" w:line="360" w:lineRule="auto"/>
        <w:ind w:left="720"/>
        <w:jc w:val="both"/>
        <w:rPr>
          <w:rFonts w:ascii="Century Gothic" w:hAnsi="Century Gothic"/>
          <w:b/>
          <w:bCs/>
          <w:lang w:val="id-ID" w:eastAsia="id-ID"/>
        </w:rPr>
      </w:pPr>
      <w:r w:rsidRPr="00AB6AC3">
        <w:rPr>
          <w:rFonts w:ascii="Century Gothic" w:hAnsi="Century Gothic"/>
          <w:b/>
          <w:bCs/>
          <w:lang w:val="id-ID" w:eastAsia="id-ID"/>
        </w:rPr>
        <w:t>Pelayanan Lebih Cepat</w:t>
      </w:r>
    </w:p>
    <w:p w14:paraId="420938D0" w14:textId="77777777" w:rsidR="00AB6AC3" w:rsidRPr="00AB6AC3" w:rsidRDefault="00AB6AC3" w:rsidP="00AB6AC3">
      <w:pPr>
        <w:spacing w:after="200" w:line="360" w:lineRule="auto"/>
        <w:ind w:left="720"/>
        <w:jc w:val="both"/>
        <w:rPr>
          <w:rFonts w:ascii="Century Gothic" w:hAnsi="Century Gothic"/>
          <w:lang w:val="id-ID" w:eastAsia="id-ID"/>
        </w:rPr>
      </w:pPr>
      <w:r w:rsidRPr="00AB6AC3">
        <w:rPr>
          <w:rFonts w:ascii="Century Gothic" w:hAnsi="Century Gothic"/>
          <w:lang w:val="id-ID" w:eastAsia="id-ID"/>
        </w:rPr>
        <w:tab/>
        <w:t>Pelayanan pembelajaran menjadi lebih cepat setelah pelatihan service excellence. Guru mampu memberikan bantuan kepada siswa secara langsung tanpa menunda. Selain itu, guru juga lebih cepat memberikan umpan balik pembelajaran. Hal ini membuat proses pembelajaran menjadi lebih efektif. Mekanisme peningkatan pelayanan terjadi melalui simulasi pelayanan yang dilakukan selama pelatihan. Guru dilatih untuk memberikan pelayanan pembelajaran secara cepat dan tepat. Pendampingan juga membantu guru menerapkan pelayanan yang lebih efisien dalam pembelajaran. Guru menyampaikan bahwa: “Pelayanan kepada siswa menjadi lebih cepat karena saya langsung membantu ketika siswa mengalami kesulitan. Pembelajaran menjadi lebih lancar.” Hal ini menunjukkan bahwa pelatihan service excellence mampu meningkatkan kecepatan pelayanan guru.</w:t>
      </w:r>
    </w:p>
    <w:p w14:paraId="0BCB9F76" w14:textId="76D554EE" w:rsidR="00AB6AC3" w:rsidRPr="00AB6AC3" w:rsidRDefault="00AB6AC3" w:rsidP="00AB6AC3">
      <w:pPr>
        <w:spacing w:after="200" w:line="360" w:lineRule="auto"/>
        <w:ind w:left="720"/>
        <w:jc w:val="both"/>
        <w:rPr>
          <w:rFonts w:ascii="Century Gothic" w:hAnsi="Century Gothic"/>
          <w:lang w:val="id-ID" w:eastAsia="id-ID"/>
        </w:rPr>
      </w:pPr>
      <w:r w:rsidRPr="00AB6AC3">
        <w:rPr>
          <w:rFonts w:ascii="Century Gothic" w:hAnsi="Century Gothic"/>
          <w:lang w:val="id-ID" w:eastAsia="id-ID"/>
        </w:rPr>
        <w:tab/>
        <w:t xml:space="preserve">Pelatihan service excellence juga berdampak pada peningkatan interaksi guru dan siswa. Guru mulai menggunakan komunikasi dua arah dalam pembelajaran. Siswa lebih aktif bertanya dan menyampaikan pendapat. Interaksi pembelajaran menjadi lebih baik dibandingkan sebelum pelatihan. Mekanisme peningkatan interaksi terjadi melalui pelatihan komunikasi pelayanan. Guru dilatih untuk membangun komunikasi yang aktif dengan siswa. Selain itu, pendampingan membantu </w:t>
      </w:r>
      <w:r w:rsidRPr="00AB6AC3">
        <w:rPr>
          <w:rFonts w:ascii="Century Gothic" w:hAnsi="Century Gothic"/>
          <w:lang w:val="id-ID" w:eastAsia="id-ID"/>
        </w:rPr>
        <w:lastRenderedPageBreak/>
        <w:t>guru menerapkan komunikasi interaktif dalam pembelajaran. Guru menyampaikan bahwa: “Interaksi dengan siswa menjadi lebih baik. Siswa lebih aktif dan pembelajaran menjadi lebih hidup.” Peningkatan interaksi tersebut menunjukkan bahwa pelatihan service excellence mampu meningkatkan produktivitas guru dalam pelayanan pembelajaran. Guru tidak hanya menyampaikan materi tetapi juga memberikan pelayanan pembelajaran yang lebih efektif dan interaktif.</w:t>
      </w:r>
    </w:p>
    <w:p w14:paraId="47B87177" w14:textId="77777777" w:rsidR="008971AE" w:rsidRPr="00AB6AC3" w:rsidRDefault="008971AE" w:rsidP="00AB6AC3">
      <w:pPr>
        <w:pStyle w:val="Heading1"/>
        <w:spacing w:before="0" w:after="200" w:line="360" w:lineRule="auto"/>
        <w:jc w:val="both"/>
        <w:rPr>
          <w:rFonts w:ascii="Century Gothic" w:hAnsi="Century Gothic"/>
          <w:sz w:val="24"/>
          <w:szCs w:val="24"/>
        </w:rPr>
      </w:pPr>
      <w:r w:rsidRPr="00AB6AC3">
        <w:rPr>
          <w:rFonts w:ascii="Century Gothic" w:hAnsi="Century Gothic"/>
          <w:sz w:val="24"/>
          <w:szCs w:val="24"/>
        </w:rPr>
        <w:t>KESIMPULAN</w:t>
      </w:r>
    </w:p>
    <w:p w14:paraId="4C018925" w14:textId="4E0A6DF0" w:rsidR="00AB6AC3" w:rsidRDefault="00AB6AC3" w:rsidP="00AB6AC3">
      <w:pPr>
        <w:spacing w:after="200" w:line="360" w:lineRule="auto"/>
        <w:ind w:firstLine="720"/>
        <w:jc w:val="both"/>
        <w:rPr>
          <w:rFonts w:ascii="Century Gothic" w:hAnsi="Century Gothic"/>
          <w:lang w:eastAsia="id-ID"/>
        </w:rPr>
      </w:pPr>
      <w:r w:rsidRPr="00AB6AC3">
        <w:rPr>
          <w:rFonts w:ascii="Century Gothic" w:hAnsi="Century Gothic"/>
          <w:lang w:eastAsia="id-ID"/>
        </w:rPr>
        <w:t>Pelaksanaan pelatihan service excellence di SD Muhammadiyah Kangean memberikan dampak positif terhadap peningkatan kualitas pelayanan guru dalam pembelajaran. Guru mulai menerapkan sikap pelayanan yang lebih ramah, responsif, dan berorientasi pada kebutuhan siswa. Selain itu, komunikasi pembelajaran menjadi lebih interaktif sehingga siswa lebih aktif dalam mengikuti proses pembelajaran. Pendampingan yang dilakukan setelah pelatihan juga meningkatkan produktivitas guru, terlihat dari respons guru yang lebih cepat dalam membantu siswa, pemberian umpan balik yang lebih efektif, serta interaksi pembelajaran yang lebih baik. Peningkatan kualitas pelayanan dan produktivitas guru tersebut berdampak pada meningkatnya citra sekolah dan kepercayaan orang tua, sehingga daya saing SD Muhammadiyah Kangean semakin meningkat. Berdasarkan hasil kegiatan pengabdian kepada masyarakat, pelatihan service excellence perlu dilakukan secara berkala untuk menjaga konsistensi kualitas pelayanan guru. Selain itu, diperlukan monitoring lanjutan untuk memastikan penerapan pelayanan prima berjalan secara berkelanjutan. Sekolah juga perlu mengembangkan program pelayanan pendidikan melalui penyusunan standar pelayanan pembelajaran dan program layanan siswa yang berorientasi pada kebutuhan peserta didik. Upaya tersebut diharapkan dapat meningkatkan kualitas layanan pendidikan serta memperkuat daya saing SD Muhammadiyah Kangean secara berkelanjutan.</w:t>
      </w:r>
    </w:p>
    <w:p w14:paraId="012877D1" w14:textId="77777777" w:rsidR="00AB6AC3" w:rsidRPr="00AB6AC3" w:rsidRDefault="00AB6AC3" w:rsidP="00AB6AC3">
      <w:pPr>
        <w:spacing w:after="200" w:line="360" w:lineRule="auto"/>
        <w:ind w:firstLine="720"/>
        <w:jc w:val="both"/>
        <w:rPr>
          <w:rFonts w:ascii="Century Gothic" w:hAnsi="Century Gothic"/>
          <w:lang w:eastAsia="id-ID"/>
        </w:rPr>
      </w:pPr>
    </w:p>
    <w:p w14:paraId="161F75BC" w14:textId="47F5A0AD" w:rsidR="007F77C1" w:rsidRPr="00AB6AC3" w:rsidRDefault="007F77C1" w:rsidP="00AB6AC3">
      <w:pPr>
        <w:spacing w:after="200" w:line="360" w:lineRule="auto"/>
        <w:jc w:val="both"/>
        <w:rPr>
          <w:rFonts w:ascii="Century Gothic" w:hAnsi="Century Gothic"/>
          <w:b/>
          <w:bCs/>
        </w:rPr>
      </w:pPr>
      <w:r w:rsidRPr="00AB6AC3">
        <w:rPr>
          <w:rFonts w:ascii="Century Gothic" w:hAnsi="Century Gothic"/>
          <w:b/>
          <w:bCs/>
        </w:rPr>
        <w:lastRenderedPageBreak/>
        <w:t>PUSTAKA</w:t>
      </w:r>
    </w:p>
    <w:p w14:paraId="364E3FD6" w14:textId="2BB519C9" w:rsidR="00AB6AC3" w:rsidRPr="00AB6AC3" w:rsidRDefault="00AB6AC3" w:rsidP="00AB6AC3">
      <w:pPr>
        <w:spacing w:after="200" w:line="360" w:lineRule="auto"/>
        <w:ind w:firstLine="426"/>
        <w:jc w:val="both"/>
        <w:rPr>
          <w:rFonts w:ascii="Century Gothic" w:hAnsi="Century Gothic"/>
        </w:rPr>
      </w:pPr>
      <w:r w:rsidRPr="00AB6AC3">
        <w:rPr>
          <w:rFonts w:ascii="Century Gothic" w:hAnsi="Century Gothic"/>
        </w:rPr>
        <w:t xml:space="preserve">Abbas, J. (2020). Service quality in higher education institutions: Qualitative evidence from students’ perspectives. International Journal of Quality and Service Sciences, 12(3), 371–384. </w:t>
      </w:r>
      <w:hyperlink r:id="rId13" w:history="1">
        <w:r w:rsidRPr="00AB6AC3">
          <w:rPr>
            <w:rStyle w:val="Hyperlink"/>
            <w:rFonts w:ascii="Century Gothic" w:hAnsi="Century Gothic"/>
          </w:rPr>
          <w:t>https://www.emerald.com/ijqss/article/12/3/371/148623</w:t>
        </w:r>
      </w:hyperlink>
      <w:r w:rsidRPr="00AB6AC3">
        <w:rPr>
          <w:rFonts w:ascii="Century Gothic" w:hAnsi="Century Gothic"/>
        </w:rPr>
        <w:t xml:space="preserve"> </w:t>
      </w:r>
    </w:p>
    <w:p w14:paraId="72F3CC08" w14:textId="583C4207" w:rsidR="00AB6AC3" w:rsidRPr="00AB6AC3" w:rsidRDefault="00AB6AC3" w:rsidP="00AB6AC3">
      <w:pPr>
        <w:spacing w:after="200" w:line="360" w:lineRule="auto"/>
        <w:ind w:firstLine="426"/>
        <w:jc w:val="both"/>
        <w:rPr>
          <w:rFonts w:ascii="Century Gothic" w:hAnsi="Century Gothic"/>
        </w:rPr>
      </w:pPr>
      <w:r w:rsidRPr="00AB6AC3">
        <w:rPr>
          <w:rFonts w:ascii="Century Gothic" w:hAnsi="Century Gothic"/>
        </w:rPr>
        <w:t xml:space="preserve">Alsaleh, A., Alabdulhadi, M., &amp; Alrwaished, N. (2017). Impact of peer coaching strategy on pre-service teachers’ professional development growth. International Journal of Educational Research, 86, 36–49. </w:t>
      </w:r>
      <w:hyperlink r:id="rId14" w:history="1">
        <w:r w:rsidRPr="00AB6AC3">
          <w:rPr>
            <w:rStyle w:val="Hyperlink"/>
            <w:rFonts w:ascii="Century Gothic" w:hAnsi="Century Gothic"/>
          </w:rPr>
          <w:t>https://www.sciencedirect.com/science/article/pii/S0883035516302592</w:t>
        </w:r>
      </w:hyperlink>
      <w:r w:rsidRPr="00AB6AC3">
        <w:rPr>
          <w:rFonts w:ascii="Century Gothic" w:hAnsi="Century Gothic"/>
        </w:rPr>
        <w:t xml:space="preserve"> </w:t>
      </w:r>
    </w:p>
    <w:p w14:paraId="0DE74034" w14:textId="77777777" w:rsidR="00AB6AC3" w:rsidRPr="00AB6AC3" w:rsidRDefault="00AB6AC3" w:rsidP="00AB6AC3">
      <w:pPr>
        <w:spacing w:after="200" w:line="360" w:lineRule="auto"/>
        <w:ind w:firstLine="426"/>
        <w:jc w:val="both"/>
        <w:rPr>
          <w:rFonts w:ascii="Century Gothic" w:hAnsi="Century Gothic"/>
        </w:rPr>
      </w:pPr>
      <w:r w:rsidRPr="00AB6AC3">
        <w:rPr>
          <w:rFonts w:ascii="Century Gothic" w:hAnsi="Century Gothic"/>
        </w:rPr>
        <w:t>Arikunto, S. (2013). Prosedur penelitian: Suatu pendekatan praktik. Jakarta: Rineka Cipta.</w:t>
      </w:r>
    </w:p>
    <w:p w14:paraId="7B96B094" w14:textId="6FA4F1D4" w:rsidR="00AB6AC3" w:rsidRPr="00AB6AC3" w:rsidRDefault="00AB6AC3" w:rsidP="00AB6AC3">
      <w:pPr>
        <w:spacing w:after="200" w:line="360" w:lineRule="auto"/>
        <w:ind w:firstLine="426"/>
        <w:jc w:val="both"/>
        <w:rPr>
          <w:rFonts w:ascii="Century Gothic" w:hAnsi="Century Gothic"/>
        </w:rPr>
      </w:pPr>
      <w:r w:rsidRPr="00AB6AC3">
        <w:rPr>
          <w:rFonts w:ascii="Century Gothic" w:hAnsi="Century Gothic"/>
        </w:rPr>
        <w:t xml:space="preserve">Athanasiadis, A., &amp; Papadopoulou, V. (2024). Service quality assessment in a teacher training program: A cultural perspective. Quality Assurance in Education, 32(3), 308–326. </w:t>
      </w:r>
      <w:hyperlink r:id="rId15" w:history="1">
        <w:r w:rsidRPr="00AB6AC3">
          <w:rPr>
            <w:rStyle w:val="Hyperlink"/>
            <w:rFonts w:ascii="Century Gothic" w:hAnsi="Century Gothic"/>
          </w:rPr>
          <w:t>https://www.emerald.com/qae/article/32/3/308/1225042</w:t>
        </w:r>
      </w:hyperlink>
      <w:r w:rsidRPr="00AB6AC3">
        <w:rPr>
          <w:rFonts w:ascii="Century Gothic" w:hAnsi="Century Gothic"/>
        </w:rPr>
        <w:t xml:space="preserve"> </w:t>
      </w:r>
    </w:p>
    <w:p w14:paraId="5F01059D" w14:textId="5628D57B" w:rsidR="00AB6AC3" w:rsidRPr="00AB6AC3" w:rsidRDefault="00AB6AC3" w:rsidP="00AB6AC3">
      <w:pPr>
        <w:spacing w:after="200" w:line="360" w:lineRule="auto"/>
        <w:ind w:firstLine="426"/>
        <w:jc w:val="both"/>
        <w:rPr>
          <w:rFonts w:ascii="Century Gothic" w:hAnsi="Century Gothic"/>
        </w:rPr>
      </w:pPr>
      <w:r w:rsidRPr="00AB6AC3">
        <w:rPr>
          <w:rFonts w:ascii="Century Gothic" w:hAnsi="Century Gothic"/>
        </w:rPr>
        <w:t xml:space="preserve">Belando-Montoro, M. R., &amp; Naranjo-Crespo, M. (2022). Barriers and facilitators to participation in education. International Journal of Educational Research. </w:t>
      </w:r>
      <w:hyperlink r:id="rId16" w:history="1">
        <w:r w:rsidRPr="00AB6AC3">
          <w:rPr>
            <w:rStyle w:val="Hyperlink"/>
            <w:rFonts w:ascii="Century Gothic" w:hAnsi="Century Gothic"/>
          </w:rPr>
          <w:t>https://www.sciencedirect.com/science/article/pii/S0883035522000465</w:t>
        </w:r>
      </w:hyperlink>
      <w:r w:rsidRPr="00AB6AC3">
        <w:rPr>
          <w:rFonts w:ascii="Century Gothic" w:hAnsi="Century Gothic"/>
        </w:rPr>
        <w:t xml:space="preserve"> </w:t>
      </w:r>
    </w:p>
    <w:p w14:paraId="45414EF2" w14:textId="77777777" w:rsidR="00AB6AC3" w:rsidRPr="00AB6AC3" w:rsidRDefault="00AB6AC3" w:rsidP="00AB6AC3">
      <w:pPr>
        <w:spacing w:after="200" w:line="360" w:lineRule="auto"/>
        <w:ind w:firstLine="426"/>
        <w:jc w:val="both"/>
        <w:rPr>
          <w:rFonts w:ascii="Century Gothic" w:hAnsi="Century Gothic"/>
        </w:rPr>
      </w:pPr>
      <w:r w:rsidRPr="00AB6AC3">
        <w:rPr>
          <w:rFonts w:ascii="Century Gothic" w:hAnsi="Century Gothic"/>
        </w:rPr>
        <w:t>Creswell, J. W. (2014). Research design: Qualitative, quantitative, and mixed methods approaches (4th ed.). Sage Publications.</w:t>
      </w:r>
    </w:p>
    <w:p w14:paraId="757E7DDE" w14:textId="77777777" w:rsidR="00AB6AC3" w:rsidRPr="00AB6AC3" w:rsidRDefault="00AB6AC3" w:rsidP="00AB6AC3">
      <w:pPr>
        <w:spacing w:after="200" w:line="360" w:lineRule="auto"/>
        <w:ind w:firstLine="426"/>
        <w:jc w:val="both"/>
        <w:rPr>
          <w:rFonts w:ascii="Century Gothic" w:hAnsi="Century Gothic"/>
        </w:rPr>
      </w:pPr>
      <w:r w:rsidRPr="00AB6AC3">
        <w:rPr>
          <w:rFonts w:ascii="Century Gothic" w:hAnsi="Century Gothic"/>
        </w:rPr>
        <w:t>Djamarah, S. B., &amp; Zain, A. (2013). Strategi belajar mengajar. Jakarta: Rineka Cipta.</w:t>
      </w:r>
    </w:p>
    <w:p w14:paraId="10AF9354" w14:textId="61D794DF" w:rsidR="00AB6AC3" w:rsidRPr="00AB6AC3" w:rsidRDefault="00AB6AC3" w:rsidP="00AB6AC3">
      <w:pPr>
        <w:spacing w:after="200" w:line="360" w:lineRule="auto"/>
        <w:ind w:firstLine="426"/>
        <w:jc w:val="both"/>
        <w:rPr>
          <w:rFonts w:ascii="Century Gothic" w:hAnsi="Century Gothic"/>
        </w:rPr>
      </w:pPr>
      <w:r w:rsidRPr="00AB6AC3">
        <w:rPr>
          <w:rFonts w:ascii="Century Gothic" w:hAnsi="Century Gothic"/>
        </w:rPr>
        <w:t xml:space="preserve">Forseille, A., &amp; Raptis, H. (2016). Teacher induction and mentoring programs. Teaching and Teacher Education, 58, 1–11. </w:t>
      </w:r>
      <w:hyperlink r:id="rId17" w:history="1">
        <w:r w:rsidRPr="00AB6AC3">
          <w:rPr>
            <w:rStyle w:val="Hyperlink"/>
            <w:rFonts w:ascii="Century Gothic" w:hAnsi="Century Gothic"/>
          </w:rPr>
          <w:t>https://www.sciencedirect.com/science/article/pii/S0742051X16301263</w:t>
        </w:r>
      </w:hyperlink>
      <w:r w:rsidRPr="00AB6AC3">
        <w:rPr>
          <w:rFonts w:ascii="Century Gothic" w:hAnsi="Century Gothic"/>
        </w:rPr>
        <w:t xml:space="preserve"> </w:t>
      </w:r>
    </w:p>
    <w:p w14:paraId="3AB3C3B9" w14:textId="07E4597C" w:rsidR="00AB6AC3" w:rsidRPr="00AB6AC3" w:rsidRDefault="00AB6AC3" w:rsidP="00AB6AC3">
      <w:pPr>
        <w:spacing w:after="200" w:line="360" w:lineRule="auto"/>
        <w:ind w:firstLine="426"/>
        <w:jc w:val="both"/>
        <w:rPr>
          <w:rFonts w:ascii="Century Gothic" w:hAnsi="Century Gothic"/>
        </w:rPr>
      </w:pPr>
      <w:r w:rsidRPr="00AB6AC3">
        <w:rPr>
          <w:rFonts w:ascii="Century Gothic" w:hAnsi="Century Gothic"/>
        </w:rPr>
        <w:t xml:space="preserve">Hart, P. F., &amp; Rodgers, W. (2024). Competition, competitiveness, and competitive advantage in higher education institutions: A systematic literature </w:t>
      </w:r>
      <w:r w:rsidRPr="00AB6AC3">
        <w:rPr>
          <w:rFonts w:ascii="Century Gothic" w:hAnsi="Century Gothic"/>
        </w:rPr>
        <w:lastRenderedPageBreak/>
        <w:t xml:space="preserve">review. Studies in Higher Education. </w:t>
      </w:r>
      <w:hyperlink r:id="rId18" w:history="1">
        <w:r w:rsidRPr="00AB6AC3">
          <w:rPr>
            <w:rStyle w:val="Hyperlink"/>
            <w:rFonts w:ascii="Century Gothic" w:hAnsi="Century Gothic"/>
          </w:rPr>
          <w:t>https://www.tandfonline.com/doi/abs/10.1080/03075079.2023.2293926</w:t>
        </w:r>
      </w:hyperlink>
      <w:r w:rsidRPr="00AB6AC3">
        <w:rPr>
          <w:rFonts w:ascii="Century Gothic" w:hAnsi="Century Gothic"/>
        </w:rPr>
        <w:t xml:space="preserve"> </w:t>
      </w:r>
    </w:p>
    <w:p w14:paraId="1D68719E" w14:textId="41650FD6" w:rsidR="00AB6AC3" w:rsidRPr="00AB6AC3" w:rsidRDefault="00AB6AC3" w:rsidP="00AB6AC3">
      <w:pPr>
        <w:spacing w:after="200" w:line="360" w:lineRule="auto"/>
        <w:ind w:firstLine="426"/>
        <w:jc w:val="both"/>
        <w:rPr>
          <w:rFonts w:ascii="Century Gothic" w:hAnsi="Century Gothic"/>
        </w:rPr>
      </w:pPr>
      <w:r w:rsidRPr="00AB6AC3">
        <w:rPr>
          <w:rFonts w:ascii="Century Gothic" w:hAnsi="Century Gothic"/>
        </w:rPr>
        <w:t xml:space="preserve">Prima, A., Mulawarman, W. G., &amp; Yahya, M. (2025). Educational service quality management as a strategy to increase school competitiveness in the era of globalization. Journal of Educational Management Research. </w:t>
      </w:r>
      <w:hyperlink r:id="rId19" w:history="1">
        <w:r w:rsidRPr="00AB6AC3">
          <w:rPr>
            <w:rStyle w:val="Hyperlink"/>
            <w:rFonts w:ascii="Century Gothic" w:hAnsi="Century Gothic"/>
          </w:rPr>
          <w:t>http://serambi.org/index.php/jemr/article/view/1030</w:t>
        </w:r>
      </w:hyperlink>
      <w:r w:rsidRPr="00AB6AC3">
        <w:rPr>
          <w:rFonts w:ascii="Century Gothic" w:hAnsi="Century Gothic"/>
        </w:rPr>
        <w:t xml:space="preserve"> </w:t>
      </w:r>
    </w:p>
    <w:p w14:paraId="4ADB72F8" w14:textId="3051730B" w:rsidR="00AB6AC3" w:rsidRPr="00AB6AC3" w:rsidRDefault="00AB6AC3" w:rsidP="00AB6AC3">
      <w:pPr>
        <w:spacing w:after="200" w:line="360" w:lineRule="auto"/>
        <w:ind w:firstLine="426"/>
        <w:jc w:val="both"/>
        <w:rPr>
          <w:rFonts w:ascii="Century Gothic" w:hAnsi="Century Gothic"/>
        </w:rPr>
      </w:pPr>
      <w:r w:rsidRPr="00AB6AC3">
        <w:rPr>
          <w:rFonts w:ascii="Century Gothic" w:hAnsi="Century Gothic"/>
        </w:rPr>
        <w:t xml:space="preserve">Rodríguez-Zurita, D., &amp; Jaya-Montalvo, M. (2025). Sustainable development through service learning and community engagement in higher education: A systematic literature review. International Journal of Sustainability in Higher Education, 26(1), 158–176. </w:t>
      </w:r>
      <w:hyperlink r:id="rId20" w:history="1">
        <w:r w:rsidRPr="00AB6AC3">
          <w:rPr>
            <w:rStyle w:val="Hyperlink"/>
            <w:rFonts w:ascii="Century Gothic" w:hAnsi="Century Gothic"/>
          </w:rPr>
          <w:t>https://www.emerald.com/ijshe/article-abstract/26/1/158/1245108</w:t>
        </w:r>
      </w:hyperlink>
      <w:r w:rsidRPr="00AB6AC3">
        <w:rPr>
          <w:rFonts w:ascii="Century Gothic" w:hAnsi="Century Gothic"/>
        </w:rPr>
        <w:t xml:space="preserve"> </w:t>
      </w:r>
    </w:p>
    <w:p w14:paraId="5FD67340" w14:textId="6425F9D2" w:rsidR="00AB6AC3" w:rsidRPr="00AB6AC3" w:rsidRDefault="00AB6AC3" w:rsidP="00AB6AC3">
      <w:pPr>
        <w:spacing w:after="200" w:line="360" w:lineRule="auto"/>
        <w:ind w:firstLine="426"/>
        <w:jc w:val="both"/>
        <w:rPr>
          <w:rFonts w:ascii="Century Gothic" w:hAnsi="Century Gothic"/>
        </w:rPr>
      </w:pPr>
      <w:r w:rsidRPr="00AB6AC3">
        <w:rPr>
          <w:rFonts w:ascii="Century Gothic" w:hAnsi="Century Gothic"/>
        </w:rPr>
        <w:t xml:space="preserve">Rosi, F., Hefniy, F. W., &amp; Aisyah, S. (2022). Service quality as a strategy for improving school competitive advantage. Al-Tanzim: Jurnal Manajemen Pendidikan Islam. </w:t>
      </w:r>
      <w:hyperlink r:id="rId21" w:history="1">
        <w:r w:rsidRPr="00AB6AC3">
          <w:rPr>
            <w:rStyle w:val="Hyperlink"/>
            <w:rFonts w:ascii="Century Gothic" w:hAnsi="Century Gothic"/>
          </w:rPr>
          <w:t>https://scholar.archive.org/work/gkrol365xbgwhfou5fntgyor3e</w:t>
        </w:r>
      </w:hyperlink>
      <w:r w:rsidRPr="00AB6AC3">
        <w:rPr>
          <w:rFonts w:ascii="Century Gothic" w:hAnsi="Century Gothic"/>
        </w:rPr>
        <w:t xml:space="preserve"> </w:t>
      </w:r>
    </w:p>
    <w:p w14:paraId="41105250" w14:textId="4750BB02" w:rsidR="00AB6AC3" w:rsidRPr="00AB6AC3" w:rsidRDefault="00AB6AC3" w:rsidP="00AB6AC3">
      <w:pPr>
        <w:spacing w:after="200" w:line="360" w:lineRule="auto"/>
        <w:ind w:firstLine="426"/>
        <w:jc w:val="both"/>
        <w:rPr>
          <w:rFonts w:ascii="Century Gothic" w:hAnsi="Century Gothic"/>
        </w:rPr>
      </w:pPr>
      <w:r w:rsidRPr="00AB6AC3">
        <w:rPr>
          <w:rFonts w:ascii="Century Gothic" w:hAnsi="Century Gothic"/>
        </w:rPr>
        <w:t xml:space="preserve">Rudiyanto, S., &amp; Kusumaningsih, W. (2025). The impact of school principals' managerial competence and customer relationship management on educational service quality in primary schools. Al-Ishlah: Jurnal Pendidikan. </w:t>
      </w:r>
      <w:hyperlink r:id="rId22" w:history="1">
        <w:r w:rsidRPr="00AB6AC3">
          <w:rPr>
            <w:rStyle w:val="Hyperlink"/>
            <w:rFonts w:ascii="Century Gothic" w:hAnsi="Century Gothic"/>
          </w:rPr>
          <w:t>http://journal.staihubbulwathan.id/index.php/alishlah/article/view/7407</w:t>
        </w:r>
      </w:hyperlink>
      <w:r w:rsidRPr="00AB6AC3">
        <w:rPr>
          <w:rFonts w:ascii="Century Gothic" w:hAnsi="Century Gothic"/>
        </w:rPr>
        <w:t xml:space="preserve"> </w:t>
      </w:r>
    </w:p>
    <w:p w14:paraId="2A32AEC4" w14:textId="77777777" w:rsidR="00AB6AC3" w:rsidRPr="00AB6AC3" w:rsidRDefault="00AB6AC3" w:rsidP="00AB6AC3">
      <w:pPr>
        <w:spacing w:after="200" w:line="360" w:lineRule="auto"/>
        <w:ind w:firstLine="426"/>
        <w:jc w:val="both"/>
        <w:rPr>
          <w:rFonts w:ascii="Century Gothic" w:hAnsi="Century Gothic"/>
        </w:rPr>
      </w:pPr>
      <w:r w:rsidRPr="00AB6AC3">
        <w:rPr>
          <w:rFonts w:ascii="Century Gothic" w:hAnsi="Century Gothic"/>
        </w:rPr>
        <w:t>Sanjaya, W. (2016). Strategi pembelajaran berorientasi standar proses pendidikan. Jakarta: Kencana.</w:t>
      </w:r>
    </w:p>
    <w:p w14:paraId="756757A9" w14:textId="2331FC24" w:rsidR="00AB6AC3" w:rsidRPr="00AB6AC3" w:rsidRDefault="00AB6AC3" w:rsidP="00AB6AC3">
      <w:pPr>
        <w:spacing w:after="200" w:line="360" w:lineRule="auto"/>
        <w:ind w:firstLine="426"/>
        <w:jc w:val="both"/>
        <w:rPr>
          <w:rFonts w:ascii="Century Gothic" w:hAnsi="Century Gothic"/>
        </w:rPr>
      </w:pPr>
      <w:r w:rsidRPr="00AB6AC3">
        <w:rPr>
          <w:rFonts w:ascii="Century Gothic" w:hAnsi="Century Gothic"/>
        </w:rPr>
        <w:t xml:space="preserve">Senol, H., &amp; Dagli, G. (2017). Increasing service quality in education: Views of principals and teachers. EURASIA Journal of Mathematics, Science and Technology Education. </w:t>
      </w:r>
      <w:hyperlink r:id="rId23" w:history="1">
        <w:r w:rsidRPr="00AB6AC3">
          <w:rPr>
            <w:rStyle w:val="Hyperlink"/>
            <w:rFonts w:ascii="Century Gothic" w:hAnsi="Century Gothic"/>
          </w:rPr>
          <w:t>https://www.ejmste.com/article/increasing-service-quality-in-education-views-of-principals-and-teachers-4913</w:t>
        </w:r>
      </w:hyperlink>
      <w:r w:rsidRPr="00AB6AC3">
        <w:rPr>
          <w:rFonts w:ascii="Century Gothic" w:hAnsi="Century Gothic"/>
        </w:rPr>
        <w:t xml:space="preserve"> </w:t>
      </w:r>
    </w:p>
    <w:p w14:paraId="189AF305" w14:textId="77777777" w:rsidR="00AB6AC3" w:rsidRPr="00AB6AC3" w:rsidRDefault="00AB6AC3" w:rsidP="00AB6AC3">
      <w:pPr>
        <w:spacing w:after="200" w:line="360" w:lineRule="auto"/>
        <w:ind w:firstLine="426"/>
        <w:jc w:val="both"/>
        <w:rPr>
          <w:rFonts w:ascii="Century Gothic" w:hAnsi="Century Gothic"/>
        </w:rPr>
      </w:pPr>
      <w:r w:rsidRPr="00AB6AC3">
        <w:rPr>
          <w:rFonts w:ascii="Century Gothic" w:hAnsi="Century Gothic"/>
        </w:rPr>
        <w:t>Sudjana, D. (2010). Metode dan teknik pembelajaran partisipatif. Bandung: Falah Production.</w:t>
      </w:r>
    </w:p>
    <w:p w14:paraId="0B69CDC7" w14:textId="77777777" w:rsidR="00AB6AC3" w:rsidRPr="00AB6AC3" w:rsidRDefault="00AB6AC3" w:rsidP="00AB6AC3">
      <w:pPr>
        <w:spacing w:after="200" w:line="360" w:lineRule="auto"/>
        <w:ind w:firstLine="426"/>
        <w:jc w:val="both"/>
        <w:rPr>
          <w:rFonts w:ascii="Century Gothic" w:hAnsi="Century Gothic"/>
        </w:rPr>
      </w:pPr>
      <w:r w:rsidRPr="00AB6AC3">
        <w:rPr>
          <w:rFonts w:ascii="Century Gothic" w:hAnsi="Century Gothic"/>
        </w:rPr>
        <w:lastRenderedPageBreak/>
        <w:t>Sugiyono. (2019). Metode penelitian kuantitatif, kualitatif, dan R&amp;D. Bandung: Alfabeta.</w:t>
      </w:r>
    </w:p>
    <w:p w14:paraId="7507FF4A" w14:textId="43E45CCC" w:rsidR="00AB6AC3" w:rsidRPr="00AB6AC3" w:rsidRDefault="00AB6AC3" w:rsidP="00AB6AC3">
      <w:pPr>
        <w:spacing w:after="200" w:line="360" w:lineRule="auto"/>
        <w:ind w:firstLine="426"/>
        <w:jc w:val="both"/>
        <w:rPr>
          <w:rFonts w:ascii="Century Gothic" w:hAnsi="Century Gothic"/>
        </w:rPr>
      </w:pPr>
      <w:r w:rsidRPr="00AB6AC3">
        <w:rPr>
          <w:rFonts w:ascii="Century Gothic" w:hAnsi="Century Gothic"/>
        </w:rPr>
        <w:t xml:space="preserve">Yan, Z., Na, M., Alam, S. S., Masukujjaman, M., &amp; Lu, Y. X. (2022). Teacher competencies and school improvement specialist coaching programme. Sustainability, 14(23), 16273. </w:t>
      </w:r>
      <w:hyperlink r:id="rId24" w:history="1">
        <w:r w:rsidRPr="00AB6AC3">
          <w:rPr>
            <w:rStyle w:val="Hyperlink"/>
            <w:rFonts w:ascii="Century Gothic" w:hAnsi="Century Gothic"/>
          </w:rPr>
          <w:t>https://www.mdpi.com/2071-1050/14/23/16273</w:t>
        </w:r>
      </w:hyperlink>
      <w:r w:rsidRPr="00AB6AC3">
        <w:rPr>
          <w:rFonts w:ascii="Century Gothic" w:hAnsi="Century Gothic"/>
        </w:rPr>
        <w:t xml:space="preserve"> </w:t>
      </w:r>
    </w:p>
    <w:p w14:paraId="4CECC7DB" w14:textId="7A99293D" w:rsidR="00943B7A" w:rsidRPr="00AB6AC3" w:rsidRDefault="00943B7A" w:rsidP="00AB6AC3">
      <w:pPr>
        <w:widowControl w:val="0"/>
        <w:autoSpaceDE w:val="0"/>
        <w:autoSpaceDN w:val="0"/>
        <w:adjustRightInd w:val="0"/>
        <w:spacing w:line="360" w:lineRule="auto"/>
        <w:rPr>
          <w:b/>
          <w:bCs/>
        </w:rPr>
      </w:pPr>
    </w:p>
    <w:sectPr w:rsidR="00943B7A" w:rsidRPr="00AB6AC3" w:rsidSect="00191B38">
      <w:pgSz w:w="11906" w:h="16838"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A2064" w14:textId="77777777" w:rsidR="00AF7238" w:rsidRDefault="00AF7238" w:rsidP="008834B4">
      <w:r>
        <w:separator/>
      </w:r>
    </w:p>
  </w:endnote>
  <w:endnote w:type="continuationSeparator" w:id="0">
    <w:p w14:paraId="2EF5B07C" w14:textId="77777777" w:rsidR="00AF7238" w:rsidRDefault="00AF7238"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venir Black">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21C72" w14:textId="77777777"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Pr>
        <w:noProof/>
        <w:sz w:val="14"/>
      </w:rPr>
      <w:t>2</w:t>
    </w:r>
    <w:r w:rsidRPr="00D62FAB">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16601" w14:textId="55A9A5A2" w:rsidR="007F77C1" w:rsidRPr="00FA56E2" w:rsidRDefault="007F77C1">
    <w:pPr>
      <w:pStyle w:val="Footer"/>
      <w:rPr>
        <w:sz w:val="14"/>
        <w:szCs w:val="14"/>
      </w:rPr>
    </w:pPr>
  </w:p>
  <w:p w14:paraId="3749FA41" w14:textId="4CE8CE08" w:rsidR="007F77C1" w:rsidRPr="00C1211D" w:rsidRDefault="007F77C1" w:rsidP="000A54FC">
    <w:pPr>
      <w:pStyle w:val="Footer"/>
      <w:tabs>
        <w:tab w:val="left" w:pos="2880"/>
      </w:tabs>
      <w:ind w:left="2552"/>
      <w:jc w:val="right"/>
    </w:pPr>
    <w:r w:rsidRPr="00C1211D">
      <w:rPr>
        <w:sz w:val="14"/>
      </w:rPr>
      <w:t>© 20</w:t>
    </w:r>
    <w:r w:rsidR="000C6738">
      <w:rPr>
        <w:sz w:val="14"/>
      </w:rPr>
      <w:t>23</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649A9" w14:textId="77777777" w:rsidR="00AF7238" w:rsidRDefault="00AF7238" w:rsidP="008834B4">
      <w:r>
        <w:separator/>
      </w:r>
    </w:p>
  </w:footnote>
  <w:footnote w:type="continuationSeparator" w:id="0">
    <w:p w14:paraId="322DF090" w14:textId="77777777" w:rsidR="00AF7238" w:rsidRDefault="00AF7238"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42AFE" w14:textId="155689D8" w:rsidR="007F77C1" w:rsidRPr="00923DFB" w:rsidRDefault="00401CD4" w:rsidP="00A167AB">
    <w:pPr>
      <w:rPr>
        <w:sz w:val="14"/>
        <w:lang w:val="id-ID"/>
      </w:rPr>
    </w:pPr>
    <w:r>
      <w:rPr>
        <w:sz w:val="14"/>
      </w:rPr>
      <w:t xml:space="preserve">Nama belakang </w:t>
    </w:r>
    <w:r w:rsidR="007F77C1">
      <w:rPr>
        <w:sz w:val="14"/>
        <w:lang w:val="id-ID"/>
      </w:rPr>
      <w:t xml:space="preserve">Penulis </w:t>
    </w:r>
    <w:r>
      <w:rPr>
        <w:sz w:val="14"/>
      </w:rPr>
      <w:t>dst</w:t>
    </w:r>
    <w:r w:rsidR="007F77C1" w:rsidRPr="00E13E10">
      <w:rPr>
        <w:sz w:val="14"/>
      </w:rPr>
      <w:t xml:space="preserve">, </w:t>
    </w:r>
    <w:r w:rsidR="007F77C1">
      <w:rPr>
        <w:i/>
        <w:iCs/>
        <w:sz w:val="14"/>
      </w:rPr>
      <w:t xml:space="preserve">Reswara </w:t>
    </w:r>
    <w:r w:rsidR="007F77C1">
      <w:rPr>
        <w:i/>
        <w:sz w:val="14"/>
        <w:lang w:val="id-ID"/>
      </w:rPr>
      <w:t xml:space="preserve">Jurnal Pengabdian </w:t>
    </w:r>
    <w:r w:rsidR="007F77C1">
      <w:rPr>
        <w:i/>
        <w:sz w:val="14"/>
      </w:rPr>
      <w:t xml:space="preserve">Kepada </w:t>
    </w:r>
    <w:r w:rsidR="007F77C1">
      <w:rPr>
        <w:i/>
        <w:sz w:val="14"/>
        <w:lang w:val="id-ID"/>
      </w:rPr>
      <w:t xml:space="preserve">Masyarakat </w:t>
    </w:r>
    <w:r w:rsidR="007F77C1" w:rsidRPr="00E13E10">
      <w:rPr>
        <w:i/>
        <w:sz w:val="14"/>
      </w:rPr>
      <w:t xml:space="preserve"> </w:t>
    </w:r>
    <w:r w:rsidR="007F77C1" w:rsidRPr="00E13E10">
      <w:rPr>
        <w:sz w:val="14"/>
      </w:rPr>
      <w:t>20</w:t>
    </w:r>
    <w:r>
      <w:rPr>
        <w:sz w:val="14"/>
      </w:rPr>
      <w:t>xx</w:t>
    </w:r>
    <w:r w:rsidR="007F77C1" w:rsidRPr="00E13E10">
      <w:rPr>
        <w:sz w:val="14"/>
      </w:rPr>
      <w:t xml:space="preserve">, Volume </w:t>
    </w:r>
    <w:r w:rsidR="007F77C1">
      <w:rPr>
        <w:sz w:val="14"/>
        <w:lang w:val="id-ID"/>
      </w:rPr>
      <w:t>Nomor</w:t>
    </w:r>
    <w:r w:rsidR="007F77C1" w:rsidRPr="00E13E10">
      <w:rPr>
        <w:sz w:val="14"/>
      </w:rPr>
      <w:t xml:space="preserve">: </w:t>
    </w:r>
    <w:r w:rsidR="007F77C1">
      <w:rPr>
        <w:sz w:val="14"/>
        <w:lang w:val="id-ID"/>
      </w:rPr>
      <w:t>Nomor Halaman</w:t>
    </w:r>
  </w:p>
  <w:p w14:paraId="3C21FB69" w14:textId="77777777" w:rsidR="007F77C1" w:rsidRPr="00E13E10" w:rsidRDefault="007F77C1" w:rsidP="005955F2">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AA08F" w14:textId="642FCE45"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58240" behindDoc="0" locked="0" layoutInCell="1" allowOverlap="1" wp14:anchorId="3C8197D9" wp14:editId="313BED4B">
          <wp:simplePos x="0" y="0"/>
          <wp:positionH relativeFrom="column">
            <wp:posOffset>5143</wp:posOffset>
          </wp:positionH>
          <wp:positionV relativeFrom="paragraph">
            <wp:posOffset>-473710</wp:posOffset>
          </wp:positionV>
          <wp:extent cx="571393" cy="67056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71393" cy="670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0000">
      <w:rPr>
        <w:noProof/>
      </w:rPr>
      <w:pict w14:anchorId="4E350C90">
        <v:rect id="Rectangle 4" o:spid="_x0000_s1025" style="position:absolute;margin-left:2.35pt;margin-top:-35.2pt;width:480.2pt;height:48pt;z-index:25165414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" fillcolor="#1f497d" stroked="f">
          <v:textbo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r>
                  <w:rPr>
                    <w:rFonts w:ascii="Century Gothic" w:hAnsi="Century Gothic"/>
                    <w:b/>
                    <w:color w:val="FFFFFF"/>
                  </w:rPr>
                  <w:t>Reswara :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1FB17E3"/>
    <w:multiLevelType w:val="hybridMultilevel"/>
    <w:tmpl w:val="D61EEA04"/>
    <w:lvl w:ilvl="0" w:tplc="B3B82960">
      <w:start w:val="1"/>
      <w:numFmt w:val="lowerLetter"/>
      <w:lvlText w:val="%1."/>
      <w:lvlJc w:val="left"/>
      <w:pPr>
        <w:ind w:left="720" w:hanging="360"/>
      </w:pPr>
      <w:rPr>
        <w:rFonts w:ascii="Century Gothic" w:hAnsi="Century Gothic" w:hint="default"/>
        <w:b w:val="0"/>
        <w:i w:val="0"/>
        <w:sz w:val="18"/>
        <w:szCs w:val="18"/>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2A4FCB"/>
    <w:multiLevelType w:val="hybridMultilevel"/>
    <w:tmpl w:val="A860D5A8"/>
    <w:lvl w:ilvl="0" w:tplc="F19EE3A4">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62729F9"/>
    <w:multiLevelType w:val="hybridMultilevel"/>
    <w:tmpl w:val="493E503C"/>
    <w:lvl w:ilvl="0" w:tplc="402438E6">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7BC62AB"/>
    <w:multiLevelType w:val="hybridMultilevel"/>
    <w:tmpl w:val="700862FA"/>
    <w:lvl w:ilvl="0" w:tplc="67B85A1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C3D3821"/>
    <w:multiLevelType w:val="hybridMultilevel"/>
    <w:tmpl w:val="69821A5A"/>
    <w:lvl w:ilvl="0" w:tplc="644AC2FE">
      <w:start w:val="1"/>
      <w:numFmt w:val="lowerLetter"/>
      <w:lvlText w:val="%1."/>
      <w:lvlJc w:val="left"/>
      <w:pPr>
        <w:ind w:left="720" w:hanging="360"/>
      </w:pPr>
      <w:rPr>
        <w:rFonts w:ascii="Century Gothic" w:hAnsi="Century Gothic" w:hint="default"/>
        <w:b w:val="0"/>
        <w:i w:val="0"/>
        <w:sz w:val="18"/>
        <w:szCs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CC7680E"/>
    <w:multiLevelType w:val="hybridMultilevel"/>
    <w:tmpl w:val="FD94CE6C"/>
    <w:lvl w:ilvl="0" w:tplc="D95070EE">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2A326CA"/>
    <w:multiLevelType w:val="hybridMultilevel"/>
    <w:tmpl w:val="595EC928"/>
    <w:lvl w:ilvl="0" w:tplc="FFFFFFFF">
      <w:start w:val="1"/>
      <w:numFmt w:val="decimal"/>
      <w:lvlText w:val="%1."/>
      <w:lvlJc w:val="left"/>
      <w:pPr>
        <w:ind w:left="720" w:hanging="360"/>
      </w:pPr>
    </w:lvl>
    <w:lvl w:ilvl="1" w:tplc="B3B82960">
      <w:start w:val="1"/>
      <w:numFmt w:val="lowerLetter"/>
      <w:lvlText w:val="%2."/>
      <w:lvlJc w:val="left"/>
      <w:pPr>
        <w:ind w:left="720" w:hanging="360"/>
      </w:pPr>
      <w:rPr>
        <w:rFonts w:ascii="Century Gothic" w:hAnsi="Century Gothic" w:hint="default"/>
        <w:b w:val="0"/>
        <w:i w:val="0"/>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6335C25"/>
    <w:multiLevelType w:val="hybridMultilevel"/>
    <w:tmpl w:val="A72A9614"/>
    <w:lvl w:ilvl="0" w:tplc="FFFFFFFF">
      <w:start w:val="1"/>
      <w:numFmt w:val="decimal"/>
      <w:lvlText w:val="%1."/>
      <w:lvlJc w:val="left"/>
      <w:pPr>
        <w:ind w:left="720" w:hanging="360"/>
      </w:pPr>
    </w:lvl>
    <w:lvl w:ilvl="1" w:tplc="B3B82960">
      <w:start w:val="1"/>
      <w:numFmt w:val="lowerLetter"/>
      <w:lvlText w:val="%2."/>
      <w:lvlJc w:val="left"/>
      <w:pPr>
        <w:ind w:left="720" w:hanging="360"/>
      </w:pPr>
      <w:rPr>
        <w:rFonts w:ascii="Century Gothic" w:hAnsi="Century Gothic" w:hint="default"/>
        <w:b w:val="0"/>
        <w:i w:val="0"/>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E465DE7"/>
    <w:multiLevelType w:val="hybridMultilevel"/>
    <w:tmpl w:val="4A6A1174"/>
    <w:lvl w:ilvl="0" w:tplc="0CF8FAA2">
      <w:start w:val="1"/>
      <w:numFmt w:val="lowerLetter"/>
      <w:lvlText w:val="%1."/>
      <w:lvlJc w:val="left"/>
      <w:pPr>
        <w:ind w:left="720" w:hanging="360"/>
      </w:pPr>
      <w:rPr>
        <w:rFonts w:ascii="Century Gothic" w:hAnsi="Century Gothic" w:hint="default"/>
        <w:b w:val="0"/>
        <w:i w:val="0"/>
        <w:sz w:val="18"/>
        <w:szCs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FB13D7F"/>
    <w:multiLevelType w:val="hybridMultilevel"/>
    <w:tmpl w:val="C646EDD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C981871"/>
    <w:multiLevelType w:val="hybridMultilevel"/>
    <w:tmpl w:val="1C2E54E4"/>
    <w:lvl w:ilvl="0" w:tplc="B3B82960">
      <w:start w:val="1"/>
      <w:numFmt w:val="lowerLetter"/>
      <w:lvlText w:val="%1."/>
      <w:lvlJc w:val="left"/>
      <w:pPr>
        <w:ind w:left="720" w:hanging="360"/>
      </w:pPr>
      <w:rPr>
        <w:rFonts w:ascii="Century Gothic" w:hAnsi="Century Gothic" w:hint="default"/>
        <w:b w:val="0"/>
        <w:i w:val="0"/>
        <w:sz w:val="18"/>
        <w:szCs w:val="18"/>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D771492"/>
    <w:multiLevelType w:val="hybridMultilevel"/>
    <w:tmpl w:val="6CD48C3E"/>
    <w:lvl w:ilvl="0" w:tplc="FFFFFFFF">
      <w:start w:val="1"/>
      <w:numFmt w:val="decimal"/>
      <w:lvlText w:val="%1."/>
      <w:lvlJc w:val="left"/>
      <w:pPr>
        <w:ind w:left="720" w:hanging="360"/>
      </w:pPr>
    </w:lvl>
    <w:lvl w:ilvl="1" w:tplc="B3B82960">
      <w:start w:val="1"/>
      <w:numFmt w:val="lowerLetter"/>
      <w:lvlText w:val="%2."/>
      <w:lvlJc w:val="left"/>
      <w:pPr>
        <w:ind w:left="720" w:hanging="360"/>
      </w:pPr>
      <w:rPr>
        <w:rFonts w:ascii="Century Gothic" w:hAnsi="Century Gothic" w:hint="default"/>
        <w:b w:val="0"/>
        <w:i w:val="0"/>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E683906"/>
    <w:multiLevelType w:val="hybridMultilevel"/>
    <w:tmpl w:val="259E657C"/>
    <w:lvl w:ilvl="0" w:tplc="B3B82960">
      <w:start w:val="1"/>
      <w:numFmt w:val="lowerLetter"/>
      <w:lvlText w:val="%1."/>
      <w:lvlJc w:val="left"/>
      <w:pPr>
        <w:ind w:left="720" w:hanging="360"/>
      </w:pPr>
      <w:rPr>
        <w:rFonts w:ascii="Century Gothic" w:hAnsi="Century Gothic" w:hint="default"/>
        <w:b w:val="0"/>
        <w:i w:val="0"/>
        <w:sz w:val="18"/>
        <w:szCs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699E26BB"/>
    <w:multiLevelType w:val="hybridMultilevel"/>
    <w:tmpl w:val="235A9612"/>
    <w:lvl w:ilvl="0" w:tplc="0421000F">
      <w:start w:val="1"/>
      <w:numFmt w:val="decimal"/>
      <w:lvlText w:val="%1."/>
      <w:lvlJc w:val="left"/>
      <w:pPr>
        <w:ind w:left="720" w:hanging="360"/>
      </w:pPr>
    </w:lvl>
    <w:lvl w:ilvl="1" w:tplc="A574F184">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6AA45D01"/>
    <w:multiLevelType w:val="hybridMultilevel"/>
    <w:tmpl w:val="D0F6ECCA"/>
    <w:lvl w:ilvl="0" w:tplc="892E3E4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7A5306E1"/>
    <w:multiLevelType w:val="hybridMultilevel"/>
    <w:tmpl w:val="B3E0239A"/>
    <w:lvl w:ilvl="0" w:tplc="B3B82960">
      <w:start w:val="1"/>
      <w:numFmt w:val="lowerLetter"/>
      <w:lvlText w:val="%1."/>
      <w:lvlJc w:val="left"/>
      <w:pPr>
        <w:ind w:left="720" w:hanging="360"/>
      </w:pPr>
      <w:rPr>
        <w:rFonts w:ascii="Century Gothic" w:hAnsi="Century Gothic" w:hint="default"/>
        <w:b w:val="0"/>
        <w:i w:val="0"/>
        <w:sz w:val="18"/>
        <w:szCs w:val="18"/>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34307453">
    <w:abstractNumId w:val="0"/>
  </w:num>
  <w:num w:numId="2" w16cid:durableId="1007176478">
    <w:abstractNumId w:val="11"/>
  </w:num>
  <w:num w:numId="3" w16cid:durableId="1548835090">
    <w:abstractNumId w:val="19"/>
  </w:num>
  <w:num w:numId="4" w16cid:durableId="390732190">
    <w:abstractNumId w:val="7"/>
  </w:num>
  <w:num w:numId="5" w16cid:durableId="1375040656">
    <w:abstractNumId w:val="15"/>
  </w:num>
  <w:num w:numId="6" w16cid:durableId="665666222">
    <w:abstractNumId w:val="6"/>
  </w:num>
  <w:num w:numId="7" w16cid:durableId="873692672">
    <w:abstractNumId w:val="5"/>
  </w:num>
  <w:num w:numId="8" w16cid:durableId="190805489">
    <w:abstractNumId w:val="3"/>
  </w:num>
  <w:num w:numId="9" w16cid:durableId="244266604">
    <w:abstractNumId w:val="10"/>
  </w:num>
  <w:num w:numId="10" w16cid:durableId="1680767901">
    <w:abstractNumId w:val="2"/>
  </w:num>
  <w:num w:numId="11" w16cid:durableId="890120994">
    <w:abstractNumId w:val="17"/>
  </w:num>
  <w:num w:numId="12" w16cid:durableId="2005160019">
    <w:abstractNumId w:val="16"/>
  </w:num>
  <w:num w:numId="13" w16cid:durableId="1646469427">
    <w:abstractNumId w:val="13"/>
  </w:num>
  <w:num w:numId="14" w16cid:durableId="157236878">
    <w:abstractNumId w:val="18"/>
  </w:num>
  <w:num w:numId="15" w16cid:durableId="2046522162">
    <w:abstractNumId w:val="1"/>
  </w:num>
  <w:num w:numId="16" w16cid:durableId="1344043920">
    <w:abstractNumId w:val="14"/>
  </w:num>
  <w:num w:numId="17" w16cid:durableId="1112282765">
    <w:abstractNumId w:val="9"/>
  </w:num>
  <w:num w:numId="18" w16cid:durableId="428738084">
    <w:abstractNumId w:val="8"/>
  </w:num>
  <w:num w:numId="19" w16cid:durableId="1039815674">
    <w:abstractNumId w:val="12"/>
  </w:num>
  <w:num w:numId="20" w16cid:durableId="6571988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34046"/>
    <w:rsid w:val="000424CB"/>
    <w:rsid w:val="000548FD"/>
    <w:rsid w:val="000702F6"/>
    <w:rsid w:val="000714F0"/>
    <w:rsid w:val="00085968"/>
    <w:rsid w:val="00085B45"/>
    <w:rsid w:val="00085D40"/>
    <w:rsid w:val="00091EDD"/>
    <w:rsid w:val="000A1713"/>
    <w:rsid w:val="000A1A61"/>
    <w:rsid w:val="000A35AF"/>
    <w:rsid w:val="000A4990"/>
    <w:rsid w:val="000A54FC"/>
    <w:rsid w:val="000A5DB7"/>
    <w:rsid w:val="000B2543"/>
    <w:rsid w:val="000C11B3"/>
    <w:rsid w:val="000C3154"/>
    <w:rsid w:val="000C6738"/>
    <w:rsid w:val="000D53CB"/>
    <w:rsid w:val="000D5D7E"/>
    <w:rsid w:val="000D7DF7"/>
    <w:rsid w:val="000F481A"/>
    <w:rsid w:val="000F78C4"/>
    <w:rsid w:val="001017F8"/>
    <w:rsid w:val="001054E9"/>
    <w:rsid w:val="00106EE9"/>
    <w:rsid w:val="00115954"/>
    <w:rsid w:val="00120626"/>
    <w:rsid w:val="001301A4"/>
    <w:rsid w:val="00140641"/>
    <w:rsid w:val="00145228"/>
    <w:rsid w:val="0014619F"/>
    <w:rsid w:val="00154FAF"/>
    <w:rsid w:val="001609C1"/>
    <w:rsid w:val="0017024C"/>
    <w:rsid w:val="0017670A"/>
    <w:rsid w:val="00183EC0"/>
    <w:rsid w:val="00184ED3"/>
    <w:rsid w:val="001907C0"/>
    <w:rsid w:val="00191B38"/>
    <w:rsid w:val="00192A1D"/>
    <w:rsid w:val="00197461"/>
    <w:rsid w:val="001A0E80"/>
    <w:rsid w:val="001C480C"/>
    <w:rsid w:val="001C6038"/>
    <w:rsid w:val="001D7A3D"/>
    <w:rsid w:val="001D7CA6"/>
    <w:rsid w:val="001E0531"/>
    <w:rsid w:val="001F002D"/>
    <w:rsid w:val="002076A1"/>
    <w:rsid w:val="0021217E"/>
    <w:rsid w:val="0022160B"/>
    <w:rsid w:val="0022198B"/>
    <w:rsid w:val="00222528"/>
    <w:rsid w:val="00222800"/>
    <w:rsid w:val="00244211"/>
    <w:rsid w:val="00253B30"/>
    <w:rsid w:val="00253CF9"/>
    <w:rsid w:val="00256531"/>
    <w:rsid w:val="00257F22"/>
    <w:rsid w:val="002704CB"/>
    <w:rsid w:val="0027481D"/>
    <w:rsid w:val="002839B7"/>
    <w:rsid w:val="00284044"/>
    <w:rsid w:val="00292814"/>
    <w:rsid w:val="0029618B"/>
    <w:rsid w:val="002A07F7"/>
    <w:rsid w:val="002A6639"/>
    <w:rsid w:val="002A7CC5"/>
    <w:rsid w:val="002B029F"/>
    <w:rsid w:val="002B4F1C"/>
    <w:rsid w:val="002B53A9"/>
    <w:rsid w:val="002C3B4D"/>
    <w:rsid w:val="002D2588"/>
    <w:rsid w:val="002D66C6"/>
    <w:rsid w:val="002D6FA4"/>
    <w:rsid w:val="002D76C8"/>
    <w:rsid w:val="002F5B8D"/>
    <w:rsid w:val="00306300"/>
    <w:rsid w:val="003070DB"/>
    <w:rsid w:val="00315725"/>
    <w:rsid w:val="00316CD5"/>
    <w:rsid w:val="003352E8"/>
    <w:rsid w:val="00337DEE"/>
    <w:rsid w:val="00340E1D"/>
    <w:rsid w:val="003451C6"/>
    <w:rsid w:val="00364615"/>
    <w:rsid w:val="00366132"/>
    <w:rsid w:val="0037001B"/>
    <w:rsid w:val="003759DB"/>
    <w:rsid w:val="00385774"/>
    <w:rsid w:val="00386827"/>
    <w:rsid w:val="0039527F"/>
    <w:rsid w:val="003A2DE8"/>
    <w:rsid w:val="003A6528"/>
    <w:rsid w:val="003B3909"/>
    <w:rsid w:val="003C195A"/>
    <w:rsid w:val="003C4B89"/>
    <w:rsid w:val="003C5838"/>
    <w:rsid w:val="003C77AD"/>
    <w:rsid w:val="003F5908"/>
    <w:rsid w:val="00401CD4"/>
    <w:rsid w:val="0040725F"/>
    <w:rsid w:val="00417860"/>
    <w:rsid w:val="00427243"/>
    <w:rsid w:val="0043367B"/>
    <w:rsid w:val="00440A7F"/>
    <w:rsid w:val="00442A69"/>
    <w:rsid w:val="00447BEA"/>
    <w:rsid w:val="00452B2A"/>
    <w:rsid w:val="00455068"/>
    <w:rsid w:val="004626B1"/>
    <w:rsid w:val="00464FBD"/>
    <w:rsid w:val="00471381"/>
    <w:rsid w:val="00471A4A"/>
    <w:rsid w:val="0048214E"/>
    <w:rsid w:val="004A1823"/>
    <w:rsid w:val="004A3E8C"/>
    <w:rsid w:val="004B6F4D"/>
    <w:rsid w:val="004C7E2F"/>
    <w:rsid w:val="004D11FB"/>
    <w:rsid w:val="004D75B8"/>
    <w:rsid w:val="004E796A"/>
    <w:rsid w:val="005013A9"/>
    <w:rsid w:val="00510D82"/>
    <w:rsid w:val="00512D3B"/>
    <w:rsid w:val="00514265"/>
    <w:rsid w:val="0052165B"/>
    <w:rsid w:val="00530252"/>
    <w:rsid w:val="00532219"/>
    <w:rsid w:val="0053436A"/>
    <w:rsid w:val="00542E5F"/>
    <w:rsid w:val="005438D7"/>
    <w:rsid w:val="0055713B"/>
    <w:rsid w:val="00565553"/>
    <w:rsid w:val="00575E58"/>
    <w:rsid w:val="00580595"/>
    <w:rsid w:val="00586D91"/>
    <w:rsid w:val="0059170C"/>
    <w:rsid w:val="005955F2"/>
    <w:rsid w:val="005A50B9"/>
    <w:rsid w:val="005B23C1"/>
    <w:rsid w:val="005B7CEA"/>
    <w:rsid w:val="005C5E9E"/>
    <w:rsid w:val="005D64C7"/>
    <w:rsid w:val="005D7AAC"/>
    <w:rsid w:val="005E392A"/>
    <w:rsid w:val="005F6234"/>
    <w:rsid w:val="00606911"/>
    <w:rsid w:val="00613245"/>
    <w:rsid w:val="00632403"/>
    <w:rsid w:val="0067254B"/>
    <w:rsid w:val="006748D9"/>
    <w:rsid w:val="00682117"/>
    <w:rsid w:val="00686CE1"/>
    <w:rsid w:val="006A761E"/>
    <w:rsid w:val="006C4214"/>
    <w:rsid w:val="006D19AF"/>
    <w:rsid w:val="006D1B21"/>
    <w:rsid w:val="006D4DC9"/>
    <w:rsid w:val="006D7141"/>
    <w:rsid w:val="006E0907"/>
    <w:rsid w:val="006F1E24"/>
    <w:rsid w:val="006F3D3C"/>
    <w:rsid w:val="006F4123"/>
    <w:rsid w:val="00710C0A"/>
    <w:rsid w:val="00710EEC"/>
    <w:rsid w:val="00713A48"/>
    <w:rsid w:val="00713C2A"/>
    <w:rsid w:val="00726A49"/>
    <w:rsid w:val="007556DF"/>
    <w:rsid w:val="00773E88"/>
    <w:rsid w:val="00784E5D"/>
    <w:rsid w:val="00796CD8"/>
    <w:rsid w:val="007A0537"/>
    <w:rsid w:val="007A1D24"/>
    <w:rsid w:val="007C6FC5"/>
    <w:rsid w:val="007D266C"/>
    <w:rsid w:val="007D29A8"/>
    <w:rsid w:val="007E1FC6"/>
    <w:rsid w:val="007E71DC"/>
    <w:rsid w:val="007F48D1"/>
    <w:rsid w:val="007F6D69"/>
    <w:rsid w:val="007F6FD9"/>
    <w:rsid w:val="007F77C1"/>
    <w:rsid w:val="00807961"/>
    <w:rsid w:val="008134EA"/>
    <w:rsid w:val="00815281"/>
    <w:rsid w:val="00820F73"/>
    <w:rsid w:val="00823074"/>
    <w:rsid w:val="008243A7"/>
    <w:rsid w:val="00826A6B"/>
    <w:rsid w:val="00845CDA"/>
    <w:rsid w:val="008545BE"/>
    <w:rsid w:val="0086167A"/>
    <w:rsid w:val="008645DC"/>
    <w:rsid w:val="00876B55"/>
    <w:rsid w:val="00882BBD"/>
    <w:rsid w:val="008834B4"/>
    <w:rsid w:val="008971AE"/>
    <w:rsid w:val="008C6F30"/>
    <w:rsid w:val="008F089B"/>
    <w:rsid w:val="008F0C3E"/>
    <w:rsid w:val="009048E5"/>
    <w:rsid w:val="0091041E"/>
    <w:rsid w:val="009115D2"/>
    <w:rsid w:val="00916B1D"/>
    <w:rsid w:val="00923DFB"/>
    <w:rsid w:val="00934C8B"/>
    <w:rsid w:val="0094194A"/>
    <w:rsid w:val="00943B7A"/>
    <w:rsid w:val="00962AD0"/>
    <w:rsid w:val="00971183"/>
    <w:rsid w:val="00971692"/>
    <w:rsid w:val="009751A1"/>
    <w:rsid w:val="009B0A5B"/>
    <w:rsid w:val="009B5803"/>
    <w:rsid w:val="009C1F59"/>
    <w:rsid w:val="009C59E4"/>
    <w:rsid w:val="009D0F14"/>
    <w:rsid w:val="009E70A8"/>
    <w:rsid w:val="009F362B"/>
    <w:rsid w:val="00A007B6"/>
    <w:rsid w:val="00A06B5C"/>
    <w:rsid w:val="00A1393A"/>
    <w:rsid w:val="00A159BD"/>
    <w:rsid w:val="00A167AB"/>
    <w:rsid w:val="00A21880"/>
    <w:rsid w:val="00A271CD"/>
    <w:rsid w:val="00A27720"/>
    <w:rsid w:val="00A31B34"/>
    <w:rsid w:val="00A35B06"/>
    <w:rsid w:val="00A45415"/>
    <w:rsid w:val="00A73991"/>
    <w:rsid w:val="00A901F6"/>
    <w:rsid w:val="00A909A3"/>
    <w:rsid w:val="00A92CE9"/>
    <w:rsid w:val="00AA6D5B"/>
    <w:rsid w:val="00AB11F6"/>
    <w:rsid w:val="00AB6AC3"/>
    <w:rsid w:val="00AC1883"/>
    <w:rsid w:val="00AD2B84"/>
    <w:rsid w:val="00AD38F8"/>
    <w:rsid w:val="00AE4F57"/>
    <w:rsid w:val="00AF3935"/>
    <w:rsid w:val="00AF7238"/>
    <w:rsid w:val="00B04046"/>
    <w:rsid w:val="00B119A1"/>
    <w:rsid w:val="00B21A44"/>
    <w:rsid w:val="00B228A6"/>
    <w:rsid w:val="00B24F44"/>
    <w:rsid w:val="00B40BD8"/>
    <w:rsid w:val="00B644CD"/>
    <w:rsid w:val="00B80BB9"/>
    <w:rsid w:val="00B829DF"/>
    <w:rsid w:val="00B82A8E"/>
    <w:rsid w:val="00B9472A"/>
    <w:rsid w:val="00BA0205"/>
    <w:rsid w:val="00BA0DE5"/>
    <w:rsid w:val="00BA7E19"/>
    <w:rsid w:val="00BB0337"/>
    <w:rsid w:val="00BB2657"/>
    <w:rsid w:val="00BB4976"/>
    <w:rsid w:val="00BB7239"/>
    <w:rsid w:val="00BC1E9F"/>
    <w:rsid w:val="00BD1796"/>
    <w:rsid w:val="00BE590D"/>
    <w:rsid w:val="00BF456E"/>
    <w:rsid w:val="00C02DE5"/>
    <w:rsid w:val="00C12027"/>
    <w:rsid w:val="00C1211D"/>
    <w:rsid w:val="00C17C98"/>
    <w:rsid w:val="00C364EB"/>
    <w:rsid w:val="00C4259C"/>
    <w:rsid w:val="00C42A3A"/>
    <w:rsid w:val="00C50B37"/>
    <w:rsid w:val="00C525A0"/>
    <w:rsid w:val="00C53C47"/>
    <w:rsid w:val="00C56BB3"/>
    <w:rsid w:val="00C63DD7"/>
    <w:rsid w:val="00C803E9"/>
    <w:rsid w:val="00C828A0"/>
    <w:rsid w:val="00C835AC"/>
    <w:rsid w:val="00C86762"/>
    <w:rsid w:val="00C9268B"/>
    <w:rsid w:val="00CA1D16"/>
    <w:rsid w:val="00CA3AD9"/>
    <w:rsid w:val="00CB3414"/>
    <w:rsid w:val="00CC320A"/>
    <w:rsid w:val="00CC337A"/>
    <w:rsid w:val="00CC3A26"/>
    <w:rsid w:val="00CC7F88"/>
    <w:rsid w:val="00CD34B8"/>
    <w:rsid w:val="00CD3B85"/>
    <w:rsid w:val="00CE1337"/>
    <w:rsid w:val="00CE6D08"/>
    <w:rsid w:val="00CF5B20"/>
    <w:rsid w:val="00D01EFD"/>
    <w:rsid w:val="00D058F3"/>
    <w:rsid w:val="00D11FE3"/>
    <w:rsid w:val="00D23219"/>
    <w:rsid w:val="00D25933"/>
    <w:rsid w:val="00D3794A"/>
    <w:rsid w:val="00D42E85"/>
    <w:rsid w:val="00D4384B"/>
    <w:rsid w:val="00D575A5"/>
    <w:rsid w:val="00D62FAB"/>
    <w:rsid w:val="00D77515"/>
    <w:rsid w:val="00D77B97"/>
    <w:rsid w:val="00D836D8"/>
    <w:rsid w:val="00D92168"/>
    <w:rsid w:val="00D92815"/>
    <w:rsid w:val="00DA3B59"/>
    <w:rsid w:val="00DD706F"/>
    <w:rsid w:val="00DE1337"/>
    <w:rsid w:val="00DE1FEA"/>
    <w:rsid w:val="00DF38D5"/>
    <w:rsid w:val="00DF6F4C"/>
    <w:rsid w:val="00E13E10"/>
    <w:rsid w:val="00E313A9"/>
    <w:rsid w:val="00E33A24"/>
    <w:rsid w:val="00E34C0E"/>
    <w:rsid w:val="00E3655D"/>
    <w:rsid w:val="00E44E92"/>
    <w:rsid w:val="00E46C17"/>
    <w:rsid w:val="00E51DB9"/>
    <w:rsid w:val="00E53021"/>
    <w:rsid w:val="00E562F6"/>
    <w:rsid w:val="00E60E8E"/>
    <w:rsid w:val="00E61A8D"/>
    <w:rsid w:val="00E71B88"/>
    <w:rsid w:val="00E9707A"/>
    <w:rsid w:val="00EA4D78"/>
    <w:rsid w:val="00EB6F37"/>
    <w:rsid w:val="00EC7B13"/>
    <w:rsid w:val="00EE7C7D"/>
    <w:rsid w:val="00EF037C"/>
    <w:rsid w:val="00EF26E1"/>
    <w:rsid w:val="00F03839"/>
    <w:rsid w:val="00F0661C"/>
    <w:rsid w:val="00F1210C"/>
    <w:rsid w:val="00F2085B"/>
    <w:rsid w:val="00F21C4B"/>
    <w:rsid w:val="00F2552D"/>
    <w:rsid w:val="00F2553F"/>
    <w:rsid w:val="00F331E1"/>
    <w:rsid w:val="00F4324D"/>
    <w:rsid w:val="00F46669"/>
    <w:rsid w:val="00F665D4"/>
    <w:rsid w:val="00F707F8"/>
    <w:rsid w:val="00F71A34"/>
    <w:rsid w:val="00F73916"/>
    <w:rsid w:val="00F847A4"/>
    <w:rsid w:val="00F87948"/>
    <w:rsid w:val="00FA56E2"/>
    <w:rsid w:val="00FB7BBC"/>
    <w:rsid w:val="00FC4095"/>
    <w:rsid w:val="00FC659C"/>
    <w:rsid w:val="00FD1CFC"/>
    <w:rsid w:val="00FD2B02"/>
    <w:rsid w:val="00FD3F12"/>
    <w:rsid w:val="00FE3C9A"/>
    <w:rsid w:val="00FE6E3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47941100"/>
  <w15:docId w15:val="{D7A84AC1-FE7F-43E5-AA61-C3AA78C32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character" w:styleId="UnresolvedMention">
    <w:name w:val="Unresolved Mention"/>
    <w:basedOn w:val="DefaultParagraphFont"/>
    <w:uiPriority w:val="99"/>
    <w:semiHidden/>
    <w:unhideWhenUsed/>
    <w:rsid w:val="00AB6A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627870">
      <w:bodyDiv w:val="1"/>
      <w:marLeft w:val="0"/>
      <w:marRight w:val="0"/>
      <w:marTop w:val="0"/>
      <w:marBottom w:val="0"/>
      <w:divBdr>
        <w:top w:val="none" w:sz="0" w:space="0" w:color="auto"/>
        <w:left w:val="none" w:sz="0" w:space="0" w:color="auto"/>
        <w:bottom w:val="none" w:sz="0" w:space="0" w:color="auto"/>
        <w:right w:val="none" w:sz="0" w:space="0" w:color="auto"/>
      </w:divBdr>
    </w:div>
    <w:div w:id="1454404092">
      <w:bodyDiv w:val="1"/>
      <w:marLeft w:val="0"/>
      <w:marRight w:val="0"/>
      <w:marTop w:val="0"/>
      <w:marBottom w:val="0"/>
      <w:divBdr>
        <w:top w:val="none" w:sz="0" w:space="0" w:color="auto"/>
        <w:left w:val="none" w:sz="0" w:space="0" w:color="auto"/>
        <w:bottom w:val="none" w:sz="0" w:space="0" w:color="auto"/>
        <w:right w:val="none" w:sz="0" w:space="0" w:color="auto"/>
      </w:divBdr>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emerald.com/ijqss/article/12/3/371/148623" TargetMode="External"/><Relationship Id="rId18" Type="http://schemas.openxmlformats.org/officeDocument/2006/relationships/hyperlink" Target="https://www.tandfonline.com/doi/abs/10.1080/03075079.2023.2293926"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scholar.archive.org/work/gkrol365xbgwhfou5fntgyor3e"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www.sciencedirect.com/science/article/pii/S0742051X16301263"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ciencedirect.com/science/article/pii/S0883035522000465" TargetMode="External"/><Relationship Id="rId20" Type="http://schemas.openxmlformats.org/officeDocument/2006/relationships/hyperlink" Target="https://www.emerald.com/ijshe/article-abstract/26/1/158/124510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mdpi.com/2071-1050/14/23/16273" TargetMode="External"/><Relationship Id="rId5" Type="http://schemas.openxmlformats.org/officeDocument/2006/relationships/webSettings" Target="webSettings.xml"/><Relationship Id="rId15" Type="http://schemas.openxmlformats.org/officeDocument/2006/relationships/hyperlink" Target="https://www.emerald.com/qae/article/32/3/308/1225042" TargetMode="External"/><Relationship Id="rId23" Type="http://schemas.openxmlformats.org/officeDocument/2006/relationships/hyperlink" Target="https://www.ejmste.com/article/increasing-service-quality-in-education-views-of-principals-and-teachers-4913" TargetMode="External"/><Relationship Id="rId10" Type="http://schemas.openxmlformats.org/officeDocument/2006/relationships/header" Target="header2.xml"/><Relationship Id="rId19" Type="http://schemas.openxmlformats.org/officeDocument/2006/relationships/hyperlink" Target="http://serambi.org/index.php/jemr/article/view/103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sciencedirect.com/science/article/pii/S0883035516302592" TargetMode="External"/><Relationship Id="rId22" Type="http://schemas.openxmlformats.org/officeDocument/2006/relationships/hyperlink" Target="http://journal.staihubbulwathan.id/index.php/alishlah/article/view/7407"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2C019-0722-4E8D-839A-9010CB098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9134</TotalTime>
  <Pages>1</Pages>
  <Words>5529</Words>
  <Characters>31518</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Malek</dc:creator>
  <cp:keywords/>
  <dc:description/>
  <cp:lastModifiedBy>DELL</cp:lastModifiedBy>
  <cp:revision>18</cp:revision>
  <cp:lastPrinted>2014-10-31T14:16:00Z</cp:lastPrinted>
  <dcterms:created xsi:type="dcterms:W3CDTF">2020-08-12T00:56:00Z</dcterms:created>
  <dcterms:modified xsi:type="dcterms:W3CDTF">2026-04-29T03:41:00Z</dcterms:modified>
</cp:coreProperties>
</file>