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3583C032" w14:textId="77777777" w:rsidR="00000000" w:rsidRDefault="00000000">
      <w:pPr>
        <w:spacing w:after="120"/>
        <w:rPr>
          <w:sz w:val="20"/>
          <w:szCs w:val="20"/>
          <w:lang w:bidi="ar-JO"/>
        </w:rPr>
      </w:pPr>
    </w:p>
    <w:tbl>
      <w:tblPr>
        <w:tblW w:w="0" w:type="auto"/>
        <w:tblInd w:w="108" w:type="dxa"/>
        <w:tblLayout w:type="fixed"/>
        <w:tblLook w:val="0000" w:firstRow="0" w:lastRow="0" w:firstColumn="0" w:lastColumn="0" w:noHBand="0" w:noVBand="0"/>
      </w:tblPr>
      <w:tblGrid>
        <w:gridCol w:w="3401"/>
        <w:gridCol w:w="6237"/>
      </w:tblGrid>
      <w:tr w:rsidR="00000000" w14:paraId="3E843D84" w14:textId="77777777">
        <w:tc>
          <w:tcPr>
            <w:tcW w:w="3401" w:type="dxa"/>
            <w:tcBorders>
              <w:bottom w:val="single" w:sz="4" w:space="0" w:color="000000"/>
            </w:tcBorders>
            <w:shd w:val="clear" w:color="auto" w:fill="auto"/>
          </w:tcPr>
          <w:p w14:paraId="1A7105CC" w14:textId="77777777" w:rsidR="00000000" w:rsidRDefault="00000000">
            <w:pPr>
              <w:rPr>
                <w:rFonts w:ascii="Century Gothic" w:hAnsi="Century Gothic"/>
                <w:lang w:val="nb-NO"/>
              </w:rPr>
            </w:pPr>
            <w:r>
              <w:rPr>
                <w:rFonts w:ascii="Century Gothic" w:hAnsi="Century Gothic"/>
                <w:b/>
                <w:smallCaps/>
                <w:sz w:val="32"/>
                <w:lang w:val="nb-NO"/>
              </w:rPr>
              <w:t>PENINGKATAN LITERASI INDUSTRI HALAL MELALUI MASJID</w:t>
            </w:r>
          </w:p>
          <w:p w14:paraId="7CF82F75" w14:textId="77777777" w:rsidR="00000000" w:rsidRDefault="00000000">
            <w:pPr>
              <w:rPr>
                <w:rFonts w:ascii="Century Gothic" w:hAnsi="Century Gothic"/>
                <w:lang w:val="nb-NO"/>
              </w:rPr>
            </w:pPr>
          </w:p>
          <w:p w14:paraId="58419F3A" w14:textId="77777777" w:rsidR="00000000" w:rsidRDefault="00000000">
            <w:pPr>
              <w:rPr>
                <w:rFonts w:ascii="Century Gothic" w:hAnsi="Century Gothic"/>
                <w:lang w:val="nb-NO"/>
              </w:rPr>
            </w:pPr>
          </w:p>
          <w:p w14:paraId="68865A7F" w14:textId="77777777" w:rsidR="00000000" w:rsidRDefault="00000000">
            <w:pPr>
              <w:rPr>
                <w:rFonts w:ascii="Century Gothic" w:hAnsi="Century Gothic"/>
                <w:sz w:val="20"/>
                <w:lang w:val="id-ID"/>
              </w:rPr>
            </w:pPr>
            <w:r>
              <w:rPr>
                <w:rFonts w:ascii="Century Gothic" w:hAnsi="Century Gothic"/>
                <w:b/>
                <w:bCs/>
                <w:sz w:val="20"/>
                <w:lang w:val="id-ID"/>
              </w:rPr>
              <w:t>Inas Afifah Zahra</w:t>
            </w:r>
            <w:r>
              <w:rPr>
                <w:rFonts w:ascii="Century Gothic" w:hAnsi="Century Gothic"/>
                <w:b/>
                <w:bCs/>
                <w:sz w:val="20"/>
                <w:vertAlign w:val="superscript"/>
                <w:lang w:val="id-ID"/>
              </w:rPr>
              <w:t>1</w:t>
            </w:r>
            <w:r>
              <w:rPr>
                <w:rFonts w:ascii="Century Gothic" w:hAnsi="Century Gothic"/>
                <w:b/>
                <w:bCs/>
                <w:sz w:val="20"/>
                <w:lang w:val="id-ID"/>
              </w:rPr>
              <w:t>, Ach. Bakhrul Muhtasib</w:t>
            </w:r>
            <w:r>
              <w:rPr>
                <w:rFonts w:ascii="Century Gothic" w:hAnsi="Century Gothic"/>
                <w:b/>
                <w:bCs/>
                <w:sz w:val="20"/>
                <w:vertAlign w:val="superscript"/>
                <w:lang w:val="id-ID"/>
              </w:rPr>
              <w:t>2</w:t>
            </w:r>
            <w:r>
              <w:rPr>
                <w:rFonts w:ascii="Century Gothic" w:hAnsi="Century Gothic"/>
                <w:b/>
                <w:bCs/>
                <w:sz w:val="20"/>
                <w:lang w:val="id-ID"/>
              </w:rPr>
              <w:t>, Rika Lisnawati</w:t>
            </w:r>
            <w:r>
              <w:rPr>
                <w:rFonts w:ascii="Century Gothic" w:hAnsi="Century Gothic"/>
                <w:b/>
                <w:bCs/>
                <w:sz w:val="20"/>
                <w:vertAlign w:val="superscript"/>
                <w:lang w:val="id-ID"/>
              </w:rPr>
              <w:t>3</w:t>
            </w:r>
            <w:r>
              <w:rPr>
                <w:rFonts w:ascii="Century Gothic" w:hAnsi="Century Gothic"/>
                <w:b/>
                <w:bCs/>
                <w:sz w:val="20"/>
                <w:lang w:val="id-ID"/>
              </w:rPr>
              <w:t>, Ady Arman</w:t>
            </w:r>
            <w:r>
              <w:rPr>
                <w:rFonts w:ascii="Century Gothic" w:hAnsi="Century Gothic"/>
                <w:b/>
                <w:bCs/>
                <w:sz w:val="20"/>
                <w:vertAlign w:val="superscript"/>
                <w:lang w:val="id-ID"/>
              </w:rPr>
              <w:t>4</w:t>
            </w:r>
            <w:r>
              <w:rPr>
                <w:rFonts w:ascii="Century Gothic" w:hAnsi="Century Gothic"/>
                <w:b/>
                <w:bCs/>
                <w:sz w:val="20"/>
                <w:lang w:val="id-ID"/>
              </w:rPr>
              <w:t>, Desmitha Siachma Anggraini</w:t>
            </w:r>
            <w:r>
              <w:rPr>
                <w:rFonts w:ascii="Century Gothic" w:hAnsi="Century Gothic"/>
                <w:b/>
                <w:bCs/>
                <w:sz w:val="20"/>
                <w:vertAlign w:val="superscript"/>
                <w:lang w:val="id-ID"/>
              </w:rPr>
              <w:t>5</w:t>
            </w:r>
            <w:r>
              <w:rPr>
                <w:rFonts w:ascii="Century Gothic" w:hAnsi="Century Gothic"/>
                <w:b/>
                <w:bCs/>
                <w:sz w:val="20"/>
                <w:lang w:val="id-ID"/>
              </w:rPr>
              <w:t>, Fina Melinda</w:t>
            </w:r>
            <w:r>
              <w:rPr>
                <w:rFonts w:ascii="Century Gothic" w:hAnsi="Century Gothic"/>
                <w:b/>
                <w:bCs/>
                <w:sz w:val="20"/>
                <w:vertAlign w:val="superscript"/>
                <w:lang w:val="id-ID"/>
              </w:rPr>
              <w:t>6</w:t>
            </w:r>
          </w:p>
          <w:p w14:paraId="054A9F98" w14:textId="77777777" w:rsidR="00000000" w:rsidRDefault="00000000">
            <w:pPr>
              <w:rPr>
                <w:rFonts w:ascii="Century Gothic" w:hAnsi="Century Gothic"/>
                <w:sz w:val="20"/>
                <w:lang w:val="id-ID"/>
              </w:rPr>
            </w:pPr>
          </w:p>
          <w:p w14:paraId="1AD93B73" w14:textId="77777777" w:rsidR="00000000" w:rsidRDefault="00000000">
            <w:pPr>
              <w:rPr>
                <w:rFonts w:ascii="Century Gothic" w:hAnsi="Century Gothic"/>
                <w:sz w:val="18"/>
                <w:vertAlign w:val="superscript"/>
                <w:lang w:val="id-ID"/>
              </w:rPr>
            </w:pPr>
            <w:r>
              <w:rPr>
                <w:rFonts w:ascii="Century Gothic" w:hAnsi="Century Gothic"/>
                <w:sz w:val="18"/>
                <w:vertAlign w:val="superscript"/>
                <w:lang w:val="id-ID"/>
              </w:rPr>
              <w:t>1), 2), 3), 4)</w:t>
            </w:r>
            <w:r>
              <w:rPr>
                <w:rFonts w:ascii="Century Gothic" w:hAnsi="Century Gothic"/>
                <w:sz w:val="18"/>
                <w:lang w:val="id-ID"/>
              </w:rPr>
              <w:t xml:space="preserve"> Keuangan dan Perbankan Syariah, Politeknik Negeri Jakarta</w:t>
            </w:r>
          </w:p>
          <w:p w14:paraId="1ACA6B38" w14:textId="77777777" w:rsidR="00000000" w:rsidRDefault="00000000">
            <w:pPr>
              <w:rPr>
                <w:rFonts w:ascii="Century Gothic" w:hAnsi="Century Gothic"/>
                <w:lang w:val="id-ID"/>
              </w:rPr>
            </w:pPr>
            <w:r>
              <w:rPr>
                <w:rFonts w:ascii="Century Gothic" w:hAnsi="Century Gothic"/>
                <w:sz w:val="18"/>
                <w:vertAlign w:val="superscript"/>
                <w:lang w:val="id-ID"/>
              </w:rPr>
              <w:t>5), 6)</w:t>
            </w:r>
            <w:r>
              <w:rPr>
                <w:rFonts w:ascii="Century Gothic" w:hAnsi="Century Gothic"/>
                <w:sz w:val="18"/>
                <w:lang w:val="id-ID"/>
              </w:rPr>
              <w:t xml:space="preserve"> Keuangan dan Perbankan Syariah, Politeknik Negeri Jakarta</w:t>
            </w:r>
          </w:p>
          <w:p w14:paraId="627FFEE9" w14:textId="77777777" w:rsidR="00000000" w:rsidRDefault="00000000">
            <w:pPr>
              <w:rPr>
                <w:rFonts w:ascii="Century Gothic" w:hAnsi="Century Gothic"/>
                <w:lang w:val="id-ID"/>
              </w:rPr>
            </w:pPr>
          </w:p>
          <w:p w14:paraId="636319FE" w14:textId="77777777" w:rsidR="00000000" w:rsidRDefault="00000000">
            <w:pPr>
              <w:rPr>
                <w:rFonts w:ascii="Century Gothic" w:hAnsi="Century Gothic"/>
                <w:sz w:val="18"/>
                <w:lang w:val="id-ID"/>
              </w:rPr>
            </w:pPr>
            <w:r>
              <w:rPr>
                <w:rFonts w:ascii="Century Gothic" w:hAnsi="Century Gothic"/>
                <w:b/>
                <w:bCs/>
                <w:sz w:val="18"/>
                <w:lang w:val="id-ID"/>
              </w:rPr>
              <w:t>Article history</w:t>
            </w:r>
          </w:p>
          <w:p w14:paraId="6BE90DF2" w14:textId="77777777" w:rsidR="00000000" w:rsidRDefault="00000000">
            <w:pPr>
              <w:rPr>
                <w:rFonts w:ascii="Century Gothic" w:hAnsi="Century Gothic"/>
                <w:sz w:val="18"/>
                <w:lang w:val="id-ID"/>
              </w:rPr>
            </w:pPr>
            <w:r>
              <w:rPr>
                <w:rFonts w:ascii="Century Gothic" w:hAnsi="Century Gothic"/>
                <w:sz w:val="18"/>
                <w:lang w:val="id-ID"/>
              </w:rPr>
              <w:t>Received : diisi oleh editor</w:t>
            </w:r>
          </w:p>
          <w:p w14:paraId="66C8F399" w14:textId="77777777" w:rsidR="00000000" w:rsidRDefault="00000000">
            <w:pPr>
              <w:rPr>
                <w:rFonts w:ascii="Century Gothic" w:hAnsi="Century Gothic"/>
                <w:sz w:val="18"/>
                <w:lang w:val="id-ID"/>
              </w:rPr>
            </w:pPr>
            <w:r>
              <w:rPr>
                <w:rFonts w:ascii="Century Gothic" w:hAnsi="Century Gothic"/>
                <w:sz w:val="18"/>
                <w:lang w:val="id-ID"/>
              </w:rPr>
              <w:t>Revised : diisi oleh editor</w:t>
            </w:r>
          </w:p>
          <w:p w14:paraId="463629FF" w14:textId="77777777" w:rsidR="00000000" w:rsidRDefault="00000000">
            <w:pPr>
              <w:rPr>
                <w:rFonts w:ascii="Century Gothic" w:hAnsi="Century Gothic"/>
                <w:lang w:val="id-ID"/>
              </w:rPr>
            </w:pPr>
            <w:r>
              <w:rPr>
                <w:rFonts w:ascii="Century Gothic" w:hAnsi="Century Gothic"/>
                <w:sz w:val="18"/>
                <w:lang w:val="id-ID"/>
              </w:rPr>
              <w:t>Accepted : diisi oleh editor</w:t>
            </w:r>
          </w:p>
          <w:p w14:paraId="26F5E751" w14:textId="77777777" w:rsidR="00000000" w:rsidRDefault="00000000">
            <w:pPr>
              <w:rPr>
                <w:rFonts w:ascii="Century Gothic" w:hAnsi="Century Gothic"/>
                <w:lang w:val="id-ID"/>
              </w:rPr>
            </w:pPr>
          </w:p>
          <w:p w14:paraId="42B7D36F" w14:textId="77777777" w:rsidR="00000000" w:rsidRDefault="00000000">
            <w:pPr>
              <w:rPr>
                <w:rFonts w:ascii="Century Gothic" w:hAnsi="Century Gothic"/>
                <w:sz w:val="18"/>
                <w:lang w:val="id-ID"/>
              </w:rPr>
            </w:pPr>
            <w:r>
              <w:rPr>
                <w:rFonts w:ascii="Century Gothic" w:hAnsi="Century Gothic"/>
                <w:sz w:val="18"/>
              </w:rPr>
              <w:t>*</w:t>
            </w:r>
            <w:r>
              <w:rPr>
                <w:rFonts w:ascii="Century Gothic" w:hAnsi="Century Gothic"/>
                <w:b/>
                <w:bCs/>
                <w:sz w:val="18"/>
              </w:rPr>
              <w:t>Corresponding author</w:t>
            </w:r>
          </w:p>
          <w:p w14:paraId="21372E54" w14:textId="77777777" w:rsidR="00000000" w:rsidRDefault="00000000">
            <w:pPr>
              <w:rPr>
                <w:rFonts w:ascii="Century Gothic" w:hAnsi="Century Gothic"/>
                <w:sz w:val="18"/>
                <w:lang w:val="id-ID"/>
              </w:rPr>
            </w:pPr>
            <w:r>
              <w:rPr>
                <w:rFonts w:ascii="Century Gothic" w:hAnsi="Century Gothic"/>
                <w:sz w:val="18"/>
                <w:lang w:val="id-ID"/>
              </w:rPr>
              <w:t>Inas Afifah Zahra</w:t>
            </w:r>
          </w:p>
          <w:p w14:paraId="5CF920A9" w14:textId="77777777" w:rsidR="00000000" w:rsidRDefault="00000000">
            <w:pPr>
              <w:rPr>
                <w:rFonts w:ascii="Century Gothic" w:hAnsi="Century Gothic"/>
                <w:sz w:val="18"/>
                <w:lang w:val="id-ID"/>
              </w:rPr>
            </w:pPr>
            <w:r>
              <w:rPr>
                <w:rFonts w:ascii="Century Gothic" w:hAnsi="Century Gothic"/>
                <w:sz w:val="18"/>
                <w:lang w:val="id-ID"/>
              </w:rPr>
              <w:t>Email:</w:t>
            </w:r>
          </w:p>
          <w:p w14:paraId="5C66CC8F" w14:textId="77777777" w:rsidR="00000000" w:rsidRDefault="00000000">
            <w:pPr>
              <w:rPr>
                <w:lang w:val="id-ID"/>
              </w:rPr>
            </w:pPr>
            <w:r>
              <w:rPr>
                <w:rFonts w:ascii="Century Gothic" w:hAnsi="Century Gothic"/>
                <w:sz w:val="18"/>
                <w:lang w:val="id-ID"/>
              </w:rPr>
              <w:t>inas.afifahzahra@akuntansi.pnj.ac.id</w:t>
            </w:r>
          </w:p>
          <w:p w14:paraId="6EC269A1" w14:textId="77777777" w:rsidR="00000000" w:rsidRDefault="00000000">
            <w:pPr>
              <w:rPr>
                <w:lang w:val="id-ID"/>
              </w:rPr>
            </w:pPr>
          </w:p>
        </w:tc>
        <w:tc>
          <w:tcPr>
            <w:tcW w:w="6237" w:type="dxa"/>
            <w:tcBorders>
              <w:bottom w:val="single" w:sz="4" w:space="0" w:color="000000"/>
            </w:tcBorders>
            <w:shd w:val="clear" w:color="auto" w:fill="auto"/>
          </w:tcPr>
          <w:p w14:paraId="335B43F8" w14:textId="77777777" w:rsidR="00000000" w:rsidRDefault="00000000">
            <w:pPr>
              <w:rPr>
                <w:rFonts w:ascii="Century Gothic" w:hAnsi="Century Gothic" w:cs="Times"/>
                <w:sz w:val="16"/>
                <w:szCs w:val="16"/>
                <w:lang w:val="id-ID"/>
              </w:rPr>
            </w:pPr>
            <w:r>
              <w:rPr>
                <w:rFonts w:ascii="Century Gothic" w:hAnsi="Century Gothic" w:cs="Times"/>
                <w:b/>
                <w:szCs w:val="22"/>
                <w:lang w:val="id-ID"/>
              </w:rPr>
              <w:t>Abstrak</w:t>
            </w:r>
          </w:p>
          <w:p w14:paraId="4F4B4BF2" w14:textId="77777777" w:rsidR="00000000" w:rsidRDefault="00000000">
            <w:pPr>
              <w:jc w:val="both"/>
              <w:rPr>
                <w:rFonts w:ascii="Century Gothic" w:hAnsi="Century Gothic" w:cs="Times"/>
                <w:sz w:val="16"/>
                <w:szCs w:val="16"/>
                <w:lang w:val="id-ID"/>
              </w:rPr>
            </w:pPr>
          </w:p>
          <w:p w14:paraId="16AD6E5D" w14:textId="77777777" w:rsidR="00000000" w:rsidRDefault="00000000">
            <w:pPr>
              <w:jc w:val="both"/>
              <w:rPr>
                <w:rFonts w:ascii="Century Gothic" w:hAnsi="Century Gothic" w:cs="Times"/>
                <w:sz w:val="16"/>
                <w:szCs w:val="16"/>
                <w:lang w:val="id-ID"/>
              </w:rPr>
            </w:pPr>
            <w:r>
              <w:rPr>
                <w:rFonts w:ascii="Century Gothic" w:hAnsi="Century Gothic" w:cs="Times"/>
                <w:sz w:val="16"/>
                <w:szCs w:val="16"/>
                <w:lang w:val="id-ID"/>
              </w:rPr>
              <w:t xml:space="preserve">Kegiatan Pengabdian kepada Masyarakat (PKM) Politeknik Negeri Jakarta ini bertujuan untuk meningkatkan literasi industri halal bagi para khatib dan jamaah di sekitar Masjid Al Fauzien, Pesona Depok Estate, melalui sosialisasi materi bertema </w:t>
            </w:r>
            <w:r>
              <w:rPr>
                <w:rFonts w:ascii="Century Gothic" w:hAnsi="Century Gothic" w:cs="Times"/>
                <w:i/>
                <w:iCs/>
                <w:sz w:val="16"/>
                <w:szCs w:val="16"/>
                <w:lang w:val="id-ID"/>
              </w:rPr>
              <w:t>‘Industri Halal: Peluang, Tantangan, dan Regulasi’</w:t>
            </w:r>
            <w:r>
              <w:rPr>
                <w:rFonts w:ascii="Century Gothic" w:hAnsi="Century Gothic" w:cs="Times"/>
                <w:sz w:val="16"/>
                <w:szCs w:val="16"/>
                <w:lang w:val="id-ID"/>
              </w:rPr>
              <w:t xml:space="preserve">. Hasil PKM menunjukkan bahwa tingkat literasi industri halal para peserta sudah cukup memuaskan, terutama dari aspek penggunaan produk halal dan kesadaran halal. </w:t>
            </w:r>
            <w:r>
              <w:rPr>
                <w:rFonts w:ascii="Century Gothic" w:hAnsi="Century Gothic" w:cs="Times"/>
                <w:sz w:val="16"/>
                <w:szCs w:val="16"/>
                <w:lang w:val="nb-NO"/>
              </w:rPr>
              <w:t xml:space="preserve">Hal ini dibuktikan dengan nilai rata-rata kuesioner sebesar 4,00, yang mencapai 44%-48%. Namun, dalam konteks pengetahuan terkait industri halal, masih diperlukan peningkatan, karena nilai maksimal kuesioner hanya mencapai 26%. Kegiatan sosialisasi ini telah selesai dilaksanakan dengan baik dan membuka peluang untuk keberlanjutan di masa mendatang. Keberlanjutan ini dianggap penting sebagai dukungan terhadap visi Indonesia dalam </w:t>
            </w:r>
            <w:r>
              <w:rPr>
                <w:rFonts w:ascii="Century Gothic" w:hAnsi="Century Gothic" w:cs="Times"/>
                <w:i/>
                <w:iCs/>
                <w:sz w:val="16"/>
                <w:szCs w:val="16"/>
                <w:lang w:val="nb-NO"/>
              </w:rPr>
              <w:t>Master Plan Industri Halal 2023-2029</w:t>
            </w:r>
            <w:r>
              <w:rPr>
                <w:rFonts w:ascii="Century Gothic" w:hAnsi="Century Gothic" w:cs="Times"/>
                <w:sz w:val="16"/>
                <w:szCs w:val="16"/>
                <w:lang w:val="nb-NO"/>
              </w:rPr>
              <w:t>, yaitu menjadikan Indonesia sebagai pusat industri halal dunia</w:t>
            </w:r>
          </w:p>
          <w:p w14:paraId="166FAB65" w14:textId="77777777" w:rsidR="00000000" w:rsidRDefault="00000000">
            <w:pPr>
              <w:jc w:val="both"/>
              <w:rPr>
                <w:rFonts w:ascii="Century Gothic" w:hAnsi="Century Gothic" w:cs="Times"/>
                <w:sz w:val="16"/>
                <w:szCs w:val="16"/>
                <w:lang w:val="id-ID"/>
              </w:rPr>
            </w:pPr>
          </w:p>
          <w:p w14:paraId="550F11B7" w14:textId="77777777" w:rsidR="00000000" w:rsidRDefault="00000000">
            <w:pPr>
              <w:jc w:val="both"/>
              <w:rPr>
                <w:rFonts w:ascii="Century Gothic" w:hAnsi="Century Gothic" w:cs="Times"/>
                <w:i/>
                <w:iCs/>
                <w:lang w:val="nb-NO"/>
              </w:rPr>
            </w:pPr>
            <w:r>
              <w:rPr>
                <w:rFonts w:ascii="Century Gothic" w:hAnsi="Century Gothic" w:cs="Times"/>
                <w:i/>
                <w:iCs/>
                <w:sz w:val="16"/>
                <w:szCs w:val="16"/>
                <w:lang w:val="nb-NO"/>
              </w:rPr>
              <w:t>Kata Kunci: Literasi; Industri Halal; Produk Halal; Kesadaran Halal</w:t>
            </w:r>
          </w:p>
          <w:p w14:paraId="3E277305" w14:textId="77777777" w:rsidR="00000000" w:rsidRDefault="00000000">
            <w:pPr>
              <w:jc w:val="both"/>
              <w:rPr>
                <w:rFonts w:ascii="Century Gothic" w:hAnsi="Century Gothic" w:cs="Times"/>
                <w:i/>
                <w:iCs/>
                <w:lang w:val="nb-NO"/>
              </w:rPr>
            </w:pPr>
          </w:p>
          <w:p w14:paraId="0A7462FB" w14:textId="77777777" w:rsidR="00000000" w:rsidRDefault="00000000">
            <w:pPr>
              <w:rPr>
                <w:rFonts w:ascii="Century Gothic" w:hAnsi="Century Gothic" w:cs="Times"/>
                <w:sz w:val="16"/>
                <w:szCs w:val="16"/>
              </w:rPr>
            </w:pPr>
            <w:r>
              <w:rPr>
                <w:rFonts w:ascii="Century Gothic" w:hAnsi="Century Gothic" w:cs="Times"/>
                <w:b/>
                <w:szCs w:val="22"/>
              </w:rPr>
              <w:t>Abstra</w:t>
            </w:r>
            <w:r>
              <w:rPr>
                <w:rFonts w:ascii="Century Gothic" w:hAnsi="Century Gothic" w:cs="Times"/>
                <w:b/>
                <w:szCs w:val="22"/>
                <w:lang w:val="id-ID"/>
              </w:rPr>
              <w:t xml:space="preserve">ct </w:t>
            </w:r>
          </w:p>
          <w:p w14:paraId="2E05FAB2" w14:textId="77777777" w:rsidR="00000000" w:rsidRDefault="00000000">
            <w:pPr>
              <w:rPr>
                <w:rFonts w:ascii="Century Gothic" w:hAnsi="Century Gothic" w:cs="Times"/>
                <w:sz w:val="16"/>
                <w:szCs w:val="16"/>
              </w:rPr>
            </w:pPr>
          </w:p>
          <w:p w14:paraId="366F4B64" w14:textId="77777777" w:rsidR="00000000" w:rsidRDefault="00000000">
            <w:pPr>
              <w:jc w:val="both"/>
              <w:rPr>
                <w:rFonts w:ascii="Century Gothic" w:hAnsi="Century Gothic" w:cs="Times"/>
                <w:sz w:val="16"/>
                <w:szCs w:val="16"/>
              </w:rPr>
            </w:pPr>
            <w:r>
              <w:rPr>
                <w:rFonts w:ascii="Century Gothic" w:hAnsi="Century Gothic" w:cs="Times"/>
                <w:sz w:val="16"/>
                <w:szCs w:val="16"/>
              </w:rPr>
              <w:t>The objective of the Community Service Activity (PKM) of Politeknik Negeri Jakarta is to enhance the literacy of the halal industry for preachers and worshipers in the vicinity of the Al Fauzien Mosque, Pesona Depok Estate. This will be achieved through the dissemination of information on the theme of the halal industry. "Opportunities, Challenges, and Regulations" The results of the PKM demonstrate that the participants exhibited a commendable level of literacy concerning the halal industry, particularly in the domains of halal product utilization and awareness. This is corroborated by the mean questionnaire score of 4.00, which ranged from 44% to 48%. However, in the context of knowledge related to the halal industry, there is still room for improvement, as the maximum value of the questionnaire only reaches 26%. This socialization activity was successfully conducted, demonstrating positive outcomes and identifying areas for improvement to ensure long-term sustainability. This sustainability is considered crucial in supporting Indonesia's vision outlined in the Halal Industry Master Plan 2023-2029, which aims to establish Indonesia as a global hub for the halal industry.</w:t>
            </w:r>
          </w:p>
          <w:p w14:paraId="66AC152A" w14:textId="77777777" w:rsidR="00000000" w:rsidRDefault="00000000">
            <w:pPr>
              <w:jc w:val="both"/>
              <w:rPr>
                <w:rFonts w:ascii="Century Gothic" w:hAnsi="Century Gothic" w:cs="Times"/>
                <w:sz w:val="16"/>
                <w:szCs w:val="16"/>
              </w:rPr>
            </w:pPr>
          </w:p>
          <w:p w14:paraId="72B4E44A" w14:textId="77777777" w:rsidR="00000000" w:rsidRDefault="00000000">
            <w:pPr>
              <w:jc w:val="both"/>
            </w:pPr>
            <w:r>
              <w:rPr>
                <w:rFonts w:ascii="Century Gothic" w:hAnsi="Century Gothic" w:cs="Times"/>
                <w:i/>
                <w:sz w:val="16"/>
                <w:szCs w:val="16"/>
              </w:rPr>
              <w:t>Keywords: Literacy; Halal Industry; Halal Products; Halal Awareness</w:t>
            </w:r>
          </w:p>
          <w:p w14:paraId="20A6EAA3" w14:textId="77777777" w:rsidR="00000000" w:rsidRDefault="00000000"/>
        </w:tc>
      </w:tr>
      <w:tr w:rsidR="00000000" w14:paraId="4A7759B9" w14:textId="77777777">
        <w:tc>
          <w:tcPr>
            <w:tcW w:w="3401" w:type="dxa"/>
            <w:tcBorders>
              <w:top w:val="single" w:sz="4" w:space="0" w:color="000000"/>
            </w:tcBorders>
            <w:shd w:val="clear" w:color="auto" w:fill="auto"/>
          </w:tcPr>
          <w:p w14:paraId="7238C3AC" w14:textId="77777777" w:rsidR="00000000" w:rsidRDefault="00000000"/>
        </w:tc>
        <w:tc>
          <w:tcPr>
            <w:tcW w:w="6237" w:type="dxa"/>
            <w:tcBorders>
              <w:top w:val="single" w:sz="4" w:space="0" w:color="000000"/>
            </w:tcBorders>
            <w:shd w:val="clear" w:color="auto" w:fill="auto"/>
          </w:tcPr>
          <w:p w14:paraId="06B78BB5" w14:textId="77777777" w:rsidR="00000000" w:rsidRDefault="00000000">
            <w:pPr>
              <w:jc w:val="right"/>
            </w:pPr>
            <w:r>
              <w:rPr>
                <w:rFonts w:ascii="Century Gothic" w:hAnsi="Century Gothic" w:cs="Times"/>
                <w:sz w:val="16"/>
                <w:szCs w:val="16"/>
              </w:rPr>
              <w:t>Copyright © 20</w:t>
            </w:r>
            <w:r>
              <w:rPr>
                <w:rFonts w:ascii="Century Gothic" w:hAnsi="Century Gothic" w:cs="Times"/>
                <w:sz w:val="16"/>
                <w:szCs w:val="16"/>
                <w:lang w:val="id-ID"/>
              </w:rPr>
              <w:t>xx</w:t>
            </w:r>
            <w:r>
              <w:rPr>
                <w:rFonts w:ascii="Century Gothic" w:hAnsi="Century Gothic" w:cs="Times"/>
                <w:sz w:val="16"/>
                <w:szCs w:val="16"/>
              </w:rPr>
              <w:t xml:space="preserve"> Author. All rights reserved</w:t>
            </w:r>
          </w:p>
        </w:tc>
      </w:tr>
    </w:tbl>
    <w:p w14:paraId="5FB9E62C" w14:textId="77777777" w:rsidR="00000000" w:rsidRDefault="00000000">
      <w:pPr>
        <w:sectPr w:rsidR="00000000">
          <w:headerReference w:type="even" r:id="rId8"/>
          <w:headerReference w:type="default" r:id="rId9"/>
          <w:footerReference w:type="even" r:id="rId10"/>
          <w:footerReference w:type="default" r:id="rId11"/>
          <w:headerReference w:type="first" r:id="rId12"/>
          <w:footerReference w:type="first" r:id="rId13"/>
          <w:pgSz w:w="11906" w:h="16157"/>
          <w:pgMar w:top="1411" w:right="1138" w:bottom="1699" w:left="1138" w:header="1138" w:footer="1138" w:gutter="0"/>
          <w:cols w:space="720"/>
          <w:titlePg/>
          <w:docGrid w:linePitch="600" w:charSpace="32768"/>
        </w:sectPr>
      </w:pPr>
    </w:p>
    <w:p w14:paraId="79C00943" w14:textId="77777777" w:rsidR="00000000" w:rsidRDefault="00000000">
      <w:pPr>
        <w:pStyle w:val="Heading1"/>
        <w:tabs>
          <w:tab w:val="left" w:pos="-3179"/>
          <w:tab w:val="left" w:pos="432"/>
        </w:tabs>
        <w:overflowPunct w:val="0"/>
        <w:spacing w:before="0" w:after="200" w:line="276" w:lineRule="auto"/>
        <w:jc w:val="both"/>
        <w:textAlignment w:val="baseline"/>
        <w:rPr>
          <w:rFonts w:ascii="Century Gothic" w:hAnsi="Century Gothic"/>
          <w:sz w:val="18"/>
          <w:szCs w:val="18"/>
          <w:lang w:eastAsia="id-ID"/>
        </w:rPr>
      </w:pPr>
      <w:r>
        <w:rPr>
          <w:rFonts w:ascii="Century Gothic" w:hAnsi="Century Gothic"/>
          <w:sz w:val="18"/>
          <w:szCs w:val="18"/>
        </w:rPr>
        <w:t>PENDAHULUAN</w:t>
      </w:r>
    </w:p>
    <w:p w14:paraId="57304307" w14:textId="77777777" w:rsidR="00000000" w:rsidRDefault="00000000">
      <w:pPr>
        <w:spacing w:after="200" w:line="276" w:lineRule="auto"/>
        <w:ind w:firstLine="426"/>
        <w:jc w:val="both"/>
        <w:rPr>
          <w:rFonts w:ascii="Century Gothic" w:hAnsi="Century Gothic"/>
          <w:sz w:val="18"/>
          <w:szCs w:val="18"/>
          <w:lang w:val="id-ID" w:eastAsia="id-ID"/>
        </w:rPr>
      </w:pPr>
      <w:r>
        <w:rPr>
          <w:rFonts w:ascii="Century Gothic" w:hAnsi="Century Gothic"/>
          <w:sz w:val="18"/>
          <w:szCs w:val="18"/>
          <w:lang w:eastAsia="id-ID"/>
        </w:rPr>
        <w:t xml:space="preserve">Industri halal telah berkembang secara global dan mengalami pertumbuhan yang signifikan dalam satu dekade terakhir. </w:t>
      </w:r>
      <w:r>
        <w:rPr>
          <w:rFonts w:ascii="Century Gothic" w:hAnsi="Century Gothic"/>
          <w:i/>
          <w:iCs/>
          <w:sz w:val="18"/>
          <w:szCs w:val="18"/>
          <w:lang w:eastAsia="id-ID"/>
        </w:rPr>
        <w:t>State of the Global Islamic Economy Report</w:t>
      </w:r>
      <w:r>
        <w:rPr>
          <w:rFonts w:ascii="Century Gothic" w:hAnsi="Century Gothic"/>
          <w:sz w:val="18"/>
          <w:szCs w:val="18"/>
          <w:lang w:eastAsia="id-ID"/>
        </w:rPr>
        <w:t xml:space="preserve"> tahun 2023/2024 menunjukkan bahwa pengeluaran konsumsi masyarakat Muslim untuk makanan halal, farmasi, kosmetik, fesyen, media, dan pariwisata terus meningkat, dari USD 1,62 triliun pada tahun 2012 menjadi USD 2,29 triliun pada tahun 2022 </w:t>
      </w:r>
      <w:r>
        <w:fldChar w:fldCharType="begin"/>
      </w:r>
      <w:r>
        <w:rPr>
          <w:rFonts w:ascii="Century Gothic" w:hAnsi="Century Gothic"/>
          <w:sz w:val="18"/>
          <w:szCs w:val="18"/>
          <w:lang w:val="id-ID" w:eastAsia="id-ID"/>
        </w:rPr>
        <w:instrText>ADDIN CSL_CITATION {"citationItems":[{"id":"ITEM-1","itemData":{"author":[{"dropping-particle":"","family":"Dinar Standard","given":"","non-dropping-particle":"","parse-names":false,"suffix":""}],"id":"ITEM-1","issued":{"date-parts":[["2023"]]},"number-of-pages":"269","publisher-place":"Dubai","title":"State of the Global Islamic Economy Report 2023/24","type":"report"},"uris":["http://www.mendeley.com/documents/?uuid=d4c135dc-5006-4751-af7b-55fb8f3648a2"]}],"mendeley":{"formattedCitation":"(Dinar Standard, 2023)","plainTextFormattedCitation":"(Dinar Standard, 2023)","previouslyFormattedCitation":"(Dinar Standard, 2023)"},"properties":{"noteIndex":0},"schema":"https://github.com/citation-style-language/schema/raw/master/csl-citation.json"}</w:instrText>
      </w:r>
      <w:r>
        <w:fldChar w:fldCharType="separate"/>
      </w:r>
      <w:r>
        <w:rPr>
          <w:rFonts w:ascii="Century Gothic" w:hAnsi="Century Gothic"/>
          <w:sz w:val="18"/>
          <w:szCs w:val="18"/>
          <w:lang w:val="id-ID" w:eastAsia="id-ID"/>
        </w:rPr>
        <w:t>(Dinar Standard, 2023)</w:t>
      </w:r>
      <w:r>
        <w:rPr>
          <w:rFonts w:ascii="Century Gothic" w:hAnsi="Century Gothic"/>
          <w:sz w:val="18"/>
          <w:szCs w:val="18"/>
          <w:lang w:val="id-ID" w:eastAsia="id-ID"/>
        </w:rPr>
        <w:fldChar w:fldCharType="end"/>
      </w:r>
      <w:r>
        <w:rPr>
          <w:rFonts w:ascii="Century Gothic" w:hAnsi="Century Gothic"/>
          <w:sz w:val="18"/>
          <w:szCs w:val="18"/>
          <w:lang w:val="id-ID" w:eastAsia="id-ID"/>
        </w:rPr>
        <w:t>. Kondisi ini menjadikan industri halal bukan hanya sebagai kebutuhan bagi masyarakat Muslim, tetapi juga telah berkembang menjadi fenomena global dengan potensi ekonomi yang sangat menjanjikan</w:t>
      </w:r>
      <w:r>
        <w:fldChar w:fldCharType="begin"/>
      </w:r>
      <w:r>
        <w:rPr>
          <w:rFonts w:ascii="Century Gothic" w:hAnsi="Century Gothic"/>
          <w:sz w:val="18"/>
          <w:szCs w:val="18"/>
          <w:lang w:val="id-ID" w:eastAsia="id-ID"/>
        </w:rPr>
        <w:instrText>ADDIN CSL_CITATION {"citationItems":[{"id":"ITEM-1","itemData":{"DOI":"10.1108/JIMA-12-2022-0323","ISSN":"17590841","abstract":"Purpose: This study aims to conceptualize and investigate the relationships between halal entrepreneurial success, innovation capability and sustainable innovation in the halal industry. Design/methodology/approach: Both integrative and generative approaches are combined to move forward from the literature to a theoretical contribution. The paper presents a model that relates halal entrepreneurial success to innovation capability and sustainable innovation. A purposive sample of 340 Malaysian halal entrepreneurs is used to test the conceptualized model. The partial least square technique was then used to assess the structural model. Findings: The results disclosed that halal entrepreneurial success is positively related to both innovation capability and sustainable innovation. Also, the innovation capability mediates the relationship between halal entrepreneurial success and sustainable innovation. Originality/value: This research conceptualized and examined a novel model that assesses the relationships between halal entrepreneurial success, innovation capability and sustainable innovation in the halal industry.","author":[{"dropping-particle":"","family":"Salaheldeen","given":"Mohamed","non-dropping-particle":"","parse-names":false,"suffix":""},{"dropping-particle":"","family":"Battour","given":"Mohamed","non-dropping-particle":"","parse-names":false,"suffix":""}],"container-title":"Journal of Islamic Marketing","id":"ITEM-1","issue":"3","issued":{"date-parts":[["2024"]]},"page":"777-799","title":"Fostering innovation capability and sustainable innovation in halal industry: the role of halal entrepreneurs’ success","type":"article-journal","volume":"15"},"uris":["http://www.mendeley.com/documents/?uuid=fcf5e477-6d68-4144-a246-efcdefa3d8a5"]},{"id":"ITEM-2","itemData":{"ISBN":"0320130029","ISSN":"0957-4093","PMID":"42012058","abstract":"Purpose – This study aims to explore various factors that hamper halal certification in food service industries in East Kalimantan, Indonesia. World halal business as well as awareness in halal products and services consumption has been growing rapidly for the past few years. However, many industry players have not yet realized those huge potential concepts of halal business. Food service industries such as restaurants and caterings show less concern in putting priority on the issue of halal certification. Design/methodology/approach – A qualitative data collection technique called nominal group technique (NGT) was used in this study. Four categories of stakeholders participated in this NGT to represent certifying body, consumers, industry player and government. Each category was given a fundamental question: “What factors are hindering restaurant and catering in East Kalimantan, Indonesia, in obtaining halal certification?” Findings – The authors found that through NGT, the authors can obtain top priority issues to be followed up by the respecting institutions which are concerned. The lack of socialization and information have led to the lack of knowledge and awareness. This is the most important issue addressed by the participants. Research limitations/implications – This research was conducted to collect data from various stakeholders in East Kalimantan Province of Indonesia. Considering the vast expanse of Indonesia and different level of development in each province, results of this study could not be generalized as Indonesia situation in general. Practical implications – Halal certification in food service industry gains low interest from industries. This research presents hampering factors in various perspectives and offers some suggestions to overcome those issues accordingly. Originality/value – It is hard to find research paper discussing halal management from the Indonesian perspective. This paper extends the use of NGT in halal management with the perspectives from many stakeholders in food service industries. It provides a relatively new finding from the Indonesian point of view","author":[{"dropping-particle":"","family":"Prabowo","given":"Sulistyo","non-dropping-particle":"","parse-names":false,"suffix":""},{"dropping-particle":"","family":"Rahman","given":"Azmawani Abd","non-dropping-particle":"","parse-names":false,"suffix":""},{"dropping-particle":"","family":"Asnarulkhadi","given":"","non-dropping-particle":"","parse-names":false,"suffix":""},{"dropping-particle":"","family":"Rahman","given":"Suhaimi Ab","non-dropping-particle":"","parse-names":false,"suffix":""},{"dropping-particle":"","family":"Samah","given":"Asnarulkhadi Abu","non-dropping-particle":"","parse-names":false,"suffix":""}],"container-title":"Journal of Islamic Marketing","id":"ITEM-2","issue":"2","issued":{"date-parts":[["2015"]]},"page":"268-291","title":"Revealing factors hindering halal certification in east kalimantan Indonesia","type":"article-journal","volume":"6"},"uris":["http://www.mendeley.com/documents/?uuid=ea7bbb8a-e49b-4f0c-9eca-8103afb9c35f"]}],"mendeley":{"formattedCitation":"(Prabowo et al., 2015; Salaheldeen &amp; Battour, 2024)","plainTextFormattedCitation":"(Prabowo et al., 2015; Salaheldeen &amp; Battour, 2024)","previouslyFormattedCitation":"(Prabowo et al., 2015; Salaheldeen &amp; Battour, 2024)"},"properties":{"noteIndex":0},"schema":"https://github.com/citation-style-language/schema/raw/master/csl-citation.json"}</w:instrText>
      </w:r>
      <w:r>
        <w:fldChar w:fldCharType="separate"/>
      </w:r>
      <w:r>
        <w:rPr>
          <w:rFonts w:ascii="Century Gothic" w:hAnsi="Century Gothic"/>
          <w:sz w:val="18"/>
          <w:szCs w:val="18"/>
          <w:lang w:val="id-ID" w:eastAsia="id-ID"/>
        </w:rPr>
        <w:t>(Prabowo et al., 2015; Salaheldeen &amp; Battour, 2024)</w:t>
      </w:r>
      <w:r>
        <w:rPr>
          <w:rFonts w:ascii="Century Gothic" w:hAnsi="Century Gothic"/>
          <w:sz w:val="18"/>
          <w:szCs w:val="18"/>
          <w:lang w:val="id-ID" w:eastAsia="id-ID"/>
        </w:rPr>
        <w:fldChar w:fldCharType="end"/>
      </w:r>
      <w:r>
        <w:rPr>
          <w:rFonts w:ascii="Century Gothic" w:hAnsi="Century Gothic"/>
          <w:sz w:val="18"/>
          <w:szCs w:val="18"/>
          <w:lang w:val="id-ID" w:eastAsia="id-ID"/>
        </w:rPr>
        <w:t>.</w:t>
      </w:r>
    </w:p>
    <w:p w14:paraId="71884EC3" w14:textId="77777777" w:rsidR="00000000" w:rsidRDefault="00000000">
      <w:pPr>
        <w:spacing w:after="200" w:line="276" w:lineRule="auto"/>
        <w:ind w:firstLine="426"/>
        <w:jc w:val="both"/>
        <w:rPr>
          <w:rFonts w:ascii="Century Gothic" w:hAnsi="Century Gothic"/>
          <w:sz w:val="18"/>
          <w:szCs w:val="18"/>
          <w:lang w:val="id-ID" w:eastAsia="id-ID"/>
        </w:rPr>
      </w:pPr>
      <w:r>
        <w:rPr>
          <w:rFonts w:ascii="Century Gothic" w:hAnsi="Century Gothic"/>
          <w:sz w:val="18"/>
          <w:szCs w:val="18"/>
          <w:lang w:val="id-ID" w:eastAsia="id-ID"/>
        </w:rPr>
        <w:t xml:space="preserve">Indonesia memiliki peluang emas untuk menjadi pemain utama dalam industri halal global. Hal ini didukung oleh fakta bahwa Indonesia memiliki 86,7% penduduk Muslim dari total populasi nasional yang mencapai 240,62 juta jiwa </w:t>
      </w:r>
      <w:r>
        <w:fldChar w:fldCharType="begin"/>
      </w:r>
      <w:r w:rsidRPr="005955D9">
        <w:rPr>
          <w:rFonts w:ascii="Century Gothic" w:hAnsi="Century Gothic"/>
          <w:sz w:val="18"/>
          <w:szCs w:val="18"/>
          <w:lang w:val="id-ID" w:eastAsia="id-ID"/>
        </w:rPr>
        <w:instrText>ADDIN CSL_CITATION {"citationItems":[{"id":"ITEM-1","itemData":{"ISBN":"978-9957-635-69-5","author":[{"dropping-particle":"","family":"The Royal Islamic Strategic Studies Centre","given":"","non-dropping-particle":"","parse-names":false,"suffix":""}],"edition":"1","editor":[{"dropping-particle":"","family":"Elgawhary","given":"Tarek","non-dropping-particle":"","parse-names":false,"suffix":""},{"dropping-particle":"","family":"Ahmed","given":"Aftab","non-dropping-particle":"","parse-names":false,"suffix":""}],"id":"ITEM-1","issued":{"date-parts":[["2023"]]},"number-of-pages":"261","publisher":"Amman: Royal Al-Bayt for Islamic Thought","publisher-place":"Jordan","title":"The Muslim 500: The World's 500 Most Influential Muslims 2024","type":"book"},"uris":["http://www.mendeley.com/documents/?uuid=997b55a3-81b4-414e-aa9f-2ed67ee1a51e"]}],"mendeley":{"formattedCitation":"(The Royal Islamic Strategic Studies Centre, 2023)","plainTextFormattedCitation":"(The Royal Islamic Strategic Studies Centre, 2023)","previouslyFormattedCitation":"(The Royal Islamic Strategic Studies Centre, 2023)"},"properties":{"noteIndex":0},"schema":"https://github.com/citation-style-language/schema/raw/master/csl-citation.json"}</w:instrText>
      </w:r>
      <w:r>
        <w:rPr>
          <w:rFonts w:ascii="Century Gothic" w:hAnsi="Century Gothic"/>
          <w:sz w:val="18"/>
          <w:szCs w:val="18"/>
          <w:lang w:val="nb-NO" w:eastAsia="id-ID"/>
        </w:rPr>
        <w:fldChar w:fldCharType="separate"/>
      </w:r>
      <w:r>
        <w:rPr>
          <w:rFonts w:ascii="Century Gothic" w:hAnsi="Century Gothic"/>
          <w:sz w:val="18"/>
          <w:szCs w:val="18"/>
          <w:lang w:val="id-ID" w:eastAsia="id-ID"/>
        </w:rPr>
        <w:t>(The Royal Islamic Strategic Studies Centre, 2023)</w:t>
      </w:r>
      <w:r>
        <w:rPr>
          <w:rFonts w:ascii="Century Gothic" w:hAnsi="Century Gothic"/>
          <w:sz w:val="18"/>
          <w:szCs w:val="18"/>
          <w:lang w:val="nb-NO" w:eastAsia="id-ID"/>
        </w:rPr>
        <w:fldChar w:fldCharType="end"/>
      </w:r>
      <w:r>
        <w:rPr>
          <w:rFonts w:ascii="Century Gothic" w:hAnsi="Century Gothic"/>
          <w:sz w:val="18"/>
          <w:szCs w:val="18"/>
          <w:lang w:val="id-ID" w:eastAsia="id-ID"/>
        </w:rPr>
        <w:t xml:space="preserve">. Selain itu, Indonesia juga menempati peringkat pertama sebagai pasar konsumen makanan halal global </w:t>
      </w:r>
      <w:r>
        <w:fldChar w:fldCharType="begin"/>
      </w:r>
      <w:r w:rsidRPr="005955D9">
        <w:rPr>
          <w:rFonts w:ascii="Century Gothic" w:hAnsi="Century Gothic"/>
          <w:sz w:val="18"/>
          <w:szCs w:val="18"/>
          <w:lang w:val="id-ID" w:eastAsia="id-ID"/>
        </w:rPr>
        <w:instrText>ADDIN CSL_CITATION {"citationItems":[{"id":"ITEM-1","itemData":{"author":[{"dropping-particle":"","family":"Dinar Standard","given":"","non-dropping-particle":"","parse-names":false,"suffix":""}],"id":"ITEM-1","issued":{"date-parts":[["2023"]]},"number-of-pages":"269","publisher-place":"Dubai","title":"State of the Global Islamic Economy Report 2023/24","type":"report"},"uris":["http://www.mendeley.com/documents/?uuid=d4c135dc-5006-4751-af7b-55fb8f3648a2"]}],"mendeley":{"formattedCitation":"(Dinar Standard, 2023)","plainTextFormattedCitation":"(Dinar Standard, 2023)","previouslyFormattedCitation":"(Dinar Standard, 2023)"},"properties":{"noteIndex":0},"schema":"https://github.com/citation-style-language/schema/raw/master/csl-citation.json"}</w:instrText>
      </w:r>
      <w:r>
        <w:rPr>
          <w:rFonts w:ascii="Century Gothic" w:hAnsi="Century Gothic"/>
          <w:sz w:val="18"/>
          <w:szCs w:val="18"/>
          <w:lang w:val="nb-NO" w:eastAsia="id-ID"/>
        </w:rPr>
        <w:fldChar w:fldCharType="separate"/>
      </w:r>
      <w:r>
        <w:rPr>
          <w:rFonts w:ascii="Century Gothic" w:hAnsi="Century Gothic"/>
          <w:sz w:val="18"/>
          <w:szCs w:val="18"/>
          <w:lang w:val="id-ID" w:eastAsia="id-ID"/>
        </w:rPr>
        <w:t>(Dinar Standard, 2023)</w:t>
      </w:r>
      <w:r>
        <w:rPr>
          <w:rFonts w:ascii="Century Gothic" w:hAnsi="Century Gothic"/>
          <w:sz w:val="18"/>
          <w:szCs w:val="18"/>
          <w:lang w:val="nb-NO" w:eastAsia="id-ID"/>
        </w:rPr>
        <w:fldChar w:fldCharType="end"/>
      </w:r>
      <w:r>
        <w:rPr>
          <w:rFonts w:ascii="Century Gothic" w:hAnsi="Century Gothic"/>
          <w:sz w:val="18"/>
          <w:szCs w:val="18"/>
          <w:lang w:val="id-ID" w:eastAsia="id-ID"/>
        </w:rPr>
        <w:t xml:space="preserve">, dengan total pengeluaran konsumsi halal mencapai USD 149,8 miliar pada tahun 2022, diikuti oleh Mesir (USD 143 miliar), Bangladesh (USD 137 miliar), serta Nigeria dan Iran (masing-masing USD 87,4 miliar). Fakta ini </w:t>
      </w:r>
      <w:r>
        <w:rPr>
          <w:rFonts w:ascii="Century Gothic" w:hAnsi="Century Gothic"/>
          <w:sz w:val="18"/>
          <w:szCs w:val="18"/>
          <w:lang w:val="id-ID" w:eastAsia="id-ID"/>
        </w:rPr>
        <w:lastRenderedPageBreak/>
        <w:t xml:space="preserve">semakin memperkuat posisi Indonesia dalam industri halal global </w:t>
      </w:r>
      <w:r>
        <w:fldChar w:fldCharType="begin"/>
      </w:r>
      <w:r>
        <w:rPr>
          <w:rFonts w:ascii="Century Gothic" w:hAnsi="Century Gothic"/>
          <w:sz w:val="18"/>
          <w:szCs w:val="18"/>
          <w:lang w:val="id-ID" w:eastAsia="id-ID"/>
        </w:rPr>
        <w:instrText>ADDIN CSL_CITATION {"citationItems":[{"id":"ITEM-1","itemData":{"abstract":"… produk halal, saat ini mengalami perkembangan tidak hanya sekedar produk halal tapi juga menjadi gaya hidup halal. … Kecil Menengah (UMKM) yang bergerak di sektor halal melalui …","author":[{"dropping-particle":"","family":"Adamsah","given":"Bahtiar","non-dropping-particle":"","parse-names":false,"suffix":""},{"dropping-particle":"","family":"Subakti","given":"Eka","non-dropping-particle":"","parse-names":false,"suffix":""}],"container-title":"Indonesia journal of halal","id":"ITEM-1","issue":"1","issued":{"date-parts":[["2022"]]},"page":"71-75","title":"Development of the Halal Industry on Indonesian Economic Growth","type":"article-journal","volume":"5"},"uris":["http://www.mendeley.com/documents/?uuid=5b4008e2-4e1c-4349-857c-d26d169801ea"]},{"id":"ITEM-2","itemData":{"abstract":"… Pertama, diperlukan penguatan dalam penelitian terkait bahan dan material … Pengembangan industri produk halal dapat ditingkatkan melalui berbagai strategi, termasuk peningkatan …","author":[{"dropping-particle":"","family":"Wahyudi","given":"F S","non-dropping-particle":"","parse-names":false,"suffix":""},{"dropping-particle":"","family":"Setiawan","given":"M A","non-dropping-particle":"","parse-names":false,"suffix":""},{"dropping-particle":"","family":"...","given":"","non-dropping-particle":"","parse-names":false,"suffix":""}],"container-title":"Innovative: Journal of Social Science Research","id":"ITEM-2","issue":"6","issued":{"date-parts":[["2023"]]},"page":"1801-1815","title":"Perkembangan, Tantangan, and Regulasi di Ekonomi Islam","type":"article-journal","volume":"3"},"uris":["http://www.mendeley.com/documents/?uuid=6422607f-a2d8-48d9-ad48-571e8bcdbee0"]}],"mendeley":{"formattedCitation":"(Adamsah &amp; Subakti, 2022; Wahyudi et al., 2023)","plainTextFormattedCitation":"(Adamsah &amp; Subakti, 2022; Wahyudi et al., 2023)","previouslyFormattedCitation":"(Adamsah &amp; Subakti, 2022; Wahyudi et al., 2023)"},"properties":{"noteIndex":0},"schema":"https://github.com/citation-style-language/schema/raw/master/csl-citation.json"}</w:instrText>
      </w:r>
      <w:r>
        <w:fldChar w:fldCharType="separate"/>
      </w:r>
      <w:r>
        <w:rPr>
          <w:rFonts w:ascii="Century Gothic" w:hAnsi="Century Gothic"/>
          <w:sz w:val="18"/>
          <w:szCs w:val="18"/>
          <w:lang w:val="id-ID" w:eastAsia="id-ID"/>
        </w:rPr>
        <w:t>(Adamsah &amp; Subakti, 2022; Wahyudi et al., 2023)</w:t>
      </w:r>
      <w:r>
        <w:rPr>
          <w:rFonts w:ascii="Century Gothic" w:hAnsi="Century Gothic"/>
          <w:sz w:val="18"/>
          <w:szCs w:val="18"/>
          <w:lang w:val="id-ID" w:eastAsia="id-ID"/>
        </w:rPr>
        <w:fldChar w:fldCharType="end"/>
      </w:r>
      <w:r>
        <w:rPr>
          <w:rFonts w:ascii="Century Gothic" w:hAnsi="Century Gothic"/>
          <w:sz w:val="18"/>
          <w:szCs w:val="18"/>
          <w:lang w:val="id-ID" w:eastAsia="id-ID"/>
        </w:rPr>
        <w:t xml:space="preserve">. </w:t>
      </w:r>
    </w:p>
    <w:p w14:paraId="15428C46" w14:textId="77777777" w:rsidR="00000000" w:rsidRDefault="00000000">
      <w:pPr>
        <w:spacing w:after="200" w:line="276" w:lineRule="auto"/>
        <w:ind w:firstLine="426"/>
        <w:jc w:val="both"/>
        <w:rPr>
          <w:rFonts w:ascii="Century Gothic" w:hAnsi="Century Gothic"/>
          <w:sz w:val="18"/>
          <w:szCs w:val="18"/>
          <w:lang w:val="id-ID" w:eastAsia="id-ID"/>
        </w:rPr>
      </w:pPr>
      <w:r>
        <w:rPr>
          <w:rFonts w:ascii="Century Gothic" w:hAnsi="Century Gothic"/>
          <w:sz w:val="18"/>
          <w:szCs w:val="18"/>
          <w:lang w:val="id-ID" w:eastAsia="id-ID"/>
        </w:rPr>
        <w:t xml:space="preserve">Perkembangan pesat industri halal menuntut peningkatan literasi di bidang ini untuk menjamin keberlanjutan dan kesuksesannya. Literasi industri halal tidak hanya mencakup pengetahuan tentang makanan dan minuman halal, tetapi juga pemahaman komprehensif mengenai prinsip dan standar halal di berbagai sektor, seperti pariwisata, fesyen, farmasi, kosmetik, dan keuangan syariah </w:t>
      </w:r>
      <w:r>
        <w:fldChar w:fldCharType="begin"/>
      </w:r>
      <w:r>
        <w:rPr>
          <w:rFonts w:ascii="Century Gothic" w:hAnsi="Century Gothic"/>
          <w:sz w:val="18"/>
          <w:szCs w:val="18"/>
          <w:lang w:val="id-ID" w:eastAsia="id-ID"/>
        </w:rPr>
        <w:instrText>ADDIN CSL_CITATION {"citationItems":[{"id":"ITEM-1","itemData":{"DOI":"10.21580/jdmhi.2020.2.2.6160","ISSN":"2716-4810","abstract":"In this modern era, many companies produce fashion products labeled halal to increase sales value and increase public awareness about the importance of buying products tagged halal according to religious law. This study aims to examine the effect of halal certification, halal awareness and product knowledge on purchasing decisions for halal fashion products and provide a perspective on the importance of using halal products in society. This article type of research is quantitative; this journal's research data were obtained from 100 respondents who used halal fashion products in Semarang. The research data were analyzed using multiple linear regression. This article's research shows that halal certification has a positive but insignificant effect on fashion products' purchasing decisions labeled halal. Halal awareness has a positive and significant impact on product purchasing decisions. Product knowledge also has a positive and significant effect on purchasing decisions.","author":[{"dropping-particle":"","family":"Afendi","given":"Arif","non-dropping-particle":"","parse-names":false,"suffix":""}],"container-title":"Journal of Digital Marketing and Halal Industry","id":"ITEM-1","issue":"2","issued":{"date-parts":[["2020"]]},"page":"145-154","title":"The Effect of Halal Certification, Halal Awareness and Product Knowledge on Purchase Decisions for Halal Fashion Products","type":"article-journal","volume":"2"},"uris":["http://www.mendeley.com/documents/?uuid=8d1bf3ba-e177-4dff-a5c1-2bb245fb212e"]},{"id":"ITEM-2","itemData":{"ISSN":"2963-9794","abstract":"The purpose of this study is to determine the Halal Ecosystem and Halal Literacy in the development of Sharia Economic Halal Regulations. This study explains the halal ecosystem as a whole and what is included in the halal ecosystem. In addition, it also discusses halal literacy in Indonesia. Halal literacy is very important for all countries to learn to prepare people to face an ever-changing financial system. People will need a more economical understanding to actively participate in a global economy that tends to change. The data analysis method in this research uses qualitative-descriptive analysis. Qualitative research is carried out to build knowledge through understanding and discovery, so it is expected to reveal a variety of information that is thorough and full of meaning, but also does not reject quantitative information in the form of numbers. The results of this study are that the ecosystem needed in improving the halal industry refers to the supply, demand and enabler approaches. From the supply aspect, the existence of the Indonesian halal industry sector (food, tourism, fashion, medicine, media and renewable energy) has prepared various products that can be consumed by the public with a halal label. Government support provided, both as regulators, executors and evaluators, is needed as an enabler component in the halal industry ecosystem. Products from the halal industry itself are experiencing quite rapid development, the halal food and beverage sector, the financial sector, tourism, fashion, cosmetics and medicines, media and entertainment, as well as other sectors such as health care and education.","author":[{"dropping-particle":"","family":"Krisna","given":"Robi","non-dropping-particle":"","parse-names":false,"suffix":""},{"dropping-particle":"","family":"Yusuf","given":"Mohammad","non-dropping-particle":"","parse-names":false,"suffix":""},{"dropping-particle":"","family":"Putra","given":"Eka","non-dropping-particle":"","parse-names":false,"suffix":""}],"container-title":"The 1st Proceeding of The International Conference on Business and Economics","id":"ITEM-2","issue":"1","issued":{"date-parts":[["2023"]]},"page":"318-336","title":"Analysis of the Halal Ecosystem and Halal Literacy on the Development of Islamic Economic Halal Regulation","type":"article-journal","volume":"1"},"uris":["http://www.mendeley.com/documents/?uuid=7b13c954-5b4a-4826-a8fc-43b57f8b58d8"]}],"mendeley":{"formattedCitation":"(Afendi, 2020; Krisna et al., 2023)","plainTextFormattedCitation":"(Afendi, 2020; Krisna et al., 2023)","previouslyFormattedCitation":"(Afendi, 2020; Krisna et al., 2023)"},"properties":{"noteIndex":0},"schema":"https://github.com/citation-style-language/schema/raw/master/csl-citation.json"}</w:instrText>
      </w:r>
      <w:r>
        <w:fldChar w:fldCharType="separate"/>
      </w:r>
      <w:r>
        <w:rPr>
          <w:rFonts w:ascii="Century Gothic" w:hAnsi="Century Gothic"/>
          <w:sz w:val="18"/>
          <w:szCs w:val="18"/>
          <w:lang w:val="id-ID" w:eastAsia="id-ID"/>
        </w:rPr>
        <w:t>(Afendi, 2020; Krisna et al., 2023)</w:t>
      </w:r>
      <w:r>
        <w:rPr>
          <w:rFonts w:ascii="Century Gothic" w:hAnsi="Century Gothic"/>
          <w:sz w:val="18"/>
          <w:szCs w:val="18"/>
          <w:lang w:val="id-ID" w:eastAsia="id-ID"/>
        </w:rPr>
        <w:fldChar w:fldCharType="end"/>
      </w:r>
      <w:r>
        <w:rPr>
          <w:rFonts w:ascii="Century Gothic" w:hAnsi="Century Gothic"/>
          <w:sz w:val="18"/>
          <w:szCs w:val="18"/>
          <w:lang w:val="id-ID" w:eastAsia="id-ID"/>
        </w:rPr>
        <w:t xml:space="preserve">. Konsumen yang memiliki literasi industri halal yang memadai, khususnya terkait sertifikasi halal, dapat membuat keputusan konsumsi produk dan jasa dengan tepat dan bertanggung jawab </w:t>
      </w:r>
      <w:r>
        <w:fldChar w:fldCharType="begin"/>
      </w:r>
      <w:r>
        <w:rPr>
          <w:rFonts w:ascii="Century Gothic" w:hAnsi="Century Gothic"/>
          <w:sz w:val="18"/>
          <w:szCs w:val="18"/>
          <w:lang w:val="id-ID" w:eastAsia="id-ID"/>
        </w:rPr>
        <w:instrText>ADDIN CSL_CITATION {"citationItems":[{"id":"ITEM-1","itemData":{"DOI":"10.1108/JIMA-08-2019-0175","ISSN":"17590841","abstract":"Purpose: This study aims to investigate the influence of religiosity (intrinsic and extrinsic) and halal literacy on the intention of Muslim consumers to purchase halal branded food products in India. An extended version of the theory of planned behaviour (TPB) was used as a framework. Apart from religiosity and halal literacy, the influence of attitude, social norms and perceived behavioural control of halal on buying intention were also tested. Design/methodology/approach: The study uses a survey design. The data were collected from 350 individual respondents, using a closed-ended, structured questionnaire. The quality of the measurement model has been assessed through reliability testing, factor loading, average variance extracted and Fornell-Larcker criterion. The test of hypotheses was conducted by performing the partial least square structural equation modelling. Findings: The result of hypotheses testing shows that both intrinsic and extrinsic types of religiosities did not have a direct influence on buying intention. However, religiosity (extrinsic and intrinsic) and halal literacy have significant relationships with most of the antecedents of the intention of the TPB. In addition, both kinds of religiosities (extrinsic and intrinsic) and halal literacy had a significant indirect effect (through TPB antecedents) on buying intention. Originality/value: Muslim population in India is one of the largest in the world, yet there is a lack of popular halal branded food products in the market. Nevertheless, few researchers have attempted to study the consumer behaviour of the Muslim population for halal products in India. A large amount of research work on halal food behaviour is from countries such as Malaysia and Indonesia, where the Muslim population is in the majority and halal brands are already popular. Further, this paper studies the impact of dimensions of religiosity, which has been overlooked by researchers studying the halal food purchasing behaviour. The study also explores the impact of halal literacy, an understudied construct in halal marketing literature. The present study is amongst the earliest empirical research based on Muslim consumers in India on the topic of halal branded food products.","author":[{"dropping-particle":"","family":"Khan","given":"Adil","non-dropping-particle":"","parse-names":false,"suffix":""},{"dropping-particle":"","family":"Arafat","given":"Mohd Yasir","non-dropping-particle":"","parse-names":false,"suffix":""},{"dropping-particle":"","family":"Azam","given":"Mohammad Khalid","non-dropping-particle":"","parse-names":false,"suffix":""}],"container-title":"Journal of Islamic Marketing","id":"ITEM-1","issue":"2","issued":{"date-parts":[["2022"]]},"page":"287-308","title":"Role of halal literacy and religiosity in buying intention of halal branded food products in India","type":"article-journal","volume":"13"},"uris":["http://www.mendeley.com/documents/?uuid=8caf9727-0759-4fcc-bd78-fd89d73af712"]},{"id":"ITEM-2","itemData":{"DOI":"10.1108/APJML-10-2022-0868","ISSN":"17584248","abstract":"Purpose: This research discloses the effect of religiosity on purchasing intention through serial-mediation paths in a halal-certified food context. Borrowing from the identity theory while supplemented by the theory of planned behaviour (TPB) and the knowledge–attitude–practice (KAP) theory, a 4-layered framework is developed to investigate such an issue. Design/methodology/approach: 264 questionnaires are collected in the field study conducted in Tunis, Tunisia. Quota sampling method is applied. Testing of the hypotheses is performed using partial least square analysis. Findings: The findings reveal that religiosity affects the four mediators—awareness, trust, subjective norm and perceived behavioural control—which in turn affect attitude, and purchase intention towards halal-certified food is eventually aroused. These four serial-mediation paths are further proved to form the mechanisms. Research limitations/implications: The field study participants are limited to consumers in Tunis. Besides, a mechanism to collect the data from general public including lower educated consumers should be necessary. Originality/value: This research is a pioneering work investigating the sequential intervening effect in the religiosity-intention relationship in halal-certified food. The authors provide unique and fruitful insights into this relatively untapped field for academia and firms.","author":[{"dropping-particle":"","family":"Loussaief","given":"Aida","non-dropping-particle":"","parse-names":false,"suffix":""},{"dropping-particle":"","family":"Ying-Chao Lin","given":"Julia","non-dropping-particle":"","parse-names":false,"suffix":""},{"dropping-particle":"","family":"Phuc Dang","given":"Huu","non-dropping-particle":"","parse-names":false,"suffix":""},{"dropping-particle":"","family":"Bouslama","given":"Neji","non-dropping-particle":"","parse-names":false,"suffix":""},{"dropping-particle":"","family":"Cheng","given":"Julian Ming Sung","non-dropping-particle":"","parse-names":false,"suffix":""}],"container-title":"Asia Pacific Journal of Marketing and Logistics","id":"ITEM-2","issue":"1","issued":{"date-parts":[["2024"]]},"page":"167-184","title":"Eating halal: a serial mediation model for the effect of religiosity on the intention to purchase halal-certified food","type":"article-journal","volume":"36"},"uris":["http://www.mendeley.com/documents/?uuid=8d662252-c6e5-4f99-b43b-c76238eb102e"]},{"id":"ITEM-3","itemData":{"DOI":"10.1108/JIMA-10-2017-0104","ISSN":"17590841","abstract":"Purpose: This paper aims to measure and analyze the halal awareness of Indonesian consumers toward halal products. This paper also measures the religious belief, health reason, halal logo certification and exposures of Indonesian consumers and tests the correlation between those and halal awareness. The finding can be used as reference for government and halal policymakers related with halal product. Design/methodology/approach: The research is performed using self-administrated questionnaires and convenience sampling. The questionnaires were distributed for Muslim respondents in Indonesia, male and female, aged 18 up to 60 years old. The data are statistically analyzed by Cronbach’s alpha and Pearson correlation test using SPSS 16.0. Findings: The study found that halal awareness of Indonesian consumers is very good (very high) with index of 94.91. The halal awareness is supported with very high index of religious belief (96.61), health reason (89.83) and logo certification (84.71), and good index of exposures (78.72). The study also shows that religious belief becomes the most factor that influence the Indonesian halal awareness, followed by health reason then logo certification, while exposure is the least factor influencing the halal awareness. Originality/value: This research is one of few studies in Indonesian context which is investigating and measuring the index of halal awareness of Indonesian consumers. The study also provided new findings of Indonesian halal awareness influence factors (religious beliefs, health reason, logo certification and exposure); its index and its correlation to the halal awareness level. The result of the study is quite different with other halal awareness studies. Therefore, this paper becomes one of the pioneer for study in the context of Indonesian halal awareness analysis.","author":[{"dropping-particle":"","family":"Kurniawati","given":"Dwi Agustina","non-dropping-particle":"","parse-names":false,"suffix":""},{"dropping-particle":"","family":"Savitri","given":"Hana","non-dropping-particle":"","parse-names":false,"suffix":""}],"container-title":"Journal of Islamic Marketing","id":"ITEM-3","issue":"2","issued":{"date-parts":[["2020"]]},"page":"531-546","title":"Awareness level analysis of Indonesian consumers toward halal products","type":"article-journal","volume":"11"},"uris":["http://www.mendeley.com/documents/?uuid=7e8168f7-f169-455e-99eb-85cd254bb337"]},{"id":"ITEM-4","itemData":{"DOI":"10.1108/BFJ-10-2018-0692","ISBN":"1020180692","ISSN":"0007070X","abstract":"Purpose: The purpose of this paper is to investigate the influence of halal concern as well as emotional and epistemic values on consumer behaviour in the choice and purchase of halal-certified food supplies. Design/methodology/approach: This study used a quantitative methodology of convenience sampling to collect survey data from 1,550 Muslim respondents in Malaysia. It also employed multiple regressions by covariance-based structural equation modelling in the data analysis as well as in the validation of the proposed model. Findings: The empirical results showed that the importance of halal certification had the highest impact on consumer choice behaviour, particularly in the purchase of halal-certified food supplies. Also, epistemic and emotional values were both statistically significant in terms of their influence on the consumer decision-making process. Research limitations/implications: The results emphasize the importance of enhancing the hedonic (halal concern and emotional value) aspect as a way for the halal food industries to obtain an added value advantage for their products and services. Originality/value: This paper is the first to employ an empirical approach to consider the halal sentiment as a determinant of consumer purchasing behaviour in the context of halal-certified food supplies.","author":[{"dropping-particle":"","family":"Muhamed","given":"Ariff Azly","non-dropping-particle":"","parse-names":false,"suffix":""},{"dropping-particle":"","family":"Ab Rahman","given":"Mohd Nizam","non-dropping-particle":"","parse-names":false,"suffix":""},{"dropping-particle":"","family":"Mohd Hamzah","given":"Firdaus","non-dropping-particle":"","parse-names":false,"suffix":""},{"dropping-particle":"","family":"Che Mohd Zain","given":"Che Rosmawati","non-dropping-particle":"","parse-names":false,"suffix":""},{"dropping-particle":"","family":"Zailani","given":"Suhaiza","non-dropping-particle":"","parse-names":false,"suffix":""}],"container-title":"British Food Journal","id":"ITEM-4","issue":"11","issued":{"date-parts":[["2019"]]},"page":"2951-2966","title":"The impact of consumption value on consumer behaviour: A case study of halal-certified food supplies","type":"article-journal","volume":"121"},"uris":["http://www.mendeley.com/documents/?uuid=5a19c2b3-85fb-46e2-b7ce-a71a70e1501e"]}],"mendeley":{"formattedCitation":"(Khan et al., 2022; Kurniawati &amp; Savitri, 2020; Loussaief et al., 2024; Muhamed et al., 2019)","plainTextFormattedCitation":"(Khan et al., 2022; Kurniawati &amp; Savitri, 2020; Loussaief et al., 2024; Muhamed et al., 2019)","previouslyFormattedCitation":"(Khan et al., 2022; Kurniawati &amp; Savitri, 2020; Loussaief et al., 2024; Muhamed et al., 2019)"},"properties":{"noteIndex":0},"schema":"https://github.com/citation-style-language/schema/raw/master/csl-citation.json"}</w:instrText>
      </w:r>
      <w:r>
        <w:fldChar w:fldCharType="separate"/>
      </w:r>
      <w:r>
        <w:rPr>
          <w:rFonts w:ascii="Century Gothic" w:hAnsi="Century Gothic"/>
          <w:sz w:val="18"/>
          <w:szCs w:val="18"/>
          <w:lang w:val="id-ID" w:eastAsia="id-ID"/>
        </w:rPr>
        <w:t>(Khan et al., 2022; Kurniawati &amp; Savitri, 2020; Loussaief et al., 2024; Muhamed et al., 2019)</w:t>
      </w:r>
      <w:r>
        <w:rPr>
          <w:rFonts w:ascii="Century Gothic" w:hAnsi="Century Gothic"/>
          <w:sz w:val="18"/>
          <w:szCs w:val="18"/>
          <w:lang w:val="id-ID" w:eastAsia="id-ID"/>
        </w:rPr>
        <w:fldChar w:fldCharType="end"/>
      </w:r>
      <w:r>
        <w:rPr>
          <w:rFonts w:ascii="Century Gothic" w:hAnsi="Century Gothic"/>
          <w:sz w:val="18"/>
          <w:szCs w:val="18"/>
          <w:lang w:val="id-ID" w:eastAsia="id-ID"/>
        </w:rPr>
        <w:t xml:space="preserve">. Sementara itu, produsen dengan literasi industri halal yang memadai didorong untuk secara konsisten menerapkan standar halal serta meningkatkan daya saing dan keunggulan kompetitif produk mereka </w:t>
      </w:r>
      <w:r>
        <w:fldChar w:fldCharType="begin"/>
      </w:r>
      <w:r>
        <w:rPr>
          <w:rFonts w:ascii="Century Gothic" w:hAnsi="Century Gothic"/>
          <w:sz w:val="18"/>
          <w:szCs w:val="18"/>
          <w:lang w:val="nb-NO" w:eastAsia="id-ID"/>
        </w:rPr>
        <w:instrText>ADDIN CSL_CITATION {"citationItems":[{"id":"ITEM-1","itemData":{"DOI":"10.1108/JIMA-01-2020-0014","ISSN":"17590841","abstract":"Purpose: This study aims to examine the effect of halal company identity includes halal identity similarity, halal identity distinctiveness and halal identity prestige on customer satisfaction and customer trust. Furthermore, it verifies the influence of customer satisfaction and customer trust on customer-company identification. Finally, it explores the effect of customer-company identification on halal restaurant loyalty. Design/methodology/approach: This study selected a sample of halal restaurants in the area of Semarang City, Indonesia, using a purposive sampling method with a total of 520 respondents. The data analysis uses confirmatory factor analysis to identify discriminant and convergent validity and then structural equation modeling is used to validate the hypotheses. Findings: The result showed that all aspects of halal company identity, namely, halal identity similarity, halal identity distinctiveness and halal identity prestige, significantly affect customer satisfaction. Halal identity similarity and halal identity distinctiveness insignificantly affect customer trust; however, halal identity prestige successfully affects customer trust. Both customer satisfaction and customer trust positively impact customer-company identification and, in turn, customer-company identification impacts halal restaurant loyalty. Originality/value: This study contributes to the theory of halal tourism based on social identity theory and the theory of relationship quality in achieving customer loyalty of halal restaurants.","author":[{"dropping-particle":"","family":"Mursid","given":"Ali","non-dropping-particle":"","parse-names":false,"suffix":""},{"dropping-particle":"","family":"Wu","given":"Cedric Hsi Jui","non-dropping-particle":"","parse-names":false,"suffix":""}],"container-title":"Journal of Islamic Marketing","id":"ITEM-1","issue":"12","issued":{"date-parts":[["2022"]]},"page":"2521-2541","title":"Halal company identity and halal restaurant loyalty: the role of customer satisfaction, customer trust and customer-company identification","type":"article-journal","volume":"13"},"uris":["http://www.mendeley.com/documents/?uuid=0546233f-0f21-4e63-873f-fa8a3ed1ebf5"]},{"id":"ITEM-2","itemData":{"DOI":"10.1108/EMJB-01-2024-0004","ISSN":"1758888X","abstract":"Purpose: The primary objective of this study is to examine how trust and religiosity, in relation to halal products, impact Turkish consumers' intention to purchase such goods. Furthermore, the study aims to identify whether attitudes towards halal products play a mediating role in these effects. Design/methodology/approach: Data were collected from 847 people living in Turkey using an online survey. The authors empirically tested the proposed conceptual model via structural equation modeling. Findings: The study’s results show that trust in halal products has a positive impact on both the intention to buy halal products and the attitude towards them. Moreover, one’s attitude towards halal products affects the intention to purchase them. Additionally, one’s religiosity-belief level influences the intention to purchase halal products, while religiosity-practice level influences the attitude towards halal products. Furthermore, through indirect effect analyses, it was found that trust in halal products and religious practices has an indirect impact on intention through attitude. Research limitations/implications: These outcomes significantly contribute to understanding the complex interactions between trust in halal products, levels of religiosity, and attitudes in shaping consumers' purchase intentions and approaches towards halal products. These implications offer valuable insights into how consumers' religious beliefs, trust perceptions, and attitudes influence their purchase of halal-certified products. Validating these conclusions on a larger scale and exploring them in different contexts would be beneficial. Practical implications: The practice dimension of religiosity pertains to performing actions prescribed by the religion, embodying the practical applications of religious teachings. According to the research findings, the belief dimension of religiosity significantly and positively affects the intention to purchase halal products. This finding aligns with several prior studies. Social implications: Sharing information on websites, social media platforms, or product packaging can be effective. If businesses genuinely adhere to halal standards and address the genuine needs of consumers who value halal products, they can enhance consumers' interest in such products. Originality/value: This research was conducted in Turkey, where most people follow the Muslim faith. The main objective of the study was to examine the trust levels of consumers who hav…","author":[{"dropping-particle":"","family":"Koc","given":"Fatih","non-dropping-particle":"","parse-names":false,"suffix":""},{"dropping-particle":"","family":"Ozkan","given":"Bekir","non-dropping-particle":"","parse-names":false,"suffix":""},{"dropping-particle":"","family":"Komodromos","given":"Marcos","non-dropping-particle":"","parse-names":false,"suffix":""},{"dropping-particle":"","family":"Halil Efendioglu","given":"Ibrahim","non-dropping-particle":"","parse-names":false,"suffix":""},{"dropping-particle":"","family":"Baran","given":"Tamer","non-dropping-particle":"","parse-names":false,"suffix":""}],"container-title":"EuroMed Journal of Business","id":"ITEM-2","issued":{"date-parts":[["2024"]]},"title":"The effects of trust and religiosity on halal products purchase intention: indirect effect of attitude","type":"article-journal"},"uris":["http://www.mendeley.com/documents/?uuid=0e41f3ea-7646-4972-9336-aa2cdabf1c85"]}],"mendeley":{"formattedCitation":"(Koc et al., 2024; Mursid &amp; Wu, 2022)","plainTextFormattedCitation":"(Koc et al., 2024; Mursid &amp; Wu, 2022)","previouslyFormattedCitation":"(Koc et al., 2024; Mursid &amp; Wu, 2022)"},"properties":{"noteIndex":0},"schema":"https://github.com/citation-style-language/schema/raw/master/csl-citation.json"}</w:instrText>
      </w:r>
      <w:r>
        <w:fldChar w:fldCharType="separate"/>
      </w:r>
      <w:r>
        <w:rPr>
          <w:rFonts w:ascii="Century Gothic" w:hAnsi="Century Gothic"/>
          <w:sz w:val="18"/>
          <w:szCs w:val="18"/>
          <w:lang w:val="nb-NO" w:eastAsia="id-ID"/>
        </w:rPr>
        <w:t>(Koc et al., 2024; Mursid &amp; Wu, 2022)</w:t>
      </w:r>
      <w:r>
        <w:rPr>
          <w:rFonts w:ascii="Century Gothic" w:hAnsi="Century Gothic"/>
          <w:sz w:val="18"/>
          <w:szCs w:val="18"/>
          <w:lang w:val="nb-NO" w:eastAsia="id-ID"/>
        </w:rPr>
        <w:fldChar w:fldCharType="end"/>
      </w:r>
      <w:r>
        <w:rPr>
          <w:rFonts w:ascii="Century Gothic" w:hAnsi="Century Gothic"/>
          <w:sz w:val="18"/>
          <w:szCs w:val="18"/>
          <w:lang w:val="nb-NO" w:eastAsia="id-ID"/>
        </w:rPr>
        <w:t xml:space="preserve">. Hal ini disebabkan oleh fakta bahwa literasi industri halal dapat meningkatkan daya saing dan keunggulan kompetitif produk </w:t>
      </w:r>
      <w:r>
        <w:fldChar w:fldCharType="begin"/>
      </w:r>
      <w:r>
        <w:rPr>
          <w:rFonts w:ascii="Century Gothic" w:hAnsi="Century Gothic"/>
          <w:sz w:val="18"/>
          <w:szCs w:val="18"/>
          <w:lang w:val="nb-NO" w:eastAsia="id-ID"/>
        </w:rPr>
        <w:instrText>ADDIN CSL_CITATION {"citationItems":[{"id":"ITEM-1","itemData":{"ISSN":"2685-8258","abstract":"Purpose-This research aimed to support Small and Medium Enterprises (SMEs) by investigating the correlation between obtaining halal certification, adopting an entrepreneurial orientation, and gaining a competitive advantage in their respective industries. Method-This study is categorized as quantitative research involving a sample size of 105 respondents who are Small and Medium Enterprises (SMEs) owners in the food and beverages sector in Kendal Regency. The primary data used in this research was collected directly by the researchers from the respondents, focusing on aspects such as halal certification, entrepreneurial orientation, and competitive advantage. Structural Equation Modelling (SEM) is employed as the analytical technique in this study. Result-The findings of this research indicate a positive and significant influence of the relationship between halal certification and entrepreneurial orientation on competitive advantage. Additionally, the study reveals a positive and significant impact of halal certification on entrepreneurial orientation. Furthermore, the direct mediating relationship between entrepreneurial orientation and halal certification, as well as competitive advantage, also demonstrates a positive and significant effect. Contribution-This study makes a significant academic contribution by investigating the relationship between halal certification, entrepreneurial orientation, and competitive advantage in the context of Small and Medium Enterprises (SMEs). By filling a knowledge gap in the literature, it enhances our understanding of how these variables are interconnected and their impact on SMEs' competitiveness.","author":[{"dropping-particle":"","family":"Apriliyanto","given":"Nanang","non-dropping-particle":"","parse-names":false,"suffix":""},{"dropping-particle":"","family":"Hidayati","given":"Nanik","non-dropping-particle":"","parse-names":false,"suffix":""}],"container-title":"Journal of Enterprise and Development (JED)","id":"ITEM-1","issue":"1","issued":{"date-parts":[["2023"]]},"page":"2023","title":"Nexus between halal certificate, competitive advantage, and entrepreneurial orientation of SMEs in Food and Beverage industry","type":"article-journal","volume":"5"},"uris":["http://www.mendeley.com/documents/?uuid=59fa0f13-232e-40bf-bbb7-a0bd40a51558"]},{"id":"ITEM-2","itemData":{"author":[{"dropping-particle":"","family":"Nurjamjam","given":"Siti","non-dropping-particle":"","parse-names":false,"suffix":""}],"container-title":"Indomesian Journal of Halal Studies","id":"ITEM-2","issue":"33","issued":{"date-parts":[["2024"]]},"page":"69-80","title":"The Influence of Halal Certification and Halal Quality Assurance Practices on Business Competitive Advantage : Case Study of MSMEs in West Java","type":"article-journal","volume":"1"},"uris":["http://www.mendeley.com/documents/?uuid=4471a4ec-0483-4b20-9c35-384fbd91512e"]}],"mendeley":{"formattedCitation":"(Apriliyanto &amp; Hidayati, 2023; Nurjamjam, 2024)","plainTextFormattedCitation":"(Apriliyanto &amp; Hidayati, 2023; Nurjamjam, 2024)","previouslyFormattedCitation":"(Apriliyanto &amp; Hidayati, 2023; Nurjamjam, 2024)"},"properties":{"noteIndex":0},"schema":"https://github.com/citation-style-language/schema/raw/master/csl-citation.json"}</w:instrText>
      </w:r>
      <w:r>
        <w:fldChar w:fldCharType="separate"/>
      </w:r>
      <w:r>
        <w:rPr>
          <w:rFonts w:ascii="Century Gothic" w:hAnsi="Century Gothic"/>
          <w:sz w:val="18"/>
          <w:szCs w:val="18"/>
          <w:lang w:val="nb-NO" w:eastAsia="id-ID"/>
        </w:rPr>
        <w:t>(Apriliyanto &amp; Hidayati, 2023; Nurjamjam, 2024)</w:t>
      </w:r>
      <w:r>
        <w:rPr>
          <w:rFonts w:ascii="Century Gothic" w:hAnsi="Century Gothic"/>
          <w:sz w:val="18"/>
          <w:szCs w:val="18"/>
          <w:lang w:val="nb-NO" w:eastAsia="id-ID"/>
        </w:rPr>
        <w:fldChar w:fldCharType="end"/>
      </w:r>
      <w:r>
        <w:rPr>
          <w:rFonts w:ascii="Century Gothic" w:hAnsi="Century Gothic"/>
          <w:sz w:val="18"/>
          <w:szCs w:val="18"/>
          <w:lang w:val="nb-NO" w:eastAsia="id-ID"/>
        </w:rPr>
        <w:t xml:space="preserve">. </w:t>
      </w:r>
    </w:p>
    <w:p w14:paraId="350C0F9B" w14:textId="77777777" w:rsidR="00000000" w:rsidRDefault="00000000">
      <w:pPr>
        <w:spacing w:after="200" w:line="276" w:lineRule="auto"/>
        <w:ind w:firstLine="426"/>
        <w:jc w:val="both"/>
        <w:rPr>
          <w:rFonts w:ascii="Century Gothic" w:hAnsi="Century Gothic"/>
          <w:sz w:val="18"/>
          <w:szCs w:val="18"/>
          <w:lang w:val="nb-NO" w:eastAsia="id-ID"/>
        </w:rPr>
      </w:pPr>
      <w:r>
        <w:rPr>
          <w:rFonts w:ascii="Century Gothic" w:hAnsi="Century Gothic"/>
          <w:sz w:val="18"/>
          <w:szCs w:val="18"/>
          <w:lang w:val="id-ID" w:eastAsia="id-ID"/>
        </w:rPr>
        <w:t xml:space="preserve">Peningkatan literasi industri halal juga berperan penting dalam menumbuhkan kesadaran masyarakat akan gaya hidup halal, sekaligus mendukung perkembangan ekonomi syariah di Indonesia </w:t>
      </w:r>
      <w:r>
        <w:fldChar w:fldCharType="begin"/>
      </w:r>
      <w:r w:rsidRPr="005955D9">
        <w:rPr>
          <w:rFonts w:ascii="Century Gothic" w:hAnsi="Century Gothic"/>
          <w:sz w:val="18"/>
          <w:szCs w:val="18"/>
          <w:lang w:val="id-ID" w:eastAsia="id-ID"/>
        </w:rPr>
        <w:instrText>ADDIN CSL_CITATION {"citationItems":[{"id":"ITEM-1","itemData":{"ISSN":"2963-9794","abstract":"The purpose of this study is to determine the Halal Ecosystem and Halal Literacy in the development of Sharia Economic Halal Regulations. This study explains the halal ecosystem as a whole and what is included in the halal ecosystem. In addition, it also discusses halal literacy in Indonesia. Halal literacy is very important for all countries to learn to prepare people to face an ever-changing financial system. People will need a more economical understanding to actively participate in a global economy that tends to change. The data analysis method in this research uses qualitative-descriptive analysis. Qualitative research is carried out to build knowledge through understanding and discovery, so it is expected to reveal a variety of information that is thorough and full of meaning, but also does not reject quantitative information in the form of numbers. The results of this study are that the ecosystem needed in improving the halal industry refers to the supply, demand and enabler approaches. From the supply aspect, the existence of the Indonesian halal industry sector (food, tourism, fashion, medicine, media and renewable energy) has prepared various products that can be consumed by the public with a halal label. Government support provided, both as regulators, executors and evaluators, is needed as an enabler component in the halal industry ecosystem. Products from the halal industry itself are experiencing quite rapid development, the halal food and beverage sector, the financial sector, tourism, fashion, cosmetics and medicines, media and entertainment, as well as other sectors such as health care and education.","author":[{"dropping-particle":"","family":"Krisna","given":"Robi","non-dropping-particle":"","parse-names":false,"suffix":""},{"dropping-particle":"","family":"Yusuf","given":"Mohammad","non-dropping-particle":"","parse-names":false,"suffix":""},{"dropping-particle":"","family":"Putra","given":"Eka","non-dropping-particle":"","parse-names":false,"suffix":""}],"container-title":"The 1st Proceeding of The International Conference on Business and Economics","id":"ITEM-1","issue":"1","issued":{"date-parts":[["2023"]]},"page":"318-336","title":"Analysis of the Halal Ecosystem and Halal Literacy on the Development of Islamic Economic Halal Regulation","type":"article-journal","volume":"1"},"uris":["http://www.mendeley.com/documents/?uuid=7b13c954-5b4a-4826-a8fc-43b57f8b58d8"]},{"id":"ITEM-2","itemData":{"DOI":"10.30659/ijibe.5.1.47-59","ISSN":"2502-0633","abstract":"The purpose of this study is to realize the opportunities of Halal industry exploring the driving factors of this fastest growing industry in the world. The global Halal industry as a whole is estimated</w:instrText>
      </w:r>
      <w:r>
        <w:rPr>
          <w:rFonts w:ascii="Century Gothic" w:hAnsi="Century Gothic"/>
          <w:sz w:val="18"/>
          <w:szCs w:val="18"/>
          <w:lang w:val="nb-NO" w:eastAsia="id-ID"/>
        </w:rPr>
        <w:instrText xml:space="preserve"> to worth around USD2.3 trillion (excluding Islamic finance) a year, is now one of the fastest growing markets. Simultaneously, the global market growth is estimated to reach at an annual rate of 20 percent per annum. Such expansion of the industry is because the global halal market of 2.18 billion Muslims is no longer confined Muslims only. Similarly, the Halal industry is no longer confined to food and food-related products, but rather to include pharmaceuticals, cosmetics, health products, toiletries and medical devices as well as service sector components such as logistics, marketing, print and electronic media, packaging, branding, and financing. This paper attempts to examine the current realities of the global halal industry by observing the factors determining such increasing demand for Halal industry in addition to the opportunities that are offered from on recent global development in the market.� According to the Islamic rules and regulations the word halal is rooted from an Arabic word which means �permissible� or �lawful�. The concept of halal is not bound to food-related items only but to multiple other aspects such as products, which can be further categorized into various groups, for instance, cosmetics, self-care, health, tourism and services. A global survey discovered that the Muslims spend on food, beverages and lifestyles amounting to USD$2 trillion in 2016. Moreover, the global Muslim market spends on travel reaching USD$169 billion in 2016 and expected to increase to USD$283 billion in 2022. Meanwhile, the Muslim average per capita income (GDP) has risen from USD$1763 to USD$6530 from 1993 to 2010. To achieve the objectives of the study, a methodology of analyzing secondary data was adopted in this paper. The sources of all secondary data and information were extensive literature review, library search, a number of different websites, online journal publications, conference proceedings, thesis, different institutional reports and publications. The findings show that there are three major factors driving the rapidly growing global halal market. First, sizable and growing Muslim population at 1.8 per cent per annum, Second, growing economic development and hence increasing purchasing power among the Muslim. Lastly, emergence of the po…","author":[{"dropping-particle":"","family":"Azam","given":"Md Siddique E","non-dropping-particle":"","parse-names":false,"suffix":""},{"dropping-particle":"","family":"ABDULLAH","given":"MOHA ASRI","non-dropping-particle":"","parse-names":false,"suffix":""}],"container-title":"International Journal of Islamic Business Ethics","id":"ITEM-2","issue":"1","issued":{"date-parts":[["2020"]]},"page":"47","title":"Global Halal Industry: Realities and Opportunities","type":"article-journal","volume":"5"},"uris":["http://www.mendeley.com/documents/?uuid=4883894d-fbfe-4ca9-82dc-b64d136e4b3f"]},{"id":"ITEM-3","itemData":{"ISSN":"15112802","abstract":"Indonesia is a nation with religious majority of Islamic population. According to Statistics Indonesia (2017), 87.2% from the total of resident of religious Indonesia are Islam or 12.9% from the total of Muslim in World, it means the number of Muslim in Indonesia is the highest of nations in World with number reaching 202.9 million people. The data open the opportunity for tourism. Present condition is now indicating that Indonesia is a nation with number of populations of world largest Muslim. The problem finds to Indonesian Muslim’s that halal is unconsciously required as it is globally required. That’s way many of Indonesian people considered that’s halal is already usual in their daily life. This condition under positive perception all products is already halal. in other way many products of circulating foods and beverages in Indonesia not with halal label. The three mentioned facts are one of its slow cause awareness of public the legitimacy of halal products in Indonesia. Whereas, this is the obligation of producer or company to register its product to protect the consumer of non-halal product. While foreign tourist of Muslim over the world had formed segment of potential market, because of their special pattern in consuming the lawful product. Research used the approach of mixed of method because combination between quantitative and qualitative approach will produce the better understanding. Approach mixed of methods of researches aim to overcome the weaknesses of the quantitative approach and the qualitative approaches. Specifically, reason of researcher uses the approach of mixed of methods in this research, because it produces a number of recommendations as an effort of improvement of planning for development of behavior of Muslim of urban in consuming the halal product. Besides plan of act that is suggested as result of research in the form of responsibility to protect and guarantee of lawful food for Muslim community. However, nowadays these conditions begin to change Indonesian Muslim start to bring halal even in their daily lifestyle.","author":[{"dropping-particle":"","family":"Nirwandar","given":"Sapta","non-dropping-particle":"","parse-names":false,"suffix":""}],"container-title":"Malaysian Journal of Consumer and Family Economics","id":"ITEM-3","issue":"Special Issue 2","issued":{"date-parts":[["2018"]]},"page":"144-152","title":"Halal lifestyle industry, high growth and attractive investment in Indonesia","type":"article-journal","volume":"22"},"uris":["http://www.mendeley.com/documents/?uuid=baa25a48-6ac3-44b4-abb2-51cb405705be"]}],"mendeley":{"formattedCitation":"(Azam &amp; ABDULLAH, 2020; Krisna et al., 2023; Nirwandar, 2018)","plainTextFormattedCitation":"(Azam &amp; ABDULLAH, 2020; Krisna et al., 2023; Nirwandar, 2018)","previouslyFormattedCitation":"(Azam &amp; ABDULLAH, 2020; Krisna et al., 2023; Nirwandar, 2018)"},"properties":{"noteIndex":0},"schema":"https://github.com/citation-style-language/schema/raw/master/csl-citation.json"}</w:instrText>
      </w:r>
      <w:r>
        <w:fldChar w:fldCharType="separate"/>
      </w:r>
      <w:r>
        <w:rPr>
          <w:rFonts w:ascii="Century Gothic" w:hAnsi="Century Gothic"/>
          <w:sz w:val="18"/>
          <w:szCs w:val="18"/>
          <w:lang w:val="nb-NO" w:eastAsia="id-ID"/>
        </w:rPr>
        <w:t>(Azam &amp; ABDULLAH, 2020; Krisna et al., 2023; Nirwandar, 2018)</w:t>
      </w:r>
      <w:r>
        <w:rPr>
          <w:rFonts w:ascii="Century Gothic" w:hAnsi="Century Gothic"/>
          <w:sz w:val="18"/>
          <w:szCs w:val="18"/>
          <w:lang w:val="nb-NO" w:eastAsia="id-ID"/>
        </w:rPr>
        <w:fldChar w:fldCharType="end"/>
      </w:r>
      <w:r>
        <w:rPr>
          <w:rFonts w:ascii="Century Gothic" w:hAnsi="Century Gothic"/>
          <w:sz w:val="18"/>
          <w:szCs w:val="18"/>
          <w:lang w:val="nb-NO" w:eastAsia="id-ID"/>
        </w:rPr>
        <w:t xml:space="preserve">. Langkah ini selaras dengan visi Indonesia dalam </w:t>
      </w:r>
      <w:r>
        <w:rPr>
          <w:rFonts w:ascii="Century Gothic" w:hAnsi="Century Gothic"/>
          <w:i/>
          <w:iCs/>
          <w:sz w:val="18"/>
          <w:szCs w:val="18"/>
          <w:lang w:val="nb-NO" w:eastAsia="id-ID"/>
        </w:rPr>
        <w:t>Master Plan Industri Halal Indonesia 2023-2029</w:t>
      </w:r>
      <w:r>
        <w:rPr>
          <w:rFonts w:ascii="Century Gothic" w:hAnsi="Century Gothic"/>
          <w:sz w:val="18"/>
          <w:szCs w:val="18"/>
          <w:lang w:val="nb-NO" w:eastAsia="id-ID"/>
        </w:rPr>
        <w:t xml:space="preserve">, yaitu menjadikan Indonesia sebagai pusat industri halal dunia </w:t>
      </w:r>
      <w:r>
        <w:fldChar w:fldCharType="begin"/>
      </w:r>
      <w:r>
        <w:rPr>
          <w:rFonts w:ascii="Century Gothic" w:hAnsi="Century Gothic"/>
          <w:sz w:val="18"/>
          <w:szCs w:val="18"/>
          <w:lang w:val="nb-NO" w:eastAsia="id-ID"/>
        </w:rPr>
        <w:instrText>ADDIN CSL_CITATION {"citationItems":[{"id":"ITEM-1","itemData":{"author":[{"dropping-particle":"","family":"Komite Nasional Ekonomi dan Keuangan Syariah","given":"","non-dropping-particle":"","parse-names":false,"suffix":""}],"id":"ITEM-1","issued":{"date-parts":[["2023"]]},"number-of-pages":"14","publisher-place":"Jakarta","title":"Master Plan Industri Halal Indonesia 2023-2024","type":"report"},"uris":["http://www.mendeley.com/documents/?uuid=b1835a5a-1ce0-4d7f-b00a-855d4659bda9"]}],"mendeley":{"formattedCitation":"(Komite Nasional Ekonomi dan Keuangan Syariah, 2023)","plainTextFormattedCitation":"(Komite Nasional Ekonomi dan Keuangan Syariah, 2023)","previouslyFormattedCitation":"(Komite Nasional Ekonomi dan Keuangan Syariah, 2023)"},"properties":{"noteIndex":0},"schema":"https://github.com/citation-style-language/schema/raw/master/csl-citation.json"}</w:instrText>
      </w:r>
      <w:r>
        <w:fldChar w:fldCharType="separate"/>
      </w:r>
      <w:r>
        <w:rPr>
          <w:rFonts w:ascii="Century Gothic" w:hAnsi="Century Gothic"/>
          <w:sz w:val="18"/>
          <w:szCs w:val="18"/>
          <w:lang w:val="nb-NO" w:eastAsia="id-ID"/>
        </w:rPr>
        <w:t>(Komite Nasional Ekonomi dan Keuangan Syariah, 2023)</w:t>
      </w:r>
      <w:r>
        <w:rPr>
          <w:rFonts w:ascii="Century Gothic" w:hAnsi="Century Gothic"/>
          <w:sz w:val="18"/>
          <w:szCs w:val="18"/>
          <w:lang w:val="nb-NO" w:eastAsia="id-ID"/>
        </w:rPr>
        <w:fldChar w:fldCharType="end"/>
      </w:r>
      <w:r>
        <w:rPr>
          <w:rFonts w:ascii="Century Gothic" w:hAnsi="Century Gothic"/>
          <w:sz w:val="18"/>
          <w:szCs w:val="18"/>
          <w:lang w:val="nb-NO" w:eastAsia="id-ID"/>
        </w:rPr>
        <w:t xml:space="preserve">. </w:t>
      </w:r>
    </w:p>
    <w:p w14:paraId="2ABF6D4D" w14:textId="77777777" w:rsidR="00000000" w:rsidRDefault="00000000">
      <w:pPr>
        <w:spacing w:after="200" w:line="276" w:lineRule="auto"/>
        <w:ind w:firstLine="426"/>
        <w:jc w:val="both"/>
        <w:rPr>
          <w:rFonts w:ascii="Century Gothic" w:hAnsi="Century Gothic"/>
          <w:sz w:val="18"/>
          <w:szCs w:val="18"/>
          <w:lang w:val="nb-NO" w:eastAsia="id-ID"/>
        </w:rPr>
      </w:pPr>
      <w:r>
        <w:rPr>
          <w:rFonts w:ascii="Century Gothic" w:hAnsi="Century Gothic"/>
          <w:sz w:val="18"/>
          <w:szCs w:val="18"/>
          <w:lang w:val="nb-NO" w:eastAsia="id-ID"/>
        </w:rPr>
        <w:t xml:space="preserve">Literasi industri halal yang memadai bukan hanya menjadi kebutuhan individual, tetapi juga merupakan elemen penting dalam membangun ekosistem halal yang berkelanjutan di Indonesia </w:t>
      </w:r>
      <w:r>
        <w:fldChar w:fldCharType="begin"/>
      </w:r>
      <w:r>
        <w:rPr>
          <w:rFonts w:ascii="Century Gothic" w:hAnsi="Century Gothic"/>
          <w:sz w:val="18"/>
          <w:szCs w:val="18"/>
          <w:lang w:val="nb-NO" w:eastAsia="id-ID"/>
        </w:rPr>
        <w:instrText>ADDIN CSL_CITATION {"citationItems":[{"id":"ITEM-1","itemData":{"ISSN":"2963-9794","abstract":"The purpose of this study is to determine the Halal Ecosystem and Halal Literacy in the development of Sharia Economic Halal Regulations. This study explains the halal ecosystem as a whole and what is included in the halal ecosystem. In addition, it also discusses halal literacy in Indonesia. Halal literacy is very important for all countries to learn to prepare people to face an ever-changing financial system. People will need a more economical understanding to actively participate in a global economy that tends to change. The data analysis method in this research uses qualitative-descriptive analysis. Qualitative research is carried out to build knowledge through understanding and discovery, so it is expected to reveal a variety of information that is thorough and full of meaning, but also does not reject quantitative information in the form of numbers. The results of this study are that the ecosystem needed in improving the halal industry refers to the supply, demand and enabler approaches. From the supply aspect, the existence of the Indonesian halal industry sector (food, tourism, fashion, medicine, media and renewable energy) has prepared various products that can be consumed by the public with a halal label. Government support provided, both as regulators, executors and evaluators, is needed as an enabler component in the halal industry ecosystem. Products from the halal industry itself are experiencing quite rapid development, the halal food and beverage sector, the financial sector, tourism, fashion, cosmetics and medicines, media and entertainment, as well as other sectors such as health care and education.","author":[{"dropping-particle":"","family":"Krisna","given":"Robi","non-dropping-particle":"","parse-names":false,"suffix":""},{"dropping-particle":"","family":"Yusuf","given":"Mohammad","non-dropping-particle":"","parse-names":false,"suffix":""},{"dropping-particle":"","family":"Putra","given":"Eka","non-dropping-particle":"","parse-names":false,"suffix":""}],"container-title":"The 1st Proceeding of The International Conference on Business and Economics","id":"ITEM-1","issue":"1","issued":{"date-parts":[["2023"]]},"page":"318-336","title":"Analysis of the Halal Ecosystem and Halal Literacy on the Development of Islamic Economic Halal Regulation","type":"article-journal","volume":"1"},"uris":["http://www.mendeley.com/documents/?uuid=7b13c954-5b4a-4826-a8fc-43b57f8b58d8"]}],"mendeley":{"formattedCitation":"(Krisna et al., 2023)","plainTextFormattedCitation":"(Krisna et al., 2023)","previouslyFormattedCitation":"(Krisna et al., 2023)"},"properties":{"noteIndex":0},"schema":"https://github.com/citation-style-language/schema/raw/master/csl-citation.json"}</w:instrText>
      </w:r>
      <w:r>
        <w:fldChar w:fldCharType="separate"/>
      </w:r>
      <w:r>
        <w:rPr>
          <w:rFonts w:ascii="Century Gothic" w:hAnsi="Century Gothic"/>
          <w:sz w:val="18"/>
          <w:szCs w:val="18"/>
          <w:lang w:val="nb-NO" w:eastAsia="id-ID"/>
        </w:rPr>
        <w:t>(Krisna et al., 2023)</w:t>
      </w:r>
      <w:r>
        <w:rPr>
          <w:rFonts w:ascii="Century Gothic" w:hAnsi="Century Gothic"/>
          <w:sz w:val="18"/>
          <w:szCs w:val="18"/>
          <w:lang w:val="nb-NO" w:eastAsia="id-ID"/>
        </w:rPr>
        <w:fldChar w:fldCharType="end"/>
      </w:r>
      <w:r>
        <w:rPr>
          <w:rFonts w:ascii="Century Gothic" w:hAnsi="Century Gothic"/>
          <w:sz w:val="18"/>
          <w:szCs w:val="18"/>
          <w:lang w:val="nb-NO" w:eastAsia="id-ID"/>
        </w:rPr>
        <w:t xml:space="preserve">. Untuk mencapai tujuan tersebut, diperlukan pendekatan yang dapat menjangkau komunitas Muslim secara luas, dengan mempertimbangkan aksesibilitas, keberlanjutan, dan efektivitas </w:t>
      </w:r>
      <w:r>
        <w:fldChar w:fldCharType="begin"/>
      </w:r>
      <w:r>
        <w:rPr>
          <w:rFonts w:ascii="Century Gothic" w:hAnsi="Century Gothic"/>
          <w:sz w:val="18"/>
          <w:szCs w:val="18"/>
          <w:lang w:val="nb-NO" w:eastAsia="id-ID"/>
        </w:rPr>
        <w:instrText>ADDIN CSL_CITATION {"citationItems":[{"id":"ITEM-1","itemData":{"abstract":"Since agency theory was founded in 1970 by accountancy experts in the United States, the reliability of accountancy role as information media for people outside company was questioned. Agency theory explaining risk problem between prinsipals and agents resulted from cooperation between prinsipals and agents frequently discusses the role of accounting information as relating media between both sides. The insight discrepancy between prinsipals and agents and the information difference of agents make agents often report invalid asymmetric information to earn expected advantages. This moral hazard urges the prinsipals to implement controlling system to watch management behaviors as amanah holders.","author":[{"dropping-particle":"","family":"Anggraeni","given":"Mariska Dewi","non-dropping-particle":"","parse-names":false,"suffix":""}],"container-title":"Jhi","id":"ITEM-1","issued":{"date-parts":[["2011"]]},"page":"1-13","title":"Agency Theory Dalam Persperktif Islam Oleh: Mariska Dewi Anggraeni Jurusan Syariah STAIN Pekalongan","type":"article-journal","volume":"9"},"uris":["http://www.mendeley.com/documents/?uuid=dc5dca5c-e5d3-4156-8f9f-c4402b46ea1a"]}],"mendeley":{"formattedCitation":"(Anggraeni, 2011)","plainTextFormattedCitation":"(Anggraeni, 2011)","previouslyFormattedCitation":"(Anggraeni, 2011)"},"properties":{"noteIndex":0},"schema":"https://github.com/citation-style-language/schema/raw/master/csl-citation.json"}</w:instrText>
      </w:r>
      <w:r>
        <w:fldChar w:fldCharType="separate"/>
      </w:r>
      <w:r>
        <w:rPr>
          <w:rFonts w:ascii="Century Gothic" w:hAnsi="Century Gothic"/>
          <w:sz w:val="18"/>
          <w:szCs w:val="18"/>
          <w:lang w:val="nb-NO" w:eastAsia="id-ID"/>
        </w:rPr>
        <w:t>(Anggraeni, 2011)</w:t>
      </w:r>
      <w:r>
        <w:rPr>
          <w:rFonts w:ascii="Century Gothic" w:hAnsi="Century Gothic"/>
          <w:sz w:val="18"/>
          <w:szCs w:val="18"/>
          <w:lang w:val="nb-NO" w:eastAsia="id-ID"/>
        </w:rPr>
        <w:fldChar w:fldCharType="end"/>
      </w:r>
      <w:r>
        <w:rPr>
          <w:rFonts w:ascii="Century Gothic" w:hAnsi="Century Gothic"/>
          <w:sz w:val="18"/>
          <w:szCs w:val="18"/>
          <w:lang w:val="nb-NO" w:eastAsia="id-ID"/>
        </w:rPr>
        <w:t xml:space="preserve">. Salah satu langkah strategis yang dapat dilakukan adalah memanfaatkan masjid sebagai pusat edukasi dan penyebaran informasi, mengingat peranannya yang sentral dalam kehidupan masyarakat Muslim </w:t>
      </w:r>
      <w:r>
        <w:fldChar w:fldCharType="begin"/>
      </w:r>
      <w:r>
        <w:rPr>
          <w:rFonts w:ascii="Century Gothic" w:hAnsi="Century Gothic"/>
          <w:sz w:val="18"/>
          <w:szCs w:val="18"/>
          <w:lang w:val="nb-NO" w:eastAsia="id-ID"/>
        </w:rPr>
        <w:instrText>ADDIN CSL_CITATION {"citationItems":[{"id":"ITEM-1","itemData":{"author":[{"dropping-particle":"","family":"Hidayat","given":"Awaluddin","non-dropping-particle":"","parse-names":false,"suffix":""},{"dropping-particle":"","family":"Al-aziz","given":"Muhammad Alif","non-dropping-particle":"","parse-names":false,"suffix":""},{"dropping-particle":"","family":"Imyansah","given":"Mega Utami","non-dropping-particle":"","parse-names":false,"suffix":""}],"container-title":"Moral: Jurnal Kajian Pendidikan Islam","id":"ITEM-1","issue":"4","issued":{"date-parts":[["2024"]]},"page":"51-60","title":"Masjid sebagai Sentral Komunikasi Sosial dalam Penyebaran Informasi untuk Mendukung Pembangunan Masyarakat Islam","type":"article-journal","volume":"1"},"uris":["http://www.mendeley.com/documents/?uuid=fd0de8df-4a21-4c0f-923c-1be665fc72a3"]},{"id":"ITEM-2","itemData":{"DOI":"10.21111/klm.v19i1.6370","ISSN":"1412-9590","abstract":"This study aims to describe descriptively the efforts of the Masjid Jenderal Sudirman (MJS) takmir in providing an open literacy space for the community, starting with the Ngaji Filsafat, which is a mosque recitation activity. Philosophy is the object of this research, namely the recitation that has been held since 2013 with philosophical themes that are rarely performed by other mosques in Yogyakarta. This study took informants from parties involved in literacy activities at the Masjid Jenderal Sudirman, such as actors and initiators of Ngaji Filsafat, mosque takmirs, and contributors who participated in the MJS literacy community (MJS Project). The method used in this research is qualitative-descriptive, with in-depth interview data collection techniques and related literature studies. In this study, the theoretical framework proposed by Jürgen Habermas is used, namely the theory of communicative action. This theory serves to explain how MJS was able to form a mosque-based literacy space through the efforts made by MJS Takmir. The researcher concluded that literacy activities at the Jenderal Sudirman Mosque originated from the Ngaji Filsafat. The analysis of the researchers' findings was based on the formation of several other activities at the Jenderal Sudirman Mosque, such as Mosque Literacy (Writing Training Class), MJS Channel, Literacy Community (MJS Project), a printing agency (MJS Press) and the Friday Bulletin.","author":[{"dropping-particle":"","family":"Nugraha","given":"Dwi Adhe","non-dropping-particle":"","parse-names":false,"suffix":""},{"dropping-particle":"","family":"Sunartiningsih","given":"Agnes","non-dropping-particle":"","parse-names":false,"suffix":""}],"container-title":"Kalimah: Jurnal Studi Agama dan Pemikiran Islam","id":"ITEM-2","issue":"1","issued":{"date-parts":[["2021"]]},"page":"139","title":"Masjid Sebagai Ruang Literasi (Studi Kasus Masjid Jenderal Sudirman Colombo, Sleman, Yogyakarta)","type":"article-journal","volume":"19"},"uris":["http://www.mendeley.com/documents/?uuid=d24e450f-e9f4-4d03-9ba7-9be028d8200e"]},{"id":"ITEM-3","itemData":{"author":[{"dropping-particle":"","family":"Abbas","given":"Altaf Kayum Ibrahim","non-dropping-particle":"","parse-names":false,"suffix":""}],"id":"ITEM-3","issued":{"date-parts":[["2019"]]},"publisher":"Hamad bin Khalifa University","title":"The Role of the Mosque as Community Center: A Social Sustainable Approach","type":"thesis"},"uris":["http://www.mendeley.com/documents/?uuid=a0164320-4918-4068-b033-7e00a3296ca8"]}],"mendeley":{"formattedCitation":"(Abbas, 2019; Hidayat et al., 2024; Nugraha &amp; Sunartiningsih, 2021)","plainTextFormattedCitation":"(Abbas, 2019; Hidayat et al., 2024; Nugraha &amp; Sunartiningsih, 2021)","previouslyFormattedCitation":"(Abbas, 2019; Hidayat et al., 2024; Nugraha &amp; Sunartiningsih, 2021)"},"properties":{"noteIndex":0},"schema":"https://github.com/citation-style-language/schema/raw/master/csl-citation.json"}</w:instrText>
      </w:r>
      <w:r>
        <w:fldChar w:fldCharType="separate"/>
      </w:r>
      <w:r>
        <w:rPr>
          <w:rFonts w:ascii="Century Gothic" w:hAnsi="Century Gothic"/>
          <w:sz w:val="18"/>
          <w:szCs w:val="18"/>
          <w:lang w:val="nb-NO" w:eastAsia="id-ID"/>
        </w:rPr>
        <w:t>(Abbas, 2019; Hidayat et al., 2024; Nugraha &amp; Sunartiningsih, 2021)</w:t>
      </w:r>
      <w:r>
        <w:rPr>
          <w:rFonts w:ascii="Century Gothic" w:hAnsi="Century Gothic"/>
          <w:sz w:val="18"/>
          <w:szCs w:val="18"/>
          <w:lang w:val="nb-NO" w:eastAsia="id-ID"/>
        </w:rPr>
        <w:fldChar w:fldCharType="end"/>
      </w:r>
      <w:r>
        <w:rPr>
          <w:rFonts w:ascii="Century Gothic" w:hAnsi="Century Gothic"/>
          <w:sz w:val="18"/>
          <w:szCs w:val="18"/>
          <w:lang w:val="nb-NO" w:eastAsia="id-ID"/>
        </w:rPr>
        <w:t xml:space="preserve">. </w:t>
      </w:r>
    </w:p>
    <w:p w14:paraId="0CD0DB19" w14:textId="77777777" w:rsidR="00000000" w:rsidRDefault="00000000">
      <w:pPr>
        <w:spacing w:after="200" w:line="276" w:lineRule="auto"/>
        <w:ind w:firstLine="426"/>
        <w:jc w:val="both"/>
        <w:rPr>
          <w:rFonts w:ascii="Century Gothic" w:hAnsi="Century Gothic"/>
          <w:sz w:val="18"/>
          <w:szCs w:val="18"/>
          <w:lang w:val="nb-NO" w:eastAsia="id-ID"/>
        </w:rPr>
      </w:pPr>
      <w:r>
        <w:rPr>
          <w:rFonts w:ascii="Century Gothic" w:hAnsi="Century Gothic"/>
          <w:sz w:val="18"/>
          <w:szCs w:val="18"/>
          <w:lang w:val="nb-NO" w:eastAsia="id-ID"/>
        </w:rPr>
        <w:t xml:space="preserve">Pemanfaatan masjid sebagai pusat kegiatan masyarakat merupakan langkah strategis dalam mendukung peningkatan literasi industri halal </w:t>
      </w:r>
      <w:r>
        <w:fldChar w:fldCharType="begin"/>
      </w:r>
      <w:r>
        <w:rPr>
          <w:rFonts w:ascii="Century Gothic" w:hAnsi="Century Gothic"/>
          <w:sz w:val="18"/>
          <w:szCs w:val="18"/>
          <w:lang w:val="nb-NO" w:eastAsia="id-ID"/>
        </w:rPr>
        <w:instrText>ADDIN CSL_CITATION {"citationItems":[{"id":"ITEM-1","itemData":{"author":[{"dropping-particle":"","family":"Abbas","given":"Altaf Kayum Ibrahim","non-dropping-particle":"","parse-names":false,"suffix":""}],"id":"ITEM-1","issued":{"date-parts":[["2019"]]},"publisher":"Hamad bin Khalifa University","title":"The Role of the Mosque as Community Center: A Social Sustainable Approach","type":"thesis"},"uris":["http://www.mendeley.com/documents/?uuid=a0164320-4918-4068-b033-7e00a3296ca8"]}],"mendeley":{"formattedCitation":"(Abbas, 2019)","plainTextFormattedCitation":"(Abbas, 2019)","previouslyFormattedCitation":"(Abbas, 2019)"},"properties":{"noteIndex":0},"schema":"https://github.com/citation-style-language/schema/raw/master/csl-citation.json"}</w:instrText>
      </w:r>
      <w:r>
        <w:fldChar w:fldCharType="separate"/>
      </w:r>
      <w:r>
        <w:rPr>
          <w:rFonts w:ascii="Century Gothic" w:hAnsi="Century Gothic"/>
          <w:sz w:val="18"/>
          <w:szCs w:val="18"/>
          <w:lang w:val="nb-NO" w:eastAsia="id-ID"/>
        </w:rPr>
        <w:t>(Abbas, 2019)</w:t>
      </w:r>
      <w:r>
        <w:rPr>
          <w:rFonts w:ascii="Century Gothic" w:hAnsi="Century Gothic"/>
          <w:sz w:val="18"/>
          <w:szCs w:val="18"/>
          <w:lang w:val="nb-NO" w:eastAsia="id-ID"/>
        </w:rPr>
        <w:fldChar w:fldCharType="end"/>
      </w:r>
      <w:r>
        <w:rPr>
          <w:rFonts w:ascii="Century Gothic" w:hAnsi="Century Gothic"/>
          <w:sz w:val="18"/>
          <w:szCs w:val="18"/>
          <w:lang w:val="nb-NO" w:eastAsia="id-ID"/>
        </w:rPr>
        <w:t>. Masjid memiliki aksesibilitas tinggi bagi masyarakat Muslim. Dalam hal ini, Masjid Al-Fauzien yang berlokasi di Pesona Depok Estate, Depok, merupakan salah satu masjid yang terletak di pusat kota, sehingga memudahkan masyarakat sekitar untuk mengikuti kegiatan tanpa terkendala jarak dan biaya. Masjid ini juga memiliki infrastruktur yang memadai untuk menyelenggarakan kegiatan edukasi, seperti ruang pertemuan, sistem pengeras suara (</w:t>
      </w:r>
      <w:r>
        <w:rPr>
          <w:rFonts w:ascii="Century Gothic" w:hAnsi="Century Gothic"/>
          <w:i/>
          <w:iCs/>
          <w:sz w:val="18"/>
          <w:szCs w:val="18"/>
          <w:lang w:val="nb-NO" w:eastAsia="id-ID"/>
        </w:rPr>
        <w:t>sound system</w:t>
      </w:r>
      <w:r>
        <w:rPr>
          <w:rFonts w:ascii="Century Gothic" w:hAnsi="Century Gothic"/>
          <w:sz w:val="18"/>
          <w:szCs w:val="18"/>
          <w:lang w:val="nb-NO" w:eastAsia="id-ID"/>
        </w:rPr>
        <w:t>), dan fasilitas pendukung lainnya.</w:t>
      </w:r>
    </w:p>
    <w:p w14:paraId="4372036E" w14:textId="77777777" w:rsidR="00000000" w:rsidRDefault="00000000">
      <w:pPr>
        <w:spacing w:after="200" w:line="276" w:lineRule="auto"/>
        <w:ind w:firstLine="426"/>
        <w:jc w:val="both"/>
        <w:rPr>
          <w:rFonts w:ascii="Century Gothic" w:eastAsia="font1282" w:hAnsi="Century Gothic" w:cs="font1282"/>
          <w:b/>
          <w:bCs/>
          <w:kern w:val="2"/>
          <w:sz w:val="18"/>
          <w:szCs w:val="18"/>
          <w:lang w:val="id-ID"/>
        </w:rPr>
      </w:pPr>
      <w:r>
        <w:rPr>
          <w:rFonts w:ascii="Century Gothic" w:hAnsi="Century Gothic"/>
          <w:sz w:val="18"/>
          <w:szCs w:val="18"/>
          <w:lang w:val="nb-NO" w:eastAsia="id-ID"/>
        </w:rPr>
        <w:t xml:space="preserve">Meskipun masjid memiliki potensi besar dalam meningkatkan literasi industri halal, materi dan media informasi mengenai tema ini masih disampaikan secara terbatas. Hal ini disebabkan oleh rendahnya pemahaman para khatib mengenai isu-isu terkait industri halal. Selain itu, kesadaran jamaah masjid akan pentingnya literasi industri halal juga masih rendah </w:t>
      </w:r>
      <w:r>
        <w:fldChar w:fldCharType="begin"/>
      </w:r>
      <w:r>
        <w:rPr>
          <w:rFonts w:ascii="Century Gothic" w:hAnsi="Century Gothic"/>
          <w:sz w:val="18"/>
          <w:szCs w:val="18"/>
          <w:lang w:val="nb-NO" w:eastAsia="id-ID"/>
        </w:rPr>
        <w:instrText>ADDIN CSL_CITATION {"citationItems":[{"id":"ITEM-1","itemData":{"DOI":"10.21098/jimf.v7i2.1328","ISSN":"24606618","abstract":"The objective of this paper is to analyse the role of halal awareness, employing variables that can be both influential (determinant) and influenced (output). The study examines two perspectives, namely those from consumers and business actors. From a consumer perspective, this relates to the influence of halal awareness on the intention to purchase a halal product. Meanwhile, from the perspective of business actors, it considers how halal awareness affects the halal traceability of products. Halal traceability is also analysed from the consumers’ perspective as a moderating variable in the relationship between halal awareness and consumer purchase intentions. Questionnaires were distributed online and data were collected from 176 consumers and 95 entrepreneurs. SEM-PLS was then applied to analyse the data. The results show that halal awareness influences the consumers’ purchase intention and the halal traceability of the business actors. While the consumers’ halal awareness was determined by knowledge and halal certification. In contrast, religiosity has an insignificant influence on the consumers’ halal awareness. Meanwhile, the halal awareness of the business actors was influenced by knowledge, halal certification and religiosity. Halal traceability failed to moderate the relationship between halal awareness and consumer purchase intentions.","author":[{"dropping-particle":"","family":"Jannah","given":"Syayyidah M.","non-dropping-particle":"","parse-names":false,"suffix":""},{"dropping-particle":"","family":"Al-Banna","given":"Hasan","non-dropping-particle":"","parse-names":false,"suffix":""}],"container-title":"Journal of Islamic Monetary Economics and Finance","id":"ITEM-1","issue":"2","issued":{"date-parts":[["2021"]]},"page":"285-316","title":"Halal Awareness and Halal Traceability: Muslim Consumers’ and Entrepreneurs’ Perspectives","type":"article-journal","volume":"7"},"uris":["http://www.mendeley.com/documents/?uuid=64660ca9-b9d6-44bc-ad48-b0e3a883dfca"]}],"mendeley":{"formattedCitation":"(Jannah &amp; Al-Banna, 2021)","plainTextFormattedCitation":"(Jannah &amp; Al-Banna, 2021)","previouslyFormattedCitation":"(Jannah &amp; Al-Banna, 2021)"},"properties":{"noteIndex":0},"schema":"https://github.com/citation-style-language/schema/raw/master/csl-citation.json"}</w:instrText>
      </w:r>
      <w:r>
        <w:fldChar w:fldCharType="separate"/>
      </w:r>
      <w:r>
        <w:rPr>
          <w:rFonts w:ascii="Century Gothic" w:hAnsi="Century Gothic"/>
          <w:sz w:val="18"/>
          <w:szCs w:val="18"/>
          <w:lang w:val="nb-NO" w:eastAsia="id-ID"/>
        </w:rPr>
        <w:t>(Jannah &amp; Al-Banna, 2021)</w:t>
      </w:r>
      <w:r>
        <w:rPr>
          <w:rFonts w:ascii="Century Gothic" w:hAnsi="Century Gothic"/>
          <w:sz w:val="18"/>
          <w:szCs w:val="18"/>
          <w:lang w:val="nb-NO" w:eastAsia="id-ID"/>
        </w:rPr>
        <w:fldChar w:fldCharType="end"/>
      </w:r>
      <w:r>
        <w:rPr>
          <w:rFonts w:ascii="Century Gothic" w:hAnsi="Century Gothic"/>
          <w:sz w:val="18"/>
          <w:szCs w:val="18"/>
          <w:lang w:val="nb-NO" w:eastAsia="id-ID"/>
        </w:rPr>
        <w:t xml:space="preserve">, karena sebagian masyarakat masih menganggap bahwa isu halal hanya terbatas pada makanan dan minuman </w:t>
      </w:r>
      <w:r>
        <w:fldChar w:fldCharType="begin"/>
      </w:r>
      <w:r>
        <w:rPr>
          <w:rFonts w:ascii="Century Gothic" w:hAnsi="Century Gothic"/>
          <w:sz w:val="18"/>
          <w:szCs w:val="18"/>
          <w:lang w:val="nb-NO" w:eastAsia="id-ID"/>
        </w:rPr>
        <w:instrText>ADDIN CSL_CITATION {"citationItems":[{"id":"ITEM-1","itemData":{"DOI":"10.1016/j.sbspro.2014.01.1104","ISSN":"18770428","abstract":"Abstract The concept of halal products or foods is now gaining a worldwide discussion due to its recognition as an alternative benchmark for safety, hygiene and quality assurance of what we consume or drink daily. Thus products or foods that are produced in line with halal prescriptions are readily acceptable by Muslim consumers as well as consumers from other religions. For a Muslim consumer, halal foods and drinks means that the products has met the requirements laid down by the Shariah law whereas for a non-Muslim consumer, it represents the symbol of hygiene, quality and safety product when produced strictly under the Holistic Halal Assurance Management System. Therefore, consumers nowadays are so much concerned and always be aware of what they eat, drink and use. The awareness of the Muslim and non-Muslim consumers describes their perception and cognitive reaction to products or foods in the market. As such, their awareness is an internal state or a visceral feeling by way of sensory perception towards the products/foods they used or consumed. Given the significance role of awareness about halal in the life of Muslims and their obligations to be Shariah compliant; this paper will address the determinants and identify the sources of awareness of Muslim consumers on halal products or foods. It is argued that many things can lead to awareness of halal products or food unfortunately, most of the previous studies only focused on halal certification logo. Many problems are associated with halal logo (labeling) as the only source of awareness for Muslim consumers on halal. This logo is also yet to be empirically proven as well. This paper delves into other sources that can bring about awareness of Muslims on halal products in order to fill the void. Methodologically, the paper utilizes both qualitative and quantitative approaches. Qualitatively, the paper delves into literatures to identify those alternative ways and quantitatively tests them through self-administered survey using Partial Least Square (PLS). The findings show that the religious belief, exposure, certification logo, and health reason are potential sources of Muslim awareness about halal consumption. However, health reason is the most contributing predictor of level of halal awareness. It is hoped that the results from the paper would provide another avenues for government and policy makers to improve their policy decisions and mechanisms of making Muslims in Malaysia to be more aware of ha…","author":[{"dropping-particle":"","family":"Ambali","given":"Abdul Raufu","non-dropping-particle":"","parse-names":false,"suffix":""},{"dropping-particle":"","family":"Bakar","given":"Ahmad Naqiyuddin","non-dropping-particle":"","parse-names":false,"suffix":""}],"container-title":"Procedia - Social and Behavioral Sciences","id":"ITEM-1","issue":"September 2012","issued":{"date-parts":[["2014"]]},"page":"3-25","publisher":"Elsevier B.V.","title":"People's Awareness on Halal Foods and Products: Potential Issues for Policy-makers","type":"article-journal","volume":"121"},"uris":["http://www.mendeley.com/documents/?uuid=83636be3-af49-4fad-be06-7aa1497c1c4c"]}],"mendeley":{"formattedCitation":"(Ambali &amp; Bakar, 2014)","plainTextFormattedCitation":"(Ambali &amp; Bakar, 2014)","previouslyFormattedCitation":"(Ambali &amp; Bakar, 2014)"},"properties":{"noteIndex":0},"schema":"https://github.com/citation-style-language/schema/raw/master/csl-citation.json"}</w:instrText>
      </w:r>
      <w:r>
        <w:fldChar w:fldCharType="separate"/>
      </w:r>
      <w:r>
        <w:rPr>
          <w:rFonts w:ascii="Century Gothic" w:hAnsi="Century Gothic"/>
          <w:sz w:val="18"/>
          <w:szCs w:val="18"/>
          <w:lang w:val="nb-NO" w:eastAsia="id-ID"/>
        </w:rPr>
        <w:t>(Ambali &amp; Bakar, 2014)</w:t>
      </w:r>
      <w:r>
        <w:rPr>
          <w:rFonts w:ascii="Century Gothic" w:hAnsi="Century Gothic"/>
          <w:sz w:val="18"/>
          <w:szCs w:val="18"/>
          <w:lang w:val="nb-NO" w:eastAsia="id-ID"/>
        </w:rPr>
        <w:fldChar w:fldCharType="end"/>
      </w:r>
      <w:r>
        <w:rPr>
          <w:rFonts w:ascii="Century Gothic" w:hAnsi="Century Gothic"/>
          <w:sz w:val="18"/>
          <w:szCs w:val="18"/>
          <w:lang w:val="nb-NO" w:eastAsia="id-ID"/>
        </w:rPr>
        <w:t>. Oleh karena itu, program pengabdian masyarakat ini bertujuan untuk mengatasi permasalahan tersebut dengan meningkatkan literasi industri halal melalui kegiatan sosialisasi yang diselenggarakan di Masjid Al-Fauzien, Pesona Depok Estate.</w:t>
      </w:r>
    </w:p>
    <w:p w14:paraId="07FA7964" w14:textId="77777777" w:rsidR="00000000" w:rsidRDefault="00000000">
      <w:pPr>
        <w:spacing w:after="200" w:line="276" w:lineRule="auto"/>
        <w:jc w:val="both"/>
        <w:rPr>
          <w:rFonts w:ascii="Century Gothic" w:hAnsi="Century Gothic"/>
          <w:sz w:val="18"/>
          <w:szCs w:val="18"/>
          <w:lang w:val="id-ID" w:eastAsia="id-ID"/>
        </w:rPr>
      </w:pPr>
      <w:r>
        <w:rPr>
          <w:rFonts w:ascii="Century Gothic" w:eastAsia="font1282" w:hAnsi="Century Gothic" w:cs="font1282"/>
          <w:b/>
          <w:bCs/>
          <w:kern w:val="2"/>
          <w:sz w:val="18"/>
          <w:szCs w:val="18"/>
          <w:lang w:val="id-ID"/>
        </w:rPr>
        <w:t>METODE PELAKSANAAN</w:t>
      </w:r>
    </w:p>
    <w:p w14:paraId="2F0FB06B" w14:textId="77777777" w:rsidR="00000000" w:rsidRDefault="00000000">
      <w:pPr>
        <w:spacing w:after="200" w:line="276" w:lineRule="auto"/>
        <w:ind w:firstLine="425"/>
        <w:jc w:val="both"/>
        <w:rPr>
          <w:rFonts w:ascii="Century Gothic" w:hAnsi="Century Gothic"/>
          <w:sz w:val="18"/>
          <w:szCs w:val="18"/>
          <w:lang w:val="id-ID" w:eastAsia="id-ID"/>
        </w:rPr>
      </w:pPr>
      <w:r>
        <w:rPr>
          <w:rFonts w:ascii="Century Gothic" w:hAnsi="Century Gothic"/>
          <w:sz w:val="18"/>
          <w:szCs w:val="18"/>
          <w:lang w:val="id-ID" w:eastAsia="id-ID"/>
        </w:rPr>
        <w:t>Berdasarkan permasalahan di atas, tim pengabdian kepada masyarakat (PKM) dari Politeknik Negeri Jakarta (PNJ) melakukan kegiatan sosialisasi peningkatan literasi industri halal di Masjid Al-Fauzien Pesona Depok Estate melalui beberapa tahapan sebagai berikut:</w:t>
      </w:r>
    </w:p>
    <w:p w14:paraId="07EFD077" w14:textId="77777777" w:rsidR="00000000" w:rsidRDefault="00000000">
      <w:pPr>
        <w:pStyle w:val="ListParagraph"/>
        <w:numPr>
          <w:ilvl w:val="0"/>
          <w:numId w:val="2"/>
        </w:numPr>
        <w:spacing w:after="200" w:line="276" w:lineRule="auto"/>
        <w:ind w:left="360"/>
        <w:rPr>
          <w:rFonts w:ascii="Century Gothic" w:hAnsi="Century Gothic"/>
          <w:sz w:val="18"/>
          <w:szCs w:val="18"/>
          <w:lang w:val="id-ID" w:eastAsia="id-ID"/>
        </w:rPr>
      </w:pPr>
      <w:r>
        <w:rPr>
          <w:rFonts w:ascii="Century Gothic" w:hAnsi="Century Gothic"/>
          <w:sz w:val="18"/>
          <w:szCs w:val="18"/>
          <w:lang w:val="id-ID" w:eastAsia="id-ID"/>
        </w:rPr>
        <w:lastRenderedPageBreak/>
        <w:t>Tahap Persiapan</w:t>
      </w:r>
    </w:p>
    <w:p w14:paraId="161D25AC" w14:textId="77777777" w:rsidR="00000000" w:rsidRDefault="00000000">
      <w:pPr>
        <w:pStyle w:val="ListParagraph"/>
        <w:spacing w:after="200" w:line="276" w:lineRule="auto"/>
        <w:ind w:left="360" w:firstLine="0"/>
        <w:rPr>
          <w:rFonts w:ascii="Century Gothic" w:hAnsi="Century Gothic"/>
          <w:sz w:val="18"/>
          <w:szCs w:val="18"/>
          <w:lang w:val="id-ID" w:eastAsia="id-ID"/>
        </w:rPr>
      </w:pPr>
      <w:r>
        <w:rPr>
          <w:rFonts w:ascii="Century Gothic" w:hAnsi="Century Gothic"/>
          <w:sz w:val="18"/>
          <w:szCs w:val="18"/>
          <w:lang w:val="id-ID" w:eastAsia="id-ID"/>
        </w:rPr>
        <w:t>Tahapan persiapan dimulai dengan melakukan koordinasi bersama Dewan Kemakmuran Masjid (DKM) Al-Fauzien untuk menentukan jadwal kegiatan, menyiapkan tempat dan fasilitas yang dibutuhkan, serta menyosialisasikan kegiatan kepada jamaah. Selanjutnya, tim PKM Politeknik Negeri Jakarta (PNJ) menetapkan narasumber yang kompeten di bidang industri halal dan menyiapkan perlengkapan pendukung, seperti laptop, proyektor, dan sistem pengeras suara (</w:t>
      </w:r>
      <w:r>
        <w:rPr>
          <w:rFonts w:ascii="Century Gothic" w:hAnsi="Century Gothic"/>
          <w:i/>
          <w:iCs/>
          <w:sz w:val="18"/>
          <w:szCs w:val="18"/>
          <w:lang w:val="id-ID" w:eastAsia="id-ID"/>
        </w:rPr>
        <w:t>sound system</w:t>
      </w:r>
      <w:r>
        <w:rPr>
          <w:rFonts w:ascii="Century Gothic" w:hAnsi="Century Gothic"/>
          <w:sz w:val="18"/>
          <w:szCs w:val="18"/>
          <w:lang w:val="id-ID" w:eastAsia="id-ID"/>
        </w:rPr>
        <w:t>).</w:t>
      </w:r>
    </w:p>
    <w:p w14:paraId="773AF30D" w14:textId="77777777" w:rsidR="00000000" w:rsidRDefault="00000000">
      <w:pPr>
        <w:pStyle w:val="ListParagraph"/>
        <w:spacing w:after="200" w:line="276" w:lineRule="auto"/>
        <w:ind w:left="360" w:firstLine="0"/>
        <w:rPr>
          <w:rFonts w:ascii="Century Gothic" w:hAnsi="Century Gothic"/>
          <w:sz w:val="18"/>
          <w:szCs w:val="18"/>
          <w:lang w:val="id-ID" w:eastAsia="id-ID"/>
        </w:rPr>
      </w:pPr>
    </w:p>
    <w:p w14:paraId="2B8B2313" w14:textId="77777777" w:rsidR="00000000" w:rsidRDefault="00000000">
      <w:pPr>
        <w:pStyle w:val="ListParagraph"/>
        <w:numPr>
          <w:ilvl w:val="0"/>
          <w:numId w:val="2"/>
        </w:numPr>
        <w:spacing w:after="200" w:line="276" w:lineRule="auto"/>
        <w:ind w:left="360"/>
        <w:rPr>
          <w:rFonts w:ascii="Century Gothic" w:hAnsi="Century Gothic"/>
          <w:sz w:val="18"/>
          <w:szCs w:val="18"/>
          <w:lang w:val="id-ID" w:eastAsia="id-ID"/>
        </w:rPr>
      </w:pPr>
      <w:r>
        <w:rPr>
          <w:rFonts w:ascii="Century Gothic" w:hAnsi="Century Gothic"/>
          <w:sz w:val="18"/>
          <w:szCs w:val="18"/>
          <w:lang w:val="id-ID" w:eastAsia="id-ID"/>
        </w:rPr>
        <w:t>Tahap Pelaksanaan</w:t>
      </w:r>
    </w:p>
    <w:p w14:paraId="13CD525E" w14:textId="77777777" w:rsidR="00000000" w:rsidRDefault="00000000">
      <w:pPr>
        <w:pStyle w:val="ListParagraph"/>
        <w:spacing w:after="200" w:line="276" w:lineRule="auto"/>
        <w:ind w:left="360" w:firstLine="0"/>
        <w:rPr>
          <w:rFonts w:ascii="Century Gothic" w:hAnsi="Century Gothic"/>
          <w:sz w:val="18"/>
          <w:szCs w:val="18"/>
          <w:lang w:val="id-ID" w:eastAsia="id-ID"/>
        </w:rPr>
      </w:pPr>
      <w:r>
        <w:rPr>
          <w:rFonts w:ascii="Century Gothic" w:hAnsi="Century Gothic"/>
          <w:sz w:val="18"/>
          <w:szCs w:val="18"/>
          <w:lang w:val="id-ID" w:eastAsia="id-ID"/>
        </w:rPr>
        <w:t xml:space="preserve">Kegiatan diawali dengan pembukaan, kemudian dilanjutkan dengan diskusi interaktif mengenai konsep industri halal, standar dan proses sertifikasi halal, peran masyarakat, serta contoh produk halal. Sesi diskusi kelompok memfasilitasi peserta untuk membahas studi kasus terkait pemilihan produk halal dan mengenali logo halal. </w:t>
      </w:r>
      <w:r>
        <w:rPr>
          <w:rFonts w:ascii="Century Gothic" w:hAnsi="Century Gothic"/>
          <w:sz w:val="18"/>
          <w:szCs w:val="18"/>
          <w:lang w:val="nb-NO" w:eastAsia="id-ID"/>
        </w:rPr>
        <w:t>Selanjutnya, peserta mengikuti simulasi pemilihan produk halal dengan mengamati kemasan dan komposisi produk. Pemahaman peserta dievaluasi melalui pembagian kuesioner. Kegiatan diakhiri dengan penyampaian kesimpulan dan pesan penutup</w:t>
      </w:r>
    </w:p>
    <w:p w14:paraId="46DD980B" w14:textId="77777777" w:rsidR="00000000" w:rsidRDefault="00000000">
      <w:pPr>
        <w:pStyle w:val="ListParagraph"/>
        <w:spacing w:after="200" w:line="276" w:lineRule="auto"/>
        <w:ind w:left="360" w:firstLine="0"/>
        <w:rPr>
          <w:rFonts w:ascii="Century Gothic" w:hAnsi="Century Gothic"/>
          <w:sz w:val="18"/>
          <w:szCs w:val="18"/>
          <w:lang w:val="id-ID" w:eastAsia="id-ID"/>
        </w:rPr>
      </w:pPr>
    </w:p>
    <w:p w14:paraId="3E1ECB2B" w14:textId="77777777" w:rsidR="00000000" w:rsidRDefault="00000000">
      <w:pPr>
        <w:pStyle w:val="ListParagraph"/>
        <w:numPr>
          <w:ilvl w:val="0"/>
          <w:numId w:val="2"/>
        </w:numPr>
        <w:spacing w:after="200" w:line="276" w:lineRule="auto"/>
        <w:ind w:left="360"/>
        <w:rPr>
          <w:rFonts w:ascii="Century Gothic" w:hAnsi="Century Gothic"/>
          <w:sz w:val="18"/>
          <w:szCs w:val="18"/>
          <w:lang w:val="nb-NO" w:eastAsia="id-ID"/>
        </w:rPr>
      </w:pPr>
      <w:r>
        <w:rPr>
          <w:rFonts w:ascii="Century Gothic" w:hAnsi="Century Gothic"/>
          <w:sz w:val="18"/>
          <w:szCs w:val="18"/>
          <w:lang w:val="id-ID" w:eastAsia="id-ID"/>
        </w:rPr>
        <w:t>Tahap Evaluasi dan Tindak Lanjut</w:t>
      </w:r>
    </w:p>
    <w:p w14:paraId="3E64FD0C" w14:textId="77777777" w:rsidR="00000000" w:rsidRDefault="00000000">
      <w:pPr>
        <w:pStyle w:val="ListParagraph"/>
        <w:spacing w:after="200" w:line="276" w:lineRule="auto"/>
        <w:ind w:left="360" w:firstLine="0"/>
        <w:rPr>
          <w:rFonts w:ascii="Century Gothic" w:hAnsi="Century Gothic"/>
          <w:sz w:val="18"/>
          <w:szCs w:val="18"/>
          <w:lang w:val="id-ID"/>
        </w:rPr>
      </w:pPr>
      <w:r>
        <w:rPr>
          <w:rFonts w:ascii="Century Gothic" w:hAnsi="Century Gothic"/>
          <w:sz w:val="18"/>
          <w:szCs w:val="18"/>
          <w:lang w:val="nb-NO" w:eastAsia="id-ID"/>
        </w:rPr>
        <w:t>Setelah kegiatan selesai, dilakukan evaluasi untuk mengukur tingkat keberhasilan dalam meningkatkan literasi industri halal. Evaluasi dilakukan melalui kuesioner yang terdiri dari tiga indikator utama: pengetahuan, sikap, dan kesadaran. Hasil dianalisis menggunakan metode deskriptif kuantitatif untuk menentukan rata-rata dan persentase skor setiap indikator. Hasil evaluasi dan seluruh rangkaian kegiatan dirangkum dalam sebuah laporan. Selanjutnya, direncanakan program tindak lanjut, seperti pembentukan kelompok studi atau pelaksanaan sosialisasi berkala, untuk memastikan keberlanjutan peningkatan literasi industri halal di Masjid Al-Fauzien</w:t>
      </w:r>
    </w:p>
    <w:p w14:paraId="434C99B0" w14:textId="77777777" w:rsidR="00000000" w:rsidRDefault="00000000">
      <w:pPr>
        <w:pStyle w:val="Heading1"/>
        <w:tabs>
          <w:tab w:val="left" w:pos="-3179"/>
          <w:tab w:val="left" w:pos="432"/>
        </w:tabs>
        <w:overflowPunct w:val="0"/>
        <w:spacing w:before="0" w:after="200" w:line="276" w:lineRule="auto"/>
        <w:ind w:left="431" w:hanging="431"/>
        <w:jc w:val="both"/>
        <w:textAlignment w:val="baseline"/>
        <w:rPr>
          <w:rFonts w:ascii="Century Gothic" w:hAnsi="Century Gothic"/>
          <w:sz w:val="18"/>
          <w:szCs w:val="18"/>
          <w:lang w:val="id-ID"/>
        </w:rPr>
      </w:pPr>
      <w:r>
        <w:rPr>
          <w:rFonts w:ascii="Century Gothic" w:hAnsi="Century Gothic"/>
          <w:sz w:val="18"/>
          <w:szCs w:val="18"/>
          <w:lang w:val="id-ID"/>
        </w:rPr>
        <w:t>HASIL PEMBAHASAN</w:t>
      </w:r>
    </w:p>
    <w:p w14:paraId="6CB0D717" w14:textId="77777777" w:rsidR="00000000" w:rsidRDefault="00000000">
      <w:pPr>
        <w:ind w:firstLine="431"/>
        <w:rPr>
          <w:rFonts w:ascii="Century Gothic" w:hAnsi="Century Gothic"/>
          <w:sz w:val="18"/>
          <w:szCs w:val="18"/>
          <w:lang w:val="id-ID"/>
        </w:rPr>
      </w:pPr>
      <w:r>
        <w:rPr>
          <w:rFonts w:ascii="Century Gothic" w:hAnsi="Century Gothic"/>
          <w:sz w:val="18"/>
          <w:szCs w:val="18"/>
          <w:lang w:val="id-ID"/>
        </w:rPr>
        <w:t>Kegiatan PKM yang dilaksanakan di Masjid Al-Fauzien Pesona Depok Estate ini menghasilkan simpulan dari pelaksanaan dan partisipasi tim PKM dan Mitra, antara lain:</w:t>
      </w:r>
    </w:p>
    <w:p w14:paraId="57388B9C" w14:textId="77777777" w:rsidR="00000000" w:rsidRDefault="00000000">
      <w:pPr>
        <w:rPr>
          <w:rFonts w:ascii="Century Gothic" w:hAnsi="Century Gothic"/>
          <w:sz w:val="18"/>
          <w:szCs w:val="18"/>
          <w:lang w:val="id-ID"/>
        </w:rPr>
      </w:pPr>
    </w:p>
    <w:p w14:paraId="2F50BC0F" w14:textId="77777777" w:rsidR="00000000" w:rsidRDefault="00000000">
      <w:pPr>
        <w:rPr>
          <w:rFonts w:ascii="Century Gothic" w:hAnsi="Century Gothic"/>
          <w:sz w:val="18"/>
          <w:szCs w:val="18"/>
          <w:lang w:val="id-ID"/>
        </w:rPr>
      </w:pPr>
      <w:r>
        <w:rPr>
          <w:rFonts w:ascii="Century Gothic" w:hAnsi="Century Gothic"/>
          <w:b/>
          <w:bCs/>
          <w:sz w:val="18"/>
          <w:szCs w:val="18"/>
          <w:lang w:val="id-ID"/>
        </w:rPr>
        <w:t>Pelaksanaan Sosialisasi Literasi Industri Halal</w:t>
      </w:r>
    </w:p>
    <w:p w14:paraId="474B63DD" w14:textId="77777777" w:rsidR="00000000" w:rsidRDefault="00000000" w:rsidP="005955D9">
      <w:pPr>
        <w:ind w:firstLine="450"/>
        <w:jc w:val="both"/>
        <w:rPr>
          <w:rFonts w:ascii="Century Gothic" w:hAnsi="Century Gothic"/>
          <w:sz w:val="18"/>
          <w:szCs w:val="18"/>
          <w:lang w:val="id-ID"/>
        </w:rPr>
      </w:pPr>
      <w:r>
        <w:rPr>
          <w:rFonts w:ascii="Century Gothic" w:hAnsi="Century Gothic"/>
          <w:sz w:val="18"/>
          <w:szCs w:val="18"/>
          <w:lang w:val="id-ID"/>
        </w:rPr>
        <w:t xml:space="preserve">Kegiatan sosialisasi dilaksanakan di ruang pertemuan Masjid Al-Fauzien, Pesona Depok Estate, dengan dihadiri oleh 27 peserta yang terdiri atas para khatib dan jamaah. Acara diawali dengan pembukaan oleh Ketua DKM Masjid Al-Fauzien, kemudian dilanjutkan sambutan oleh Ketua Tim PKM, Bapak Dr. Dede Abdul Fatah, S.H.I., M.Si., yang sekaligus memperkenalkan anggota tim.Sosialisasi dilanjutkan dengan pemaparan materi oleh narasumber, Inas Afifah Zahra, S.E., S.Pd., S.Th.I., M.Si., yang membawakan topik </w:t>
      </w:r>
      <w:r>
        <w:rPr>
          <w:rFonts w:ascii="Century Gothic" w:hAnsi="Century Gothic"/>
          <w:i/>
          <w:iCs/>
          <w:sz w:val="18"/>
          <w:szCs w:val="18"/>
          <w:lang w:val="id-ID"/>
        </w:rPr>
        <w:t>"Industri Halal: Peluang, Tantangan, dan Regulasi"</w:t>
      </w:r>
      <w:r>
        <w:rPr>
          <w:rFonts w:ascii="Century Gothic" w:hAnsi="Century Gothic"/>
          <w:sz w:val="18"/>
          <w:szCs w:val="18"/>
          <w:lang w:val="id-ID"/>
        </w:rPr>
        <w:t>. Materi yang disampaikan diterima dengan baik oleh para peserta. Dokumentasi kegiatan dapat dilihat pada Gambar 1 dan Gambar 2</w:t>
      </w:r>
    </w:p>
    <w:p w14:paraId="3242FC03" w14:textId="77777777" w:rsidR="00000000" w:rsidRDefault="00000000">
      <w:pPr>
        <w:ind w:firstLine="450"/>
        <w:jc w:val="both"/>
        <w:rPr>
          <w:rFonts w:ascii="Century Gothic" w:hAnsi="Century Gothic"/>
          <w:sz w:val="18"/>
          <w:szCs w:val="18"/>
          <w:lang w:val="id-ID"/>
        </w:rPr>
      </w:pPr>
    </w:p>
    <w:p w14:paraId="4ECADA0D" w14:textId="77777777" w:rsidR="005955D9" w:rsidRDefault="005955D9">
      <w:pPr>
        <w:ind w:firstLine="450"/>
        <w:jc w:val="both"/>
        <w:rPr>
          <w:rFonts w:ascii="Century Gothic" w:hAnsi="Century Gothic"/>
          <w:sz w:val="18"/>
          <w:szCs w:val="18"/>
          <w:lang w:val="id-ID"/>
        </w:rPr>
      </w:pPr>
    </w:p>
    <w:p w14:paraId="571C1231" w14:textId="77777777" w:rsidR="005955D9" w:rsidRDefault="005955D9">
      <w:pPr>
        <w:ind w:firstLine="450"/>
        <w:jc w:val="both"/>
        <w:rPr>
          <w:rFonts w:ascii="Century Gothic" w:hAnsi="Century Gothic"/>
          <w:sz w:val="18"/>
          <w:szCs w:val="18"/>
          <w:lang w:val="id-ID"/>
        </w:rPr>
      </w:pPr>
    </w:p>
    <w:p w14:paraId="6AF2CA19" w14:textId="77777777" w:rsidR="005955D9" w:rsidRDefault="005955D9">
      <w:pPr>
        <w:ind w:firstLine="450"/>
        <w:jc w:val="both"/>
        <w:rPr>
          <w:rFonts w:ascii="Century Gothic" w:hAnsi="Century Gothic"/>
          <w:sz w:val="18"/>
          <w:szCs w:val="18"/>
          <w:lang w:val="id-ID"/>
        </w:rPr>
      </w:pPr>
    </w:p>
    <w:p w14:paraId="7F401B49" w14:textId="77777777" w:rsidR="005955D9" w:rsidRDefault="005955D9">
      <w:pPr>
        <w:ind w:firstLine="450"/>
        <w:jc w:val="both"/>
        <w:rPr>
          <w:rFonts w:ascii="Century Gothic" w:hAnsi="Century Gothic"/>
          <w:sz w:val="18"/>
          <w:szCs w:val="18"/>
          <w:lang w:val="id-ID"/>
        </w:rPr>
      </w:pPr>
    </w:p>
    <w:p w14:paraId="5963C99C" w14:textId="77777777" w:rsidR="005955D9" w:rsidRDefault="005955D9">
      <w:pPr>
        <w:ind w:firstLine="450"/>
        <w:jc w:val="both"/>
        <w:rPr>
          <w:rFonts w:ascii="Century Gothic" w:hAnsi="Century Gothic"/>
          <w:sz w:val="18"/>
          <w:szCs w:val="18"/>
          <w:lang w:val="id-ID"/>
        </w:rPr>
      </w:pPr>
    </w:p>
    <w:p w14:paraId="643A5CE2" w14:textId="77777777" w:rsidR="005955D9" w:rsidRDefault="005955D9">
      <w:pPr>
        <w:ind w:firstLine="450"/>
        <w:jc w:val="both"/>
        <w:rPr>
          <w:rFonts w:ascii="Century Gothic" w:hAnsi="Century Gothic"/>
          <w:sz w:val="18"/>
          <w:szCs w:val="18"/>
          <w:lang w:val="id-ID"/>
        </w:rPr>
      </w:pPr>
    </w:p>
    <w:p w14:paraId="2E0A2391" w14:textId="77777777" w:rsidR="005955D9" w:rsidRDefault="005955D9">
      <w:pPr>
        <w:ind w:firstLine="450"/>
        <w:jc w:val="both"/>
        <w:rPr>
          <w:rFonts w:ascii="Century Gothic" w:hAnsi="Century Gothic"/>
          <w:sz w:val="18"/>
          <w:szCs w:val="18"/>
          <w:lang w:val="id-ID"/>
        </w:rPr>
      </w:pPr>
    </w:p>
    <w:p w14:paraId="560346DE" w14:textId="77777777" w:rsidR="005955D9" w:rsidRDefault="005955D9">
      <w:pPr>
        <w:ind w:firstLine="450"/>
        <w:jc w:val="both"/>
        <w:rPr>
          <w:rFonts w:ascii="Century Gothic" w:hAnsi="Century Gothic"/>
          <w:sz w:val="18"/>
          <w:szCs w:val="18"/>
          <w:lang w:val="id-ID"/>
        </w:rPr>
      </w:pPr>
    </w:p>
    <w:p w14:paraId="56C2A0A4" w14:textId="77777777" w:rsidR="005955D9" w:rsidRDefault="005955D9">
      <w:pPr>
        <w:ind w:firstLine="450"/>
        <w:jc w:val="both"/>
        <w:rPr>
          <w:rFonts w:ascii="Century Gothic" w:hAnsi="Century Gothic"/>
          <w:sz w:val="18"/>
          <w:szCs w:val="18"/>
          <w:lang w:val="id-ID"/>
        </w:rPr>
      </w:pPr>
    </w:p>
    <w:p w14:paraId="0399A64C" w14:textId="77777777" w:rsidR="005955D9" w:rsidRDefault="005955D9">
      <w:pPr>
        <w:ind w:firstLine="450"/>
        <w:jc w:val="both"/>
        <w:rPr>
          <w:rFonts w:ascii="Century Gothic" w:hAnsi="Century Gothic"/>
          <w:sz w:val="18"/>
          <w:szCs w:val="18"/>
          <w:lang w:val="id-ID"/>
        </w:rPr>
      </w:pPr>
    </w:p>
    <w:p w14:paraId="388D689C" w14:textId="77777777" w:rsidR="005955D9" w:rsidRDefault="005955D9">
      <w:pPr>
        <w:ind w:firstLine="450"/>
        <w:jc w:val="both"/>
        <w:rPr>
          <w:rFonts w:ascii="Century Gothic" w:hAnsi="Century Gothic"/>
          <w:sz w:val="18"/>
          <w:szCs w:val="18"/>
          <w:lang w:val="id-ID"/>
        </w:rPr>
      </w:pPr>
    </w:p>
    <w:p w14:paraId="23F2E896" w14:textId="77777777" w:rsidR="005955D9" w:rsidRDefault="005955D9">
      <w:pPr>
        <w:ind w:firstLine="450"/>
        <w:jc w:val="both"/>
        <w:rPr>
          <w:rFonts w:ascii="Century Gothic" w:hAnsi="Century Gothic"/>
          <w:sz w:val="18"/>
          <w:szCs w:val="18"/>
          <w:lang w:val="id-ID"/>
        </w:rPr>
      </w:pPr>
    </w:p>
    <w:p w14:paraId="38D19A02" w14:textId="77777777" w:rsidR="005955D9" w:rsidRDefault="005955D9">
      <w:pPr>
        <w:ind w:firstLine="450"/>
        <w:jc w:val="both"/>
        <w:rPr>
          <w:rFonts w:ascii="Century Gothic" w:hAnsi="Century Gothic"/>
          <w:sz w:val="18"/>
          <w:szCs w:val="18"/>
          <w:lang w:val="id-ID"/>
        </w:rPr>
      </w:pPr>
    </w:p>
    <w:p w14:paraId="5C0E1E8F" w14:textId="77777777" w:rsidR="005955D9" w:rsidRDefault="005955D9">
      <w:pPr>
        <w:ind w:firstLine="450"/>
        <w:jc w:val="both"/>
        <w:rPr>
          <w:rFonts w:ascii="Century Gothic" w:hAnsi="Century Gothic"/>
          <w:sz w:val="18"/>
          <w:szCs w:val="18"/>
          <w:lang w:val="id-ID"/>
        </w:rPr>
      </w:pPr>
    </w:p>
    <w:p w14:paraId="24B73A01" w14:textId="77777777" w:rsidR="005955D9" w:rsidRDefault="005955D9">
      <w:pPr>
        <w:ind w:firstLine="450"/>
        <w:jc w:val="both"/>
        <w:rPr>
          <w:rFonts w:ascii="Century Gothic" w:hAnsi="Century Gothic"/>
          <w:sz w:val="18"/>
          <w:szCs w:val="18"/>
          <w:lang w:val="id-ID"/>
        </w:rPr>
      </w:pPr>
    </w:p>
    <w:p w14:paraId="2438FAFA" w14:textId="77777777" w:rsidR="005955D9" w:rsidRDefault="005955D9">
      <w:pPr>
        <w:ind w:firstLine="450"/>
        <w:jc w:val="both"/>
        <w:rPr>
          <w:rFonts w:ascii="Century Gothic" w:hAnsi="Century Gothic"/>
          <w:sz w:val="18"/>
          <w:szCs w:val="18"/>
          <w:lang w:val="id-ID"/>
        </w:rPr>
      </w:pPr>
    </w:p>
    <w:p w14:paraId="39010EA7" w14:textId="77777777" w:rsidR="00000000" w:rsidRDefault="00000000">
      <w:pPr>
        <w:jc w:val="both"/>
        <w:rPr>
          <w:rFonts w:ascii="Century Gothic" w:hAnsi="Century Gothic"/>
          <w:sz w:val="18"/>
          <w:szCs w:val="18"/>
          <w:lang w:val="id-ID"/>
        </w:rPr>
      </w:pPr>
    </w:p>
    <w:p w14:paraId="789C0198" w14:textId="3011F7A3" w:rsidR="00000000" w:rsidRDefault="008F6625">
      <w:pPr>
        <w:jc w:val="both"/>
        <w:rPr>
          <w:rFonts w:ascii="Century Gothic" w:hAnsi="Century Gothic"/>
          <w:b/>
          <w:bCs/>
          <w:sz w:val="18"/>
          <w:szCs w:val="18"/>
          <w:lang w:val="id-ID"/>
        </w:rPr>
      </w:pPr>
      <w:r>
        <w:rPr>
          <w:noProof/>
        </w:rPr>
        <w:drawing>
          <wp:anchor distT="0" distB="0" distL="0" distR="0" simplePos="0" relativeHeight="251656704" behindDoc="0" locked="0" layoutInCell="0" allowOverlap="1" wp14:anchorId="56422DF0" wp14:editId="628554C5">
            <wp:simplePos x="0" y="0"/>
            <wp:positionH relativeFrom="column">
              <wp:posOffset>814070</wp:posOffset>
            </wp:positionH>
            <wp:positionV relativeFrom="paragraph">
              <wp:posOffset>635</wp:posOffset>
            </wp:positionV>
            <wp:extent cx="4189095" cy="2271395"/>
            <wp:effectExtent l="0" t="0" r="0" b="0"/>
            <wp:wrapNone/>
            <wp:docPr id="196569761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89095" cy="2271395"/>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p>
    <w:p w14:paraId="13F617C3" w14:textId="77777777" w:rsidR="00000000" w:rsidRDefault="00000000">
      <w:pPr>
        <w:rPr>
          <w:rFonts w:ascii="Century Gothic" w:hAnsi="Century Gothic"/>
          <w:b/>
          <w:bCs/>
          <w:sz w:val="18"/>
          <w:szCs w:val="18"/>
          <w:lang w:val="id-ID"/>
        </w:rPr>
      </w:pPr>
    </w:p>
    <w:p w14:paraId="62FA4AE9" w14:textId="77777777" w:rsidR="00000000" w:rsidRDefault="00000000">
      <w:pPr>
        <w:rPr>
          <w:rFonts w:ascii="Century Gothic" w:hAnsi="Century Gothic"/>
          <w:b/>
          <w:bCs/>
          <w:sz w:val="18"/>
          <w:szCs w:val="18"/>
          <w:lang w:val="id-ID"/>
        </w:rPr>
      </w:pPr>
    </w:p>
    <w:p w14:paraId="3718B9E4" w14:textId="77777777" w:rsidR="00000000" w:rsidRDefault="00000000">
      <w:pPr>
        <w:rPr>
          <w:rFonts w:ascii="Century Gothic" w:hAnsi="Century Gothic"/>
          <w:b/>
          <w:bCs/>
          <w:sz w:val="18"/>
          <w:szCs w:val="18"/>
          <w:lang w:val="id-ID"/>
        </w:rPr>
      </w:pPr>
    </w:p>
    <w:p w14:paraId="4AA03339" w14:textId="77777777" w:rsidR="00000000" w:rsidRDefault="00000000">
      <w:pPr>
        <w:rPr>
          <w:rFonts w:ascii="Century Gothic" w:hAnsi="Century Gothic"/>
          <w:b/>
          <w:bCs/>
          <w:sz w:val="18"/>
          <w:szCs w:val="18"/>
          <w:lang w:val="id-ID"/>
        </w:rPr>
      </w:pPr>
    </w:p>
    <w:p w14:paraId="7ED9F1E9" w14:textId="77777777" w:rsidR="00000000" w:rsidRDefault="00000000">
      <w:pPr>
        <w:rPr>
          <w:rFonts w:ascii="Century Gothic" w:hAnsi="Century Gothic"/>
          <w:b/>
          <w:bCs/>
          <w:sz w:val="18"/>
          <w:szCs w:val="18"/>
          <w:lang w:val="id-ID"/>
        </w:rPr>
      </w:pPr>
    </w:p>
    <w:p w14:paraId="0A22808B" w14:textId="77777777" w:rsidR="00000000" w:rsidRDefault="00000000">
      <w:pPr>
        <w:rPr>
          <w:rFonts w:ascii="Century Gothic" w:hAnsi="Century Gothic"/>
          <w:b/>
          <w:bCs/>
          <w:sz w:val="18"/>
          <w:szCs w:val="18"/>
          <w:lang w:val="id-ID"/>
        </w:rPr>
      </w:pPr>
    </w:p>
    <w:p w14:paraId="68AA0293" w14:textId="77777777" w:rsidR="00000000" w:rsidRDefault="00000000">
      <w:pPr>
        <w:rPr>
          <w:rFonts w:ascii="Century Gothic" w:hAnsi="Century Gothic"/>
          <w:b/>
          <w:bCs/>
          <w:sz w:val="18"/>
          <w:szCs w:val="18"/>
          <w:lang w:val="id-ID"/>
        </w:rPr>
      </w:pPr>
    </w:p>
    <w:p w14:paraId="5D31B670" w14:textId="77777777" w:rsidR="00000000" w:rsidRDefault="00000000">
      <w:pPr>
        <w:rPr>
          <w:rFonts w:ascii="Century Gothic" w:hAnsi="Century Gothic"/>
          <w:b/>
          <w:bCs/>
          <w:sz w:val="18"/>
          <w:szCs w:val="18"/>
          <w:lang w:val="id-ID"/>
        </w:rPr>
      </w:pPr>
    </w:p>
    <w:p w14:paraId="5730DC40" w14:textId="77777777" w:rsidR="00000000" w:rsidRDefault="00000000">
      <w:pPr>
        <w:rPr>
          <w:rFonts w:ascii="Century Gothic" w:hAnsi="Century Gothic"/>
          <w:b/>
          <w:bCs/>
          <w:sz w:val="18"/>
          <w:szCs w:val="18"/>
          <w:lang w:val="id-ID"/>
        </w:rPr>
      </w:pPr>
    </w:p>
    <w:p w14:paraId="087E5CDE" w14:textId="77777777" w:rsidR="00000000" w:rsidRDefault="00000000">
      <w:pPr>
        <w:rPr>
          <w:rFonts w:ascii="Century Gothic" w:hAnsi="Century Gothic"/>
          <w:b/>
          <w:bCs/>
          <w:sz w:val="18"/>
          <w:szCs w:val="18"/>
          <w:lang w:val="id-ID"/>
        </w:rPr>
      </w:pPr>
    </w:p>
    <w:p w14:paraId="72BD6D6A" w14:textId="77777777" w:rsidR="00000000" w:rsidRDefault="00000000">
      <w:pPr>
        <w:rPr>
          <w:rFonts w:ascii="Century Gothic" w:hAnsi="Century Gothic"/>
          <w:b/>
          <w:bCs/>
          <w:sz w:val="18"/>
          <w:szCs w:val="18"/>
          <w:lang w:val="id-ID"/>
        </w:rPr>
      </w:pPr>
    </w:p>
    <w:p w14:paraId="681B6142" w14:textId="77777777" w:rsidR="00000000" w:rsidRDefault="00000000">
      <w:pPr>
        <w:rPr>
          <w:rFonts w:ascii="Century Gothic" w:hAnsi="Century Gothic"/>
          <w:b/>
          <w:bCs/>
          <w:sz w:val="18"/>
          <w:szCs w:val="18"/>
          <w:lang w:val="id-ID"/>
        </w:rPr>
      </w:pPr>
    </w:p>
    <w:p w14:paraId="7D6F1496" w14:textId="77777777" w:rsidR="00000000" w:rsidRDefault="00000000">
      <w:pPr>
        <w:rPr>
          <w:rFonts w:ascii="Century Gothic" w:hAnsi="Century Gothic"/>
          <w:b/>
          <w:bCs/>
          <w:sz w:val="18"/>
          <w:szCs w:val="18"/>
          <w:lang w:val="id-ID"/>
        </w:rPr>
      </w:pPr>
    </w:p>
    <w:p w14:paraId="2975C91C" w14:textId="77777777" w:rsidR="00000000" w:rsidRDefault="00000000">
      <w:pPr>
        <w:rPr>
          <w:rFonts w:ascii="Century Gothic" w:hAnsi="Century Gothic"/>
          <w:b/>
          <w:bCs/>
          <w:sz w:val="18"/>
          <w:szCs w:val="18"/>
          <w:lang w:val="id-ID"/>
        </w:rPr>
      </w:pPr>
    </w:p>
    <w:p w14:paraId="26B11283" w14:textId="77777777" w:rsidR="00000000" w:rsidRDefault="00000000">
      <w:pPr>
        <w:rPr>
          <w:rFonts w:ascii="Century Gothic" w:hAnsi="Century Gothic"/>
          <w:b/>
          <w:bCs/>
          <w:sz w:val="18"/>
          <w:szCs w:val="18"/>
          <w:lang w:val="id-ID"/>
        </w:rPr>
      </w:pPr>
    </w:p>
    <w:p w14:paraId="721FEF2C" w14:textId="77777777" w:rsidR="00000000" w:rsidRDefault="00000000">
      <w:pPr>
        <w:jc w:val="center"/>
        <w:rPr>
          <w:rFonts w:ascii="Century Gothic" w:hAnsi="Century Gothic"/>
          <w:b/>
          <w:bCs/>
          <w:sz w:val="18"/>
          <w:szCs w:val="18"/>
          <w:lang w:val="id-ID"/>
        </w:rPr>
      </w:pPr>
    </w:p>
    <w:p w14:paraId="4E27650B" w14:textId="77777777" w:rsidR="00000000" w:rsidRDefault="00000000">
      <w:pPr>
        <w:jc w:val="center"/>
        <w:rPr>
          <w:rFonts w:ascii="Century Gothic" w:hAnsi="Century Gothic"/>
          <w:b/>
          <w:bCs/>
          <w:sz w:val="18"/>
          <w:szCs w:val="18"/>
          <w:lang w:val="id-ID"/>
        </w:rPr>
      </w:pPr>
      <w:r>
        <w:rPr>
          <w:rFonts w:ascii="Century Gothic" w:hAnsi="Century Gothic"/>
          <w:b/>
          <w:bCs/>
          <w:sz w:val="18"/>
          <w:szCs w:val="18"/>
          <w:lang w:val="id-ID"/>
        </w:rPr>
        <w:t>Gambar 1. Sambutan dari Ketua PKM</w:t>
      </w:r>
    </w:p>
    <w:p w14:paraId="585C2CCA" w14:textId="77777777" w:rsidR="005955D9" w:rsidRDefault="005955D9">
      <w:pPr>
        <w:jc w:val="center"/>
        <w:rPr>
          <w:rFonts w:ascii="Century Gothic" w:hAnsi="Century Gothic"/>
          <w:b/>
          <w:bCs/>
          <w:sz w:val="18"/>
          <w:szCs w:val="18"/>
          <w:lang w:val="id-ID"/>
        </w:rPr>
      </w:pPr>
    </w:p>
    <w:p w14:paraId="632F1A65" w14:textId="2AEA4E19" w:rsidR="00000000" w:rsidRDefault="008F6625">
      <w:pPr>
        <w:jc w:val="center"/>
        <w:rPr>
          <w:rFonts w:ascii="Century Gothic" w:hAnsi="Century Gothic"/>
          <w:b/>
          <w:bCs/>
          <w:sz w:val="18"/>
          <w:szCs w:val="18"/>
          <w:lang w:val="id-ID"/>
        </w:rPr>
      </w:pPr>
      <w:r>
        <w:rPr>
          <w:noProof/>
        </w:rPr>
        <w:drawing>
          <wp:anchor distT="0" distB="0" distL="0" distR="0" simplePos="0" relativeHeight="251655680" behindDoc="0" locked="0" layoutInCell="0" allowOverlap="1" wp14:anchorId="43E931E5" wp14:editId="1913E2A3">
            <wp:simplePos x="0" y="0"/>
            <wp:positionH relativeFrom="column">
              <wp:posOffset>814705</wp:posOffset>
            </wp:positionH>
            <wp:positionV relativeFrom="paragraph">
              <wp:posOffset>77470</wp:posOffset>
            </wp:positionV>
            <wp:extent cx="4244975" cy="2271395"/>
            <wp:effectExtent l="0" t="0" r="0" b="0"/>
            <wp:wrapNone/>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244975" cy="2271395"/>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p>
    <w:p w14:paraId="21148CCE" w14:textId="77777777" w:rsidR="00000000" w:rsidRDefault="00000000">
      <w:pPr>
        <w:jc w:val="center"/>
        <w:rPr>
          <w:rFonts w:ascii="Century Gothic" w:hAnsi="Century Gothic"/>
          <w:b/>
          <w:bCs/>
          <w:sz w:val="18"/>
          <w:szCs w:val="18"/>
          <w:lang w:val="id-ID"/>
        </w:rPr>
      </w:pPr>
    </w:p>
    <w:p w14:paraId="2C6A74D5" w14:textId="77777777" w:rsidR="00000000" w:rsidRDefault="00000000">
      <w:pPr>
        <w:jc w:val="center"/>
        <w:rPr>
          <w:rFonts w:ascii="Century Gothic" w:hAnsi="Century Gothic"/>
          <w:b/>
          <w:bCs/>
          <w:sz w:val="18"/>
          <w:szCs w:val="18"/>
          <w:lang w:val="id-ID"/>
        </w:rPr>
      </w:pPr>
    </w:p>
    <w:p w14:paraId="0B10D97D" w14:textId="77777777" w:rsidR="00000000" w:rsidRDefault="00000000">
      <w:pPr>
        <w:jc w:val="center"/>
        <w:rPr>
          <w:rFonts w:ascii="Century Gothic" w:hAnsi="Century Gothic"/>
          <w:b/>
          <w:bCs/>
          <w:sz w:val="18"/>
          <w:szCs w:val="18"/>
          <w:lang w:val="id-ID"/>
        </w:rPr>
      </w:pPr>
    </w:p>
    <w:p w14:paraId="2074362D" w14:textId="77777777" w:rsidR="00000000" w:rsidRDefault="00000000">
      <w:pPr>
        <w:rPr>
          <w:rFonts w:ascii="Century Gothic" w:hAnsi="Century Gothic"/>
          <w:b/>
          <w:bCs/>
          <w:sz w:val="18"/>
          <w:szCs w:val="18"/>
          <w:lang w:val="id-ID"/>
        </w:rPr>
      </w:pPr>
    </w:p>
    <w:p w14:paraId="254F24CE" w14:textId="77777777" w:rsidR="00000000" w:rsidRDefault="00000000">
      <w:pPr>
        <w:jc w:val="center"/>
        <w:rPr>
          <w:rFonts w:ascii="Century Gothic" w:hAnsi="Century Gothic"/>
          <w:b/>
          <w:bCs/>
          <w:sz w:val="18"/>
          <w:szCs w:val="18"/>
          <w:lang w:val="id-ID"/>
        </w:rPr>
      </w:pPr>
    </w:p>
    <w:p w14:paraId="6843BF1C" w14:textId="77777777" w:rsidR="00000000" w:rsidRDefault="00000000">
      <w:pPr>
        <w:jc w:val="center"/>
        <w:rPr>
          <w:rFonts w:ascii="Century Gothic" w:hAnsi="Century Gothic"/>
          <w:b/>
          <w:bCs/>
          <w:sz w:val="18"/>
          <w:szCs w:val="18"/>
          <w:lang w:val="id-ID"/>
        </w:rPr>
      </w:pPr>
    </w:p>
    <w:p w14:paraId="0A0791EE" w14:textId="77777777" w:rsidR="00000000" w:rsidRDefault="00000000">
      <w:pPr>
        <w:jc w:val="center"/>
        <w:rPr>
          <w:rFonts w:ascii="Century Gothic" w:hAnsi="Century Gothic"/>
          <w:b/>
          <w:bCs/>
          <w:sz w:val="18"/>
          <w:szCs w:val="18"/>
          <w:lang w:val="id-ID"/>
        </w:rPr>
      </w:pPr>
    </w:p>
    <w:p w14:paraId="5F761B7F" w14:textId="77777777" w:rsidR="00000000" w:rsidRDefault="00000000">
      <w:pPr>
        <w:jc w:val="center"/>
        <w:rPr>
          <w:rFonts w:ascii="Century Gothic" w:hAnsi="Century Gothic"/>
          <w:b/>
          <w:bCs/>
          <w:sz w:val="18"/>
          <w:szCs w:val="18"/>
          <w:lang w:val="id-ID"/>
        </w:rPr>
      </w:pPr>
    </w:p>
    <w:p w14:paraId="5109AE47" w14:textId="77777777" w:rsidR="00000000" w:rsidRDefault="00000000">
      <w:pPr>
        <w:jc w:val="center"/>
        <w:rPr>
          <w:rFonts w:ascii="Century Gothic" w:hAnsi="Century Gothic"/>
          <w:b/>
          <w:bCs/>
          <w:sz w:val="18"/>
          <w:szCs w:val="18"/>
          <w:lang w:val="id-ID"/>
        </w:rPr>
      </w:pPr>
    </w:p>
    <w:p w14:paraId="7B6FBD25" w14:textId="77777777" w:rsidR="00000000" w:rsidRDefault="00000000">
      <w:pPr>
        <w:jc w:val="center"/>
        <w:rPr>
          <w:rFonts w:ascii="Century Gothic" w:hAnsi="Century Gothic"/>
          <w:b/>
          <w:bCs/>
          <w:sz w:val="18"/>
          <w:szCs w:val="18"/>
          <w:lang w:val="id-ID"/>
        </w:rPr>
      </w:pPr>
    </w:p>
    <w:p w14:paraId="08B82F1A" w14:textId="77777777" w:rsidR="00000000" w:rsidRDefault="00000000">
      <w:pPr>
        <w:jc w:val="center"/>
        <w:rPr>
          <w:rFonts w:ascii="Century Gothic" w:hAnsi="Century Gothic"/>
          <w:b/>
          <w:bCs/>
          <w:sz w:val="18"/>
          <w:szCs w:val="18"/>
          <w:lang w:val="id-ID"/>
        </w:rPr>
      </w:pPr>
    </w:p>
    <w:p w14:paraId="1CF3B943" w14:textId="77777777" w:rsidR="00000000" w:rsidRDefault="00000000">
      <w:pPr>
        <w:jc w:val="center"/>
        <w:rPr>
          <w:rFonts w:ascii="Century Gothic" w:hAnsi="Century Gothic"/>
          <w:b/>
          <w:bCs/>
          <w:sz w:val="18"/>
          <w:szCs w:val="18"/>
          <w:lang w:val="id-ID"/>
        </w:rPr>
      </w:pPr>
    </w:p>
    <w:p w14:paraId="4D16F763" w14:textId="77777777" w:rsidR="00000000" w:rsidRDefault="00000000">
      <w:pPr>
        <w:jc w:val="center"/>
        <w:rPr>
          <w:rFonts w:ascii="Century Gothic" w:hAnsi="Century Gothic"/>
          <w:b/>
          <w:bCs/>
          <w:sz w:val="18"/>
          <w:szCs w:val="18"/>
          <w:lang w:val="id-ID"/>
        </w:rPr>
      </w:pPr>
    </w:p>
    <w:p w14:paraId="051D65B6" w14:textId="77777777" w:rsidR="00000000" w:rsidRDefault="00000000">
      <w:pPr>
        <w:jc w:val="center"/>
        <w:rPr>
          <w:rFonts w:ascii="Century Gothic" w:hAnsi="Century Gothic"/>
          <w:b/>
          <w:bCs/>
          <w:sz w:val="18"/>
          <w:szCs w:val="18"/>
          <w:lang w:val="id-ID"/>
        </w:rPr>
      </w:pPr>
    </w:p>
    <w:p w14:paraId="53D3BB4D" w14:textId="77777777" w:rsidR="00000000" w:rsidRDefault="00000000">
      <w:pPr>
        <w:jc w:val="center"/>
        <w:rPr>
          <w:rFonts w:ascii="Century Gothic" w:hAnsi="Century Gothic"/>
          <w:b/>
          <w:bCs/>
          <w:sz w:val="18"/>
          <w:szCs w:val="18"/>
          <w:lang w:val="id-ID"/>
        </w:rPr>
      </w:pPr>
    </w:p>
    <w:p w14:paraId="7CC55E0C" w14:textId="77777777" w:rsidR="00000000" w:rsidRDefault="00000000">
      <w:pPr>
        <w:jc w:val="center"/>
        <w:rPr>
          <w:rFonts w:ascii="Century Gothic" w:hAnsi="Century Gothic"/>
          <w:b/>
          <w:bCs/>
          <w:sz w:val="18"/>
          <w:szCs w:val="18"/>
          <w:lang w:val="id-ID"/>
        </w:rPr>
      </w:pPr>
    </w:p>
    <w:p w14:paraId="3AB5F3D6" w14:textId="77777777" w:rsidR="00000000" w:rsidRDefault="00000000">
      <w:pPr>
        <w:rPr>
          <w:rFonts w:ascii="Century Gothic" w:hAnsi="Century Gothic"/>
          <w:b/>
          <w:bCs/>
          <w:sz w:val="18"/>
          <w:szCs w:val="18"/>
          <w:lang w:val="id-ID"/>
        </w:rPr>
      </w:pPr>
    </w:p>
    <w:p w14:paraId="71582DC8" w14:textId="77777777" w:rsidR="00000000" w:rsidRDefault="00000000">
      <w:pPr>
        <w:rPr>
          <w:rFonts w:ascii="Century Gothic" w:hAnsi="Century Gothic"/>
          <w:b/>
          <w:bCs/>
          <w:sz w:val="18"/>
          <w:szCs w:val="18"/>
          <w:lang w:val="id-ID"/>
        </w:rPr>
      </w:pPr>
    </w:p>
    <w:p w14:paraId="5EE15813" w14:textId="77777777" w:rsidR="00000000" w:rsidRDefault="00000000">
      <w:pPr>
        <w:jc w:val="center"/>
        <w:rPr>
          <w:rFonts w:ascii="Century Gothic" w:hAnsi="Century Gothic"/>
          <w:b/>
          <w:bCs/>
          <w:sz w:val="18"/>
          <w:szCs w:val="18"/>
          <w:lang w:val="id-ID"/>
        </w:rPr>
      </w:pPr>
      <w:r>
        <w:rPr>
          <w:rFonts w:ascii="Century Gothic" w:hAnsi="Century Gothic"/>
          <w:b/>
          <w:bCs/>
          <w:sz w:val="18"/>
          <w:szCs w:val="18"/>
          <w:lang w:val="id-ID"/>
        </w:rPr>
        <w:t>Gambar 2. Pemaparan Materi oleh Narasumber</w:t>
      </w:r>
    </w:p>
    <w:p w14:paraId="05FCCC03" w14:textId="77777777" w:rsidR="00000000" w:rsidRDefault="00000000">
      <w:pPr>
        <w:rPr>
          <w:rFonts w:ascii="Century Gothic" w:hAnsi="Century Gothic"/>
          <w:b/>
          <w:bCs/>
          <w:sz w:val="18"/>
          <w:szCs w:val="18"/>
          <w:lang w:val="id-ID"/>
        </w:rPr>
      </w:pPr>
    </w:p>
    <w:p w14:paraId="4E2B5346" w14:textId="77777777" w:rsidR="00000000" w:rsidRDefault="00000000">
      <w:pPr>
        <w:rPr>
          <w:rFonts w:ascii="Century Gothic" w:hAnsi="Century Gothic"/>
          <w:b/>
          <w:bCs/>
          <w:sz w:val="18"/>
          <w:szCs w:val="18"/>
          <w:lang w:val="id-ID"/>
        </w:rPr>
      </w:pPr>
      <w:r>
        <w:rPr>
          <w:rFonts w:ascii="Century Gothic" w:hAnsi="Century Gothic"/>
          <w:b/>
          <w:bCs/>
          <w:sz w:val="18"/>
          <w:szCs w:val="18"/>
          <w:lang w:val="id-ID"/>
        </w:rPr>
        <w:t>Analisis Hasil Pelatihan PKM</w:t>
      </w:r>
    </w:p>
    <w:p w14:paraId="6F268981" w14:textId="77777777" w:rsidR="00000000" w:rsidRDefault="00000000">
      <w:pPr>
        <w:rPr>
          <w:rFonts w:ascii="Century Gothic" w:hAnsi="Century Gothic"/>
          <w:b/>
          <w:bCs/>
          <w:sz w:val="18"/>
          <w:szCs w:val="18"/>
          <w:lang w:val="id-ID"/>
        </w:rPr>
      </w:pPr>
    </w:p>
    <w:p w14:paraId="34761B57" w14:textId="77777777" w:rsidR="00000000" w:rsidRDefault="00000000">
      <w:pPr>
        <w:ind w:firstLine="426"/>
        <w:jc w:val="both"/>
        <w:rPr>
          <w:rFonts w:ascii="Century Gothic" w:hAnsi="Century Gothic"/>
          <w:sz w:val="18"/>
          <w:szCs w:val="18"/>
          <w:lang w:val="id-ID"/>
        </w:rPr>
      </w:pPr>
      <w:r>
        <w:rPr>
          <w:rFonts w:ascii="Century Gothic" w:hAnsi="Century Gothic"/>
          <w:sz w:val="18"/>
          <w:szCs w:val="18"/>
          <w:lang w:val="id-ID"/>
        </w:rPr>
        <w:t>Selain pemaparan materi terkait Industri halal, kegiatan PKM ini juga mengukur tingkat literasi industri halal para khatib dan jama’ah di sekitar Masjid Al Fauzien Pesona Depok Estate dengan mengevaluasi tiga indikator utama:</w:t>
      </w:r>
      <w:r>
        <w:rPr>
          <w:rFonts w:ascii="Century Gothic" w:hAnsi="Century Gothic"/>
          <w:i/>
          <w:iCs/>
          <w:sz w:val="18"/>
          <w:szCs w:val="18"/>
          <w:lang w:val="id-ID"/>
        </w:rPr>
        <w:t xml:space="preserve"> Pengetahuan tentang industri halal, Sikap penggunaan produk halal, dan Kesadaran halal</w:t>
      </w:r>
      <w:r>
        <w:rPr>
          <w:rFonts w:ascii="Century Gothic" w:hAnsi="Century Gothic"/>
          <w:sz w:val="18"/>
          <w:szCs w:val="18"/>
          <w:lang w:val="id-ID"/>
        </w:rPr>
        <w:t>. Adapun hasil data yang didapat melalui kuesioner adalah sebagai berikut:</w:t>
      </w:r>
    </w:p>
    <w:p w14:paraId="3203ADA6" w14:textId="77777777" w:rsidR="00000000" w:rsidRDefault="00000000">
      <w:pPr>
        <w:jc w:val="both"/>
        <w:rPr>
          <w:rFonts w:ascii="Century Gothic" w:hAnsi="Century Gothic"/>
          <w:sz w:val="18"/>
          <w:szCs w:val="18"/>
          <w:lang w:val="id-ID"/>
        </w:rPr>
      </w:pPr>
    </w:p>
    <w:p w14:paraId="5229995D" w14:textId="77777777" w:rsidR="00000000" w:rsidRDefault="00000000">
      <w:pPr>
        <w:pStyle w:val="ListParagraph"/>
        <w:numPr>
          <w:ilvl w:val="0"/>
          <w:numId w:val="3"/>
        </w:numPr>
        <w:ind w:left="360"/>
        <w:rPr>
          <w:rFonts w:ascii="Century Gothic" w:hAnsi="Century Gothic"/>
          <w:sz w:val="18"/>
          <w:szCs w:val="18"/>
          <w:lang w:val="id-ID"/>
        </w:rPr>
      </w:pPr>
      <w:r>
        <w:rPr>
          <w:rFonts w:ascii="Century Gothic" w:hAnsi="Century Gothic"/>
          <w:b/>
          <w:bCs/>
          <w:sz w:val="18"/>
          <w:szCs w:val="18"/>
          <w:lang w:val="id-ID"/>
        </w:rPr>
        <w:t>Pengetahuan tentang Industri Halal</w:t>
      </w:r>
    </w:p>
    <w:p w14:paraId="20ED5962" w14:textId="77777777" w:rsidR="005955D9" w:rsidRDefault="00000000" w:rsidP="005955D9">
      <w:pPr>
        <w:pStyle w:val="ListParagraph"/>
        <w:ind w:left="360" w:firstLine="0"/>
        <w:rPr>
          <w:rFonts w:ascii="Century Gothic" w:hAnsi="Century Gothic"/>
          <w:sz w:val="18"/>
          <w:szCs w:val="18"/>
          <w:lang w:val="id-ID"/>
        </w:rPr>
      </w:pPr>
      <w:r>
        <w:rPr>
          <w:rFonts w:ascii="Century Gothic" w:hAnsi="Century Gothic"/>
          <w:sz w:val="18"/>
          <w:szCs w:val="18"/>
          <w:lang w:val="id-ID"/>
        </w:rPr>
        <w:t xml:space="preserve">Berdasarkan Gambar 3, hasil kuesioner menunjukkan bahwa tingkat pengetahuan khatib dan jamaah tentang industri halal bervariasi dengan skor rata-rata 3,6 (skala 4), dengan 65% peserta memperoleh skor di atas 3,0. Khatib dan jamaah seperti RI dan AP menunjukkan partisipasi penuh dengan skor rata-rata 4,00 pada subkategori a1 hingga a10, yang menandakan tingkat pengetahuan yang baik terhadap industri halal. Sementara itu, responden lainnya, seperti FR, hanya mendapatkan skor rata-rata 2,9, yang menunjukkan keterbatasan tingkat pengetahuan dalam memahami konsep mendasar seperti proses sertifikasi halal dan regulasi terkait. Secara umum, sebagian besar khatib dan jamaah memiliki tingkat pengetahuan tentang industri halal yang baik. Temuan ini mengindikasikan bahwa meskipun materi sosialisasi diterima dengan baik, pendekatan yang lebih mendalam seperti studi kasus atau pelatihan </w:t>
      </w:r>
      <w:r>
        <w:rPr>
          <w:rFonts w:ascii="Century Gothic" w:hAnsi="Century Gothic"/>
          <w:sz w:val="18"/>
          <w:szCs w:val="18"/>
          <w:lang w:val="id-ID"/>
        </w:rPr>
        <w:lastRenderedPageBreak/>
        <w:t xml:space="preserve">tematik diperlukan untuk meningkatkan aspek pengetahuan. Hal ini sejalan dengan hasil penelitian </w:t>
      </w:r>
      <w:r>
        <w:fldChar w:fldCharType="begin"/>
      </w:r>
      <w:r>
        <w:rPr>
          <w:rFonts w:ascii="Century Gothic" w:hAnsi="Century Gothic"/>
          <w:sz w:val="18"/>
          <w:szCs w:val="18"/>
          <w:lang w:val="id-ID"/>
        </w:rPr>
        <w:instrText>ADDIN CSL_CITATION {"citationItems":[{"id":"ITEM-1","itemData":{"DOI":"10.36778/jesya.v7i1.1490","ISSN":"2614-3259","abstract":"Industri halal berada di garis depan evolusi ekonomi syariah, mengalami perubahan yang menggabungkan imperatif keberlanjutan dengan praktik inovatif. Penelitian ini mengeksplorasi dinamika, tantangan, dan peluang yang melekat dalam transformasi berkelanjutan industri halal dalam kerangka ekonomi syariah. Dengan mengkaji integrasi praktik berkelanjutan dan strategi inovatif, penelitian ini menekankan peran penting pendekatan etis, ramah lingkungan, dan teknologi canggih dalam meresapi kembali industri halal. Melalui analisis multidimensional, artikel ini mengidentifikasi pendorong utama yang memfasilitasi transformasi industri, menekankan pentingnya pembangunan berkelanjutan dan inovasi bagi perekonomian syariah yang tangguh.","author":[{"dropping-particle":"","family":"Ernayani","given":"Rihfenti","non-dropping-particle":"","parse-names":false,"suffix":""},{"dropping-particle":"","family":"Firman","given":"Firman","non-dropping-particle":"","parse-names":false,"suffix":""}],"container-title":"Jesya: Jurnal Ekonomi &amp; Ekonomi Syariah","id":"ITEM-1","issue":"1","issued":{"date-parts":[["2024"]]},"page":"1011-1020","title":"Transformasi Industri Halal: Keberlanjutan dan Inovasi dalam Perekonomian Syariah","type":"article-journal","volume":"7"},"uris":["http://www.mendeley.com/documents/?uuid=b7044732-5be6-4a3d-a04c-aaeb33bbd40c"]}],"mendeley":{"formattedCitation":"(Ernayani &amp; Firman, 2024)","plainTextFormattedCitation":"(Ernayani &amp; Firman, 2024)","previouslyFormattedCitation":"(Ernayani &amp; Firman, 2024)"},"properties":{"noteIndex":0},"schema":"https://github.com/citation-style-language/schema/raw/master/csl-citation.json"}</w:instrText>
      </w:r>
      <w:r>
        <w:fldChar w:fldCharType="separate"/>
      </w:r>
      <w:r>
        <w:rPr>
          <w:rFonts w:ascii="Century Gothic" w:hAnsi="Century Gothic"/>
          <w:sz w:val="18"/>
          <w:szCs w:val="18"/>
          <w:lang w:val="id-ID"/>
        </w:rPr>
        <w:t>(Ernayani &amp; Firman, 2024)</w:t>
      </w:r>
      <w:r>
        <w:rPr>
          <w:rFonts w:ascii="Century Gothic" w:hAnsi="Century Gothic"/>
          <w:sz w:val="18"/>
          <w:szCs w:val="18"/>
          <w:lang w:val="id-ID"/>
        </w:rPr>
        <w:fldChar w:fldCharType="end"/>
      </w:r>
      <w:r>
        <w:rPr>
          <w:rFonts w:ascii="Century Gothic" w:hAnsi="Century Gothic"/>
          <w:sz w:val="18"/>
          <w:szCs w:val="18"/>
          <w:lang w:val="id-ID"/>
        </w:rPr>
        <w:t xml:space="preserve"> bahwa pemahaman mendalam terhadap standar kehalalan menjadi kunci dalam memperkuat keputusan konsumsi dan preferensi konsumen yang bertanggung jawab. </w:t>
      </w:r>
    </w:p>
    <w:p w14:paraId="4C8ABAD9" w14:textId="77777777" w:rsidR="005955D9" w:rsidRDefault="005955D9">
      <w:pPr>
        <w:rPr>
          <w:rFonts w:ascii="Century Gothic" w:hAnsi="Century Gothic"/>
          <w:sz w:val="18"/>
          <w:szCs w:val="18"/>
          <w:lang w:val="id-ID"/>
        </w:rPr>
      </w:pPr>
    </w:p>
    <w:p w14:paraId="012F0428" w14:textId="70FDDF38" w:rsidR="00000000" w:rsidRDefault="008F6625">
      <w:pPr>
        <w:rPr>
          <w:rFonts w:ascii="Century Gothic" w:hAnsi="Century Gothic"/>
          <w:sz w:val="18"/>
          <w:szCs w:val="18"/>
          <w:lang w:val="id-ID"/>
        </w:rPr>
      </w:pPr>
      <w:r>
        <w:rPr>
          <w:noProof/>
        </w:rPr>
        <w:drawing>
          <wp:anchor distT="0" distB="0" distL="0" distR="0" simplePos="0" relativeHeight="251657728" behindDoc="0" locked="0" layoutInCell="0" allowOverlap="1" wp14:anchorId="642BF2A2" wp14:editId="1EA66859">
            <wp:simplePos x="0" y="0"/>
            <wp:positionH relativeFrom="column">
              <wp:posOffset>1287780</wp:posOffset>
            </wp:positionH>
            <wp:positionV relativeFrom="paragraph">
              <wp:posOffset>41910</wp:posOffset>
            </wp:positionV>
            <wp:extent cx="3918585" cy="193230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18585" cy="1932305"/>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p>
    <w:p w14:paraId="03BF2689" w14:textId="77777777" w:rsidR="00000000" w:rsidRDefault="00000000">
      <w:pPr>
        <w:rPr>
          <w:rFonts w:ascii="Century Gothic" w:hAnsi="Century Gothic"/>
          <w:sz w:val="18"/>
          <w:szCs w:val="18"/>
          <w:lang w:val="id-ID"/>
        </w:rPr>
      </w:pPr>
    </w:p>
    <w:p w14:paraId="57360B7E" w14:textId="77777777" w:rsidR="00000000" w:rsidRDefault="00000000">
      <w:pPr>
        <w:rPr>
          <w:rFonts w:ascii="Century Gothic" w:hAnsi="Century Gothic"/>
          <w:sz w:val="18"/>
          <w:szCs w:val="18"/>
          <w:lang w:val="id-ID"/>
        </w:rPr>
      </w:pPr>
    </w:p>
    <w:p w14:paraId="4F63CF2D" w14:textId="77777777" w:rsidR="00000000" w:rsidRDefault="00000000">
      <w:pPr>
        <w:rPr>
          <w:rFonts w:ascii="Century Gothic" w:hAnsi="Century Gothic"/>
          <w:sz w:val="18"/>
          <w:szCs w:val="18"/>
          <w:lang w:val="id-ID"/>
        </w:rPr>
      </w:pPr>
    </w:p>
    <w:p w14:paraId="430FC93D" w14:textId="77777777" w:rsidR="00000000" w:rsidRDefault="00000000">
      <w:pPr>
        <w:rPr>
          <w:rFonts w:ascii="Century Gothic" w:hAnsi="Century Gothic"/>
          <w:sz w:val="18"/>
          <w:szCs w:val="18"/>
          <w:lang w:val="id-ID"/>
        </w:rPr>
      </w:pPr>
    </w:p>
    <w:p w14:paraId="4FA80579" w14:textId="77777777" w:rsidR="00000000" w:rsidRDefault="00000000">
      <w:pPr>
        <w:rPr>
          <w:rFonts w:ascii="Century Gothic" w:hAnsi="Century Gothic"/>
          <w:sz w:val="18"/>
          <w:szCs w:val="18"/>
          <w:lang w:val="id-ID"/>
        </w:rPr>
      </w:pPr>
    </w:p>
    <w:p w14:paraId="7BE6C467" w14:textId="77777777" w:rsidR="00000000" w:rsidRDefault="00000000">
      <w:pPr>
        <w:rPr>
          <w:rFonts w:ascii="Century Gothic" w:hAnsi="Century Gothic"/>
          <w:sz w:val="18"/>
          <w:szCs w:val="18"/>
          <w:lang w:val="id-ID"/>
        </w:rPr>
      </w:pPr>
    </w:p>
    <w:p w14:paraId="5F098E44" w14:textId="77777777" w:rsidR="00000000" w:rsidRDefault="00000000">
      <w:pPr>
        <w:rPr>
          <w:rFonts w:ascii="Century Gothic" w:hAnsi="Century Gothic"/>
          <w:sz w:val="18"/>
          <w:szCs w:val="18"/>
          <w:lang w:val="id-ID"/>
        </w:rPr>
      </w:pPr>
    </w:p>
    <w:p w14:paraId="0CA3A172" w14:textId="77777777" w:rsidR="00000000" w:rsidRDefault="00000000">
      <w:pPr>
        <w:rPr>
          <w:rFonts w:ascii="Century Gothic" w:hAnsi="Century Gothic"/>
          <w:sz w:val="18"/>
          <w:szCs w:val="18"/>
          <w:lang w:val="id-ID"/>
        </w:rPr>
      </w:pPr>
    </w:p>
    <w:p w14:paraId="7C75449D" w14:textId="77777777" w:rsidR="00000000" w:rsidRDefault="00000000">
      <w:pPr>
        <w:rPr>
          <w:rFonts w:ascii="Century Gothic" w:hAnsi="Century Gothic"/>
          <w:sz w:val="18"/>
          <w:szCs w:val="18"/>
          <w:lang w:val="id-ID"/>
        </w:rPr>
      </w:pPr>
    </w:p>
    <w:p w14:paraId="39D62FB3" w14:textId="77777777" w:rsidR="00000000" w:rsidRDefault="00000000">
      <w:pPr>
        <w:jc w:val="center"/>
        <w:rPr>
          <w:rFonts w:ascii="Century Gothic" w:hAnsi="Century Gothic"/>
          <w:b/>
          <w:bCs/>
          <w:sz w:val="18"/>
          <w:szCs w:val="18"/>
          <w:lang w:val="id-ID"/>
        </w:rPr>
      </w:pPr>
    </w:p>
    <w:p w14:paraId="68F0B8D2" w14:textId="77777777" w:rsidR="00000000" w:rsidRDefault="00000000">
      <w:pPr>
        <w:jc w:val="center"/>
        <w:rPr>
          <w:rFonts w:ascii="Century Gothic" w:hAnsi="Century Gothic"/>
          <w:b/>
          <w:bCs/>
          <w:sz w:val="18"/>
          <w:szCs w:val="18"/>
          <w:lang w:val="id-ID"/>
        </w:rPr>
      </w:pPr>
    </w:p>
    <w:p w14:paraId="75EF4579" w14:textId="77777777" w:rsidR="00000000" w:rsidRDefault="00000000">
      <w:pPr>
        <w:jc w:val="center"/>
        <w:rPr>
          <w:rFonts w:ascii="Century Gothic" w:hAnsi="Century Gothic"/>
          <w:b/>
          <w:bCs/>
          <w:sz w:val="18"/>
          <w:szCs w:val="18"/>
          <w:lang w:val="id-ID"/>
        </w:rPr>
      </w:pPr>
    </w:p>
    <w:p w14:paraId="77493674" w14:textId="77777777" w:rsidR="00000000" w:rsidRDefault="00000000">
      <w:pPr>
        <w:jc w:val="center"/>
        <w:rPr>
          <w:rFonts w:ascii="Century Gothic" w:hAnsi="Century Gothic"/>
          <w:b/>
          <w:bCs/>
          <w:sz w:val="18"/>
          <w:szCs w:val="18"/>
          <w:lang w:val="id-ID"/>
        </w:rPr>
      </w:pPr>
    </w:p>
    <w:p w14:paraId="4EBAF7F3" w14:textId="77777777" w:rsidR="00000000" w:rsidRDefault="00000000">
      <w:pPr>
        <w:jc w:val="center"/>
        <w:rPr>
          <w:rFonts w:ascii="Century Gothic" w:hAnsi="Century Gothic"/>
          <w:b/>
          <w:bCs/>
          <w:sz w:val="18"/>
          <w:szCs w:val="18"/>
          <w:lang w:val="id-ID"/>
        </w:rPr>
      </w:pPr>
    </w:p>
    <w:p w14:paraId="75C71032" w14:textId="77777777" w:rsidR="00000000" w:rsidRDefault="00000000">
      <w:pPr>
        <w:jc w:val="center"/>
        <w:rPr>
          <w:rFonts w:ascii="Century Gothic" w:hAnsi="Century Gothic"/>
          <w:b/>
          <w:bCs/>
          <w:sz w:val="18"/>
          <w:szCs w:val="18"/>
          <w:lang w:val="id-ID"/>
        </w:rPr>
      </w:pPr>
      <w:r>
        <w:rPr>
          <w:rFonts w:ascii="Century Gothic" w:hAnsi="Century Gothic"/>
          <w:b/>
          <w:bCs/>
          <w:sz w:val="18"/>
          <w:szCs w:val="18"/>
          <w:lang w:val="id-ID"/>
        </w:rPr>
        <w:t>Gambar 3. Nilai Rata-Rata Pengetahuan Industri Halal</w:t>
      </w:r>
    </w:p>
    <w:p w14:paraId="70C55615" w14:textId="77777777" w:rsidR="00000000" w:rsidRDefault="00000000">
      <w:pPr>
        <w:rPr>
          <w:rFonts w:ascii="Century Gothic" w:hAnsi="Century Gothic"/>
          <w:b/>
          <w:bCs/>
          <w:sz w:val="18"/>
          <w:szCs w:val="18"/>
          <w:lang w:val="id-ID"/>
        </w:rPr>
      </w:pPr>
    </w:p>
    <w:p w14:paraId="5D8450A6" w14:textId="77777777" w:rsidR="00000000" w:rsidRDefault="00000000">
      <w:pPr>
        <w:rPr>
          <w:rFonts w:ascii="Century Gothic" w:hAnsi="Century Gothic"/>
          <w:b/>
          <w:bCs/>
          <w:sz w:val="18"/>
          <w:szCs w:val="18"/>
          <w:lang w:val="id-ID"/>
        </w:rPr>
      </w:pPr>
    </w:p>
    <w:p w14:paraId="3816D53C" w14:textId="77777777" w:rsidR="00000000" w:rsidRDefault="00000000">
      <w:pPr>
        <w:pStyle w:val="ListParagraph"/>
        <w:ind w:left="360" w:firstLine="0"/>
        <w:rPr>
          <w:rFonts w:ascii="Century Gothic" w:hAnsi="Century Gothic"/>
          <w:sz w:val="18"/>
          <w:szCs w:val="18"/>
          <w:lang w:val="id-ID"/>
        </w:rPr>
      </w:pPr>
    </w:p>
    <w:p w14:paraId="5EFF2BF9" w14:textId="77777777" w:rsidR="00000000" w:rsidRDefault="00000000">
      <w:pPr>
        <w:pStyle w:val="ListParagraph"/>
        <w:numPr>
          <w:ilvl w:val="0"/>
          <w:numId w:val="3"/>
        </w:numPr>
        <w:ind w:left="360"/>
        <w:rPr>
          <w:rFonts w:ascii="Century Gothic" w:hAnsi="Century Gothic"/>
          <w:sz w:val="18"/>
          <w:szCs w:val="18"/>
          <w:lang w:val="nb-NO"/>
        </w:rPr>
      </w:pPr>
      <w:r>
        <w:rPr>
          <w:rFonts w:ascii="Century Gothic" w:hAnsi="Century Gothic"/>
          <w:b/>
          <w:bCs/>
          <w:sz w:val="18"/>
          <w:szCs w:val="18"/>
          <w:lang w:val="id-ID"/>
        </w:rPr>
        <w:t>Sikap Pengggunaan Produk Halal</w:t>
      </w:r>
    </w:p>
    <w:p w14:paraId="7E46CCBD" w14:textId="77777777" w:rsidR="00000000" w:rsidRDefault="00000000">
      <w:pPr>
        <w:pStyle w:val="ListParagraph"/>
        <w:ind w:left="360" w:firstLine="0"/>
        <w:rPr>
          <w:rFonts w:ascii="Century Gothic" w:hAnsi="Century Gothic"/>
          <w:sz w:val="18"/>
          <w:szCs w:val="18"/>
          <w:lang w:val="id-ID"/>
        </w:rPr>
      </w:pPr>
      <w:r>
        <w:rPr>
          <w:rFonts w:ascii="Century Gothic" w:hAnsi="Century Gothic"/>
          <w:sz w:val="18"/>
          <w:szCs w:val="18"/>
          <w:lang w:val="nb-NO"/>
        </w:rPr>
        <w:t xml:space="preserve">Aspek sikap penggunaan produk halal juga dievaluasi dengan menggunakan tujuh subkategori. Berdasarkan Gambar 4, nilai rata-rata pada kategori ini menunjukkan variasi, dengan beberapa khatib dan jamaah memperoleh skor rata-rata 3,65, dengan 26% </w:t>
      </w:r>
      <w:r>
        <w:rPr>
          <w:rFonts w:ascii="Century Gothic" w:hAnsi="Century Gothic"/>
          <w:sz w:val="18"/>
          <w:szCs w:val="18"/>
          <w:lang w:val="id-ID"/>
        </w:rPr>
        <w:t xml:space="preserve">peserta memperoleh skor di atas 3,0. Khatib dan jamaah seperti YA, MH, dan DS memperoleh skor rata-rata 4,00 pada subkategori a1 hingga a7, yang menunjukkan totalitas dalam penggunaan produk halal. Namun, responden lainnya, seperti RI, hanya mendapatkan skor rata-rata 2,7, yang menunjukkan sikap yang kurang maksimal dalam penggunaan produk halal. Peserta yang memiliki skor rendah (≤3,0) mengungkapkan bahwa kurangnya akses informasi dan label halal pada produk lokal menjadi kendala utama. Hal ini menunjukkan pentingnya literasi visual, seperti pengenalan logo halal, yang dapat ditingkatkan melalui simulasi dan modul visual interaktif. Secara umum, sebagian besar khatib dan jamaah memiliki totalitas sikap dalam penggunaan produk halal. </w:t>
      </w:r>
    </w:p>
    <w:p w14:paraId="7D297454" w14:textId="77777777" w:rsidR="00000000" w:rsidRDefault="00000000">
      <w:pPr>
        <w:rPr>
          <w:rFonts w:ascii="Century Gothic" w:hAnsi="Century Gothic"/>
          <w:sz w:val="18"/>
          <w:szCs w:val="18"/>
          <w:lang w:val="id-ID"/>
        </w:rPr>
      </w:pPr>
    </w:p>
    <w:p w14:paraId="3A60BC84" w14:textId="77777777" w:rsidR="00000000" w:rsidRDefault="00000000">
      <w:pPr>
        <w:pStyle w:val="ListParagraph"/>
        <w:ind w:left="360" w:firstLine="0"/>
        <w:rPr>
          <w:rFonts w:ascii="Century Gothic" w:hAnsi="Century Gothic"/>
          <w:sz w:val="18"/>
          <w:szCs w:val="18"/>
          <w:lang w:val="id-ID"/>
        </w:rPr>
      </w:pPr>
    </w:p>
    <w:p w14:paraId="2C2CF37D" w14:textId="649F3788" w:rsidR="00000000" w:rsidRDefault="008F6625">
      <w:pPr>
        <w:pStyle w:val="ListParagraph"/>
        <w:ind w:left="360" w:firstLine="0"/>
        <w:rPr>
          <w:rFonts w:ascii="Century Gothic" w:hAnsi="Century Gothic"/>
          <w:sz w:val="18"/>
          <w:szCs w:val="18"/>
          <w:lang w:val="id-ID"/>
        </w:rPr>
      </w:pPr>
      <w:r>
        <w:rPr>
          <w:noProof/>
        </w:rPr>
        <w:drawing>
          <wp:anchor distT="0" distB="0" distL="0" distR="0" simplePos="0" relativeHeight="251658752" behindDoc="0" locked="0" layoutInCell="0" allowOverlap="1" wp14:anchorId="050825E5" wp14:editId="4C5B4628">
            <wp:simplePos x="0" y="0"/>
            <wp:positionH relativeFrom="column">
              <wp:posOffset>1233170</wp:posOffset>
            </wp:positionH>
            <wp:positionV relativeFrom="paragraph">
              <wp:posOffset>6985</wp:posOffset>
            </wp:positionV>
            <wp:extent cx="3973830" cy="1967865"/>
            <wp:effectExtent l="0" t="0" r="0" b="0"/>
            <wp:wrapNone/>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73830" cy="1967865"/>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p>
    <w:p w14:paraId="5385CC97" w14:textId="77777777" w:rsidR="00000000" w:rsidRDefault="00000000">
      <w:pPr>
        <w:pStyle w:val="ListParagraph"/>
        <w:ind w:left="360" w:firstLine="0"/>
        <w:rPr>
          <w:rFonts w:ascii="Century Gothic" w:hAnsi="Century Gothic"/>
          <w:sz w:val="18"/>
          <w:szCs w:val="18"/>
          <w:lang w:val="id-ID"/>
        </w:rPr>
      </w:pPr>
    </w:p>
    <w:p w14:paraId="4F068FF3" w14:textId="77777777" w:rsidR="00000000" w:rsidRDefault="00000000">
      <w:pPr>
        <w:pStyle w:val="ListParagraph"/>
        <w:ind w:left="360" w:firstLine="0"/>
        <w:rPr>
          <w:rFonts w:ascii="Century Gothic" w:hAnsi="Century Gothic"/>
          <w:sz w:val="18"/>
          <w:szCs w:val="18"/>
          <w:lang w:val="id-ID"/>
        </w:rPr>
      </w:pPr>
    </w:p>
    <w:p w14:paraId="49CD47FA" w14:textId="77777777" w:rsidR="00000000" w:rsidRDefault="00000000">
      <w:pPr>
        <w:pStyle w:val="ListParagraph"/>
        <w:ind w:left="360" w:firstLine="0"/>
        <w:rPr>
          <w:rFonts w:ascii="Century Gothic" w:hAnsi="Century Gothic"/>
          <w:sz w:val="18"/>
          <w:szCs w:val="18"/>
          <w:lang w:val="id-ID"/>
        </w:rPr>
      </w:pPr>
    </w:p>
    <w:p w14:paraId="634F0E78" w14:textId="77777777" w:rsidR="00000000" w:rsidRDefault="00000000">
      <w:pPr>
        <w:pStyle w:val="ListParagraph"/>
        <w:ind w:left="360" w:firstLine="0"/>
        <w:rPr>
          <w:rFonts w:ascii="Century Gothic" w:hAnsi="Century Gothic"/>
          <w:sz w:val="18"/>
          <w:szCs w:val="18"/>
          <w:lang w:val="id-ID"/>
        </w:rPr>
      </w:pPr>
    </w:p>
    <w:p w14:paraId="6AEB0AD3" w14:textId="77777777" w:rsidR="00000000" w:rsidRDefault="00000000">
      <w:pPr>
        <w:pStyle w:val="ListParagraph"/>
        <w:ind w:left="360" w:firstLine="0"/>
        <w:rPr>
          <w:rFonts w:ascii="Century Gothic" w:hAnsi="Century Gothic"/>
          <w:sz w:val="18"/>
          <w:szCs w:val="18"/>
          <w:lang w:val="id-ID"/>
        </w:rPr>
      </w:pPr>
    </w:p>
    <w:p w14:paraId="560B3CCF" w14:textId="77777777" w:rsidR="00000000" w:rsidRDefault="00000000">
      <w:pPr>
        <w:pStyle w:val="ListParagraph"/>
        <w:ind w:left="360" w:firstLine="0"/>
        <w:rPr>
          <w:rFonts w:ascii="Century Gothic" w:hAnsi="Century Gothic"/>
          <w:sz w:val="18"/>
          <w:szCs w:val="18"/>
          <w:lang w:val="id-ID"/>
        </w:rPr>
      </w:pPr>
    </w:p>
    <w:p w14:paraId="0828AA4B" w14:textId="77777777" w:rsidR="00000000" w:rsidRDefault="00000000">
      <w:pPr>
        <w:pStyle w:val="ListParagraph"/>
        <w:ind w:left="360" w:firstLine="0"/>
        <w:rPr>
          <w:rFonts w:ascii="Century Gothic" w:hAnsi="Century Gothic"/>
          <w:sz w:val="18"/>
          <w:szCs w:val="18"/>
          <w:lang w:val="id-ID"/>
        </w:rPr>
      </w:pPr>
    </w:p>
    <w:p w14:paraId="1B19B19A" w14:textId="77777777" w:rsidR="00000000" w:rsidRDefault="00000000">
      <w:pPr>
        <w:pStyle w:val="ListParagraph"/>
        <w:ind w:left="360" w:firstLine="0"/>
        <w:rPr>
          <w:rFonts w:ascii="Century Gothic" w:hAnsi="Century Gothic"/>
          <w:sz w:val="18"/>
          <w:szCs w:val="18"/>
          <w:lang w:val="id-ID"/>
        </w:rPr>
      </w:pPr>
    </w:p>
    <w:p w14:paraId="43BF16D2" w14:textId="77777777" w:rsidR="00000000" w:rsidRDefault="00000000">
      <w:pPr>
        <w:pStyle w:val="ListParagraph"/>
        <w:ind w:left="360" w:firstLine="0"/>
        <w:rPr>
          <w:rFonts w:ascii="Century Gothic" w:hAnsi="Century Gothic"/>
          <w:sz w:val="18"/>
          <w:szCs w:val="18"/>
          <w:lang w:val="id-ID"/>
        </w:rPr>
      </w:pPr>
    </w:p>
    <w:p w14:paraId="14DB40C5" w14:textId="77777777" w:rsidR="00000000" w:rsidRDefault="00000000">
      <w:pPr>
        <w:pStyle w:val="ListParagraph"/>
        <w:ind w:left="360" w:firstLine="0"/>
        <w:rPr>
          <w:rFonts w:ascii="Century Gothic" w:hAnsi="Century Gothic"/>
          <w:sz w:val="18"/>
          <w:szCs w:val="18"/>
          <w:lang w:val="id-ID"/>
        </w:rPr>
      </w:pPr>
    </w:p>
    <w:p w14:paraId="3A508E2C" w14:textId="77777777" w:rsidR="00000000" w:rsidRDefault="00000000">
      <w:pPr>
        <w:pStyle w:val="ListParagraph"/>
        <w:ind w:left="360" w:firstLine="0"/>
        <w:rPr>
          <w:rFonts w:ascii="Century Gothic" w:hAnsi="Century Gothic"/>
          <w:sz w:val="18"/>
          <w:szCs w:val="18"/>
          <w:lang w:val="id-ID"/>
        </w:rPr>
      </w:pPr>
    </w:p>
    <w:p w14:paraId="3F6B0833" w14:textId="77777777" w:rsidR="00000000" w:rsidRDefault="00000000">
      <w:pPr>
        <w:pStyle w:val="ListParagraph"/>
        <w:ind w:left="360" w:firstLine="0"/>
        <w:rPr>
          <w:rFonts w:ascii="Century Gothic" w:hAnsi="Century Gothic"/>
          <w:sz w:val="18"/>
          <w:szCs w:val="18"/>
          <w:lang w:val="id-ID"/>
        </w:rPr>
      </w:pPr>
    </w:p>
    <w:p w14:paraId="08265AAE" w14:textId="77777777" w:rsidR="00000000" w:rsidRDefault="00000000">
      <w:pPr>
        <w:pStyle w:val="ListParagraph"/>
        <w:ind w:left="360" w:firstLine="0"/>
        <w:rPr>
          <w:rFonts w:ascii="Century Gothic" w:hAnsi="Century Gothic"/>
          <w:sz w:val="18"/>
          <w:szCs w:val="18"/>
          <w:lang w:val="id-ID"/>
        </w:rPr>
      </w:pPr>
    </w:p>
    <w:p w14:paraId="427189FF" w14:textId="77777777" w:rsidR="00000000" w:rsidRDefault="00000000">
      <w:pPr>
        <w:pStyle w:val="ListParagraph"/>
        <w:ind w:left="360" w:firstLine="0"/>
        <w:rPr>
          <w:rFonts w:ascii="Century Gothic" w:hAnsi="Century Gothic"/>
          <w:sz w:val="18"/>
          <w:szCs w:val="18"/>
          <w:lang w:val="id-ID"/>
        </w:rPr>
      </w:pPr>
    </w:p>
    <w:p w14:paraId="18C7CBBD" w14:textId="77777777" w:rsidR="00000000" w:rsidRDefault="00000000">
      <w:pPr>
        <w:ind w:firstLine="720"/>
        <w:jc w:val="center"/>
        <w:rPr>
          <w:rFonts w:ascii="Century Gothic" w:hAnsi="Century Gothic"/>
          <w:b/>
          <w:bCs/>
          <w:sz w:val="18"/>
          <w:szCs w:val="18"/>
          <w:lang w:val="id-ID"/>
        </w:rPr>
      </w:pPr>
      <w:r>
        <w:rPr>
          <w:rFonts w:ascii="Century Gothic" w:hAnsi="Century Gothic"/>
          <w:b/>
          <w:bCs/>
          <w:sz w:val="18"/>
          <w:szCs w:val="18"/>
          <w:lang w:val="id-ID"/>
        </w:rPr>
        <w:t>Gambar 4. Nilai Rata-Rata Sikap Penggunaan Produk Halal</w:t>
      </w:r>
    </w:p>
    <w:p w14:paraId="43DFCBCE" w14:textId="77777777" w:rsidR="00000000" w:rsidRDefault="00000000">
      <w:pPr>
        <w:ind w:firstLine="720"/>
        <w:jc w:val="center"/>
        <w:rPr>
          <w:rFonts w:ascii="Century Gothic" w:hAnsi="Century Gothic"/>
          <w:b/>
          <w:bCs/>
          <w:sz w:val="18"/>
          <w:szCs w:val="18"/>
          <w:lang w:val="id-ID"/>
        </w:rPr>
      </w:pPr>
    </w:p>
    <w:p w14:paraId="7B9A75E0" w14:textId="77777777" w:rsidR="00000000" w:rsidRDefault="00000000">
      <w:pPr>
        <w:pStyle w:val="ListParagraph"/>
        <w:ind w:left="360" w:firstLine="0"/>
        <w:rPr>
          <w:rFonts w:ascii="Century Gothic" w:hAnsi="Century Gothic"/>
          <w:sz w:val="18"/>
          <w:szCs w:val="18"/>
          <w:lang w:val="id-ID"/>
        </w:rPr>
      </w:pPr>
    </w:p>
    <w:p w14:paraId="6FA8FC9F" w14:textId="77777777" w:rsidR="00000000" w:rsidRDefault="00000000">
      <w:pPr>
        <w:pStyle w:val="ListParagraph"/>
        <w:numPr>
          <w:ilvl w:val="0"/>
          <w:numId w:val="3"/>
        </w:numPr>
        <w:ind w:left="360"/>
        <w:rPr>
          <w:rFonts w:ascii="Century Gothic" w:hAnsi="Century Gothic"/>
          <w:sz w:val="18"/>
          <w:szCs w:val="18"/>
          <w:lang w:val="nb-NO"/>
        </w:rPr>
      </w:pPr>
      <w:r>
        <w:rPr>
          <w:rFonts w:ascii="Century Gothic" w:hAnsi="Century Gothic"/>
          <w:b/>
          <w:bCs/>
          <w:sz w:val="18"/>
          <w:szCs w:val="18"/>
          <w:lang w:val="id-ID"/>
        </w:rPr>
        <w:t>Kesadaran Halal</w:t>
      </w:r>
    </w:p>
    <w:p w14:paraId="40F04F7B" w14:textId="77777777" w:rsidR="00000000" w:rsidRDefault="00000000">
      <w:pPr>
        <w:pStyle w:val="ListParagraph"/>
        <w:ind w:left="360" w:firstLine="0"/>
        <w:rPr>
          <w:rFonts w:ascii="Century Gothic" w:hAnsi="Century Gothic"/>
          <w:sz w:val="18"/>
          <w:szCs w:val="18"/>
          <w:lang w:val="nb-NO"/>
        </w:rPr>
      </w:pPr>
      <w:r>
        <w:rPr>
          <w:rFonts w:ascii="Century Gothic" w:hAnsi="Century Gothic"/>
          <w:sz w:val="18"/>
          <w:szCs w:val="18"/>
          <w:lang w:val="nb-NO"/>
        </w:rPr>
        <w:t xml:space="preserve">Indikator terakhir yang diukur dalam literasi industri halal adalah kesadaran halal. Berdasarkan hasil kuesioner pada Gambar 5, sebagian besar khatib dan jamaah memiliki kesadaran halal yang cukup </w:t>
      </w:r>
      <w:r>
        <w:rPr>
          <w:rFonts w:ascii="Century Gothic" w:hAnsi="Century Gothic"/>
          <w:sz w:val="18"/>
          <w:szCs w:val="18"/>
          <w:lang w:val="nb-NO"/>
        </w:rPr>
        <w:lastRenderedPageBreak/>
        <w:t xml:space="preserve">baik, dengan nilai rata-rata pada indikator ini berkisar di angka 3,67. Beberapa responden, seperti NA, HA, dan MS, memperoleh skor rata-rata 4,00, yang menunjukkan tingkat kesadaran halal yang tinggi. Namun, masih ada responden seperti MR yang mendapatkan skor 2,8. Hal ini menunjukkan perlunya perluasan cakupan materi sosialisasi yang tidak terbatas pada aspek makanan dan minuman, namun mencakup sektor farmasi dan kosmetik. </w:t>
      </w:r>
    </w:p>
    <w:p w14:paraId="5E25F4ED" w14:textId="77777777" w:rsidR="00000000" w:rsidRDefault="00000000">
      <w:pPr>
        <w:pStyle w:val="ListParagraph"/>
        <w:ind w:left="360" w:firstLine="0"/>
        <w:rPr>
          <w:rFonts w:ascii="Century Gothic" w:hAnsi="Century Gothic"/>
          <w:sz w:val="18"/>
          <w:szCs w:val="18"/>
          <w:lang w:val="nb-NO"/>
        </w:rPr>
      </w:pPr>
    </w:p>
    <w:p w14:paraId="713220BB" w14:textId="6ACF5A3D" w:rsidR="00000000" w:rsidRDefault="008F6625">
      <w:pPr>
        <w:rPr>
          <w:rFonts w:ascii="Century Gothic" w:hAnsi="Century Gothic"/>
          <w:sz w:val="18"/>
          <w:szCs w:val="18"/>
          <w:lang w:val="id-ID"/>
        </w:rPr>
      </w:pPr>
      <w:r>
        <w:rPr>
          <w:noProof/>
        </w:rPr>
        <w:drawing>
          <wp:anchor distT="0" distB="0" distL="0" distR="0" simplePos="0" relativeHeight="251659776" behindDoc="0" locked="0" layoutInCell="0" allowOverlap="1" wp14:anchorId="24A26B08" wp14:editId="76A6747A">
            <wp:simplePos x="0" y="0"/>
            <wp:positionH relativeFrom="column">
              <wp:posOffset>1178560</wp:posOffset>
            </wp:positionH>
            <wp:positionV relativeFrom="paragraph">
              <wp:posOffset>126365</wp:posOffset>
            </wp:positionV>
            <wp:extent cx="3973830" cy="1998345"/>
            <wp:effectExtent l="0" t="0" r="0" b="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73830" cy="1998345"/>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p>
    <w:p w14:paraId="2B1E90B5" w14:textId="77777777" w:rsidR="00000000" w:rsidRDefault="00000000">
      <w:pPr>
        <w:rPr>
          <w:rFonts w:ascii="Century Gothic" w:hAnsi="Century Gothic"/>
          <w:b/>
          <w:bCs/>
          <w:sz w:val="18"/>
          <w:szCs w:val="18"/>
          <w:lang w:val="id-ID"/>
        </w:rPr>
      </w:pPr>
    </w:p>
    <w:p w14:paraId="4EA24373" w14:textId="77777777" w:rsidR="00000000" w:rsidRDefault="00000000">
      <w:pPr>
        <w:rPr>
          <w:rFonts w:ascii="Century Gothic" w:hAnsi="Century Gothic"/>
          <w:b/>
          <w:bCs/>
          <w:sz w:val="18"/>
          <w:szCs w:val="18"/>
          <w:lang w:val="id-ID"/>
        </w:rPr>
      </w:pPr>
    </w:p>
    <w:p w14:paraId="4202687F" w14:textId="77777777" w:rsidR="00000000" w:rsidRDefault="00000000">
      <w:pPr>
        <w:rPr>
          <w:rFonts w:ascii="Century Gothic" w:hAnsi="Century Gothic"/>
          <w:b/>
          <w:bCs/>
          <w:sz w:val="18"/>
          <w:szCs w:val="18"/>
          <w:lang w:val="id-ID"/>
        </w:rPr>
      </w:pPr>
    </w:p>
    <w:p w14:paraId="716FA22E" w14:textId="77777777" w:rsidR="00000000" w:rsidRDefault="00000000">
      <w:pPr>
        <w:rPr>
          <w:rFonts w:ascii="Century Gothic" w:hAnsi="Century Gothic"/>
          <w:b/>
          <w:bCs/>
          <w:sz w:val="18"/>
          <w:szCs w:val="18"/>
          <w:lang w:val="id-ID"/>
        </w:rPr>
      </w:pPr>
    </w:p>
    <w:p w14:paraId="62ADBAF1" w14:textId="77777777" w:rsidR="00000000" w:rsidRDefault="00000000">
      <w:pPr>
        <w:rPr>
          <w:rFonts w:ascii="Century Gothic" w:hAnsi="Century Gothic"/>
          <w:b/>
          <w:bCs/>
          <w:sz w:val="18"/>
          <w:szCs w:val="18"/>
          <w:lang w:val="id-ID"/>
        </w:rPr>
      </w:pPr>
    </w:p>
    <w:p w14:paraId="3DE98FAF" w14:textId="77777777" w:rsidR="00000000" w:rsidRDefault="00000000">
      <w:pPr>
        <w:rPr>
          <w:rFonts w:ascii="Century Gothic" w:hAnsi="Century Gothic"/>
          <w:b/>
          <w:bCs/>
          <w:sz w:val="18"/>
          <w:szCs w:val="18"/>
          <w:lang w:val="id-ID"/>
        </w:rPr>
      </w:pPr>
    </w:p>
    <w:p w14:paraId="443A0823" w14:textId="77777777" w:rsidR="00000000" w:rsidRDefault="00000000">
      <w:pPr>
        <w:rPr>
          <w:rFonts w:ascii="Century Gothic" w:hAnsi="Century Gothic"/>
          <w:b/>
          <w:bCs/>
          <w:sz w:val="18"/>
          <w:szCs w:val="18"/>
          <w:lang w:val="id-ID"/>
        </w:rPr>
      </w:pPr>
    </w:p>
    <w:p w14:paraId="0156FF36" w14:textId="77777777" w:rsidR="00000000" w:rsidRDefault="00000000">
      <w:pPr>
        <w:rPr>
          <w:rFonts w:ascii="Century Gothic" w:hAnsi="Century Gothic"/>
          <w:b/>
          <w:bCs/>
          <w:sz w:val="18"/>
          <w:szCs w:val="18"/>
          <w:lang w:val="id-ID"/>
        </w:rPr>
      </w:pPr>
    </w:p>
    <w:p w14:paraId="01895B97" w14:textId="77777777" w:rsidR="00000000" w:rsidRDefault="00000000">
      <w:pPr>
        <w:rPr>
          <w:rFonts w:ascii="Century Gothic" w:hAnsi="Century Gothic"/>
          <w:b/>
          <w:bCs/>
          <w:sz w:val="18"/>
          <w:szCs w:val="18"/>
          <w:lang w:val="id-ID"/>
        </w:rPr>
      </w:pPr>
    </w:p>
    <w:p w14:paraId="0D8B6057" w14:textId="77777777" w:rsidR="00000000" w:rsidRDefault="00000000">
      <w:pPr>
        <w:rPr>
          <w:rFonts w:ascii="Century Gothic" w:hAnsi="Century Gothic"/>
          <w:b/>
          <w:bCs/>
          <w:sz w:val="18"/>
          <w:szCs w:val="18"/>
          <w:lang w:val="id-ID"/>
        </w:rPr>
      </w:pPr>
    </w:p>
    <w:p w14:paraId="36FB9639" w14:textId="77777777" w:rsidR="00000000" w:rsidRDefault="00000000">
      <w:pPr>
        <w:rPr>
          <w:rFonts w:ascii="Century Gothic" w:hAnsi="Century Gothic"/>
          <w:b/>
          <w:bCs/>
          <w:sz w:val="18"/>
          <w:szCs w:val="18"/>
          <w:lang w:val="id-ID"/>
        </w:rPr>
      </w:pPr>
    </w:p>
    <w:p w14:paraId="6CBEE521" w14:textId="77777777" w:rsidR="00000000" w:rsidRDefault="00000000">
      <w:pPr>
        <w:rPr>
          <w:rFonts w:ascii="Century Gothic" w:hAnsi="Century Gothic"/>
          <w:b/>
          <w:bCs/>
          <w:sz w:val="18"/>
          <w:szCs w:val="18"/>
          <w:lang w:val="id-ID"/>
        </w:rPr>
      </w:pPr>
    </w:p>
    <w:p w14:paraId="72691207" w14:textId="77777777" w:rsidR="00000000" w:rsidRDefault="00000000">
      <w:pPr>
        <w:rPr>
          <w:rFonts w:ascii="Century Gothic" w:hAnsi="Century Gothic"/>
          <w:b/>
          <w:bCs/>
          <w:sz w:val="18"/>
          <w:szCs w:val="18"/>
          <w:lang w:val="id-ID"/>
        </w:rPr>
      </w:pPr>
    </w:p>
    <w:p w14:paraId="43E59E3D" w14:textId="77777777" w:rsidR="00000000" w:rsidRDefault="00000000">
      <w:pPr>
        <w:rPr>
          <w:rFonts w:ascii="Century Gothic" w:hAnsi="Century Gothic"/>
          <w:b/>
          <w:bCs/>
          <w:sz w:val="18"/>
          <w:szCs w:val="18"/>
          <w:lang w:val="id-ID"/>
        </w:rPr>
      </w:pPr>
    </w:p>
    <w:p w14:paraId="5AF46233" w14:textId="77777777" w:rsidR="00000000" w:rsidRDefault="00000000">
      <w:pPr>
        <w:rPr>
          <w:rFonts w:ascii="Century Gothic" w:hAnsi="Century Gothic"/>
          <w:b/>
          <w:bCs/>
          <w:sz w:val="18"/>
          <w:szCs w:val="18"/>
          <w:lang w:val="id-ID"/>
        </w:rPr>
      </w:pPr>
    </w:p>
    <w:p w14:paraId="6C6828C6" w14:textId="77777777" w:rsidR="00000000" w:rsidRDefault="00000000">
      <w:pPr>
        <w:jc w:val="center"/>
        <w:rPr>
          <w:rFonts w:ascii="Century Gothic" w:hAnsi="Century Gothic"/>
          <w:b/>
          <w:bCs/>
          <w:sz w:val="18"/>
          <w:szCs w:val="18"/>
          <w:lang w:val="id-ID"/>
        </w:rPr>
      </w:pPr>
      <w:r>
        <w:rPr>
          <w:rFonts w:ascii="Century Gothic" w:hAnsi="Century Gothic"/>
          <w:b/>
          <w:bCs/>
          <w:sz w:val="18"/>
          <w:szCs w:val="18"/>
          <w:lang w:val="id-ID"/>
        </w:rPr>
        <w:t>Gambar 5. Nilai Rata-Rata Kesadaran Halal</w:t>
      </w:r>
    </w:p>
    <w:p w14:paraId="72F1237F" w14:textId="77777777" w:rsidR="00000000" w:rsidRDefault="00000000">
      <w:pPr>
        <w:jc w:val="center"/>
        <w:rPr>
          <w:rFonts w:ascii="Century Gothic" w:hAnsi="Century Gothic"/>
          <w:b/>
          <w:bCs/>
          <w:sz w:val="18"/>
          <w:szCs w:val="18"/>
          <w:lang w:val="id-ID"/>
        </w:rPr>
      </w:pPr>
    </w:p>
    <w:p w14:paraId="27EBAACF" w14:textId="77777777" w:rsidR="00000000" w:rsidRDefault="00000000">
      <w:pPr>
        <w:rPr>
          <w:rFonts w:ascii="Century Gothic" w:hAnsi="Century Gothic"/>
          <w:b/>
          <w:bCs/>
          <w:sz w:val="18"/>
          <w:szCs w:val="18"/>
          <w:lang w:val="id-ID"/>
        </w:rPr>
      </w:pPr>
    </w:p>
    <w:p w14:paraId="1704A1CA" w14:textId="77777777" w:rsidR="00000000" w:rsidRDefault="00000000">
      <w:pPr>
        <w:rPr>
          <w:rFonts w:ascii="Century Gothic" w:hAnsi="Century Gothic"/>
          <w:b/>
          <w:bCs/>
          <w:sz w:val="18"/>
          <w:szCs w:val="18"/>
          <w:lang w:val="id-ID"/>
        </w:rPr>
      </w:pPr>
      <w:r>
        <w:rPr>
          <w:rFonts w:ascii="Century Gothic" w:hAnsi="Century Gothic"/>
          <w:b/>
          <w:bCs/>
          <w:sz w:val="18"/>
          <w:szCs w:val="18"/>
          <w:lang w:val="id-ID"/>
        </w:rPr>
        <w:t>KESIMPULAN</w:t>
      </w:r>
    </w:p>
    <w:p w14:paraId="27BF8D03" w14:textId="77777777" w:rsidR="00000000" w:rsidRDefault="00000000">
      <w:pPr>
        <w:rPr>
          <w:rFonts w:ascii="Century Gothic" w:hAnsi="Century Gothic"/>
          <w:b/>
          <w:bCs/>
          <w:sz w:val="18"/>
          <w:szCs w:val="18"/>
          <w:lang w:val="id-ID"/>
        </w:rPr>
      </w:pPr>
    </w:p>
    <w:p w14:paraId="7A9182A1" w14:textId="77777777" w:rsidR="00000000" w:rsidRDefault="00000000">
      <w:pPr>
        <w:ind w:firstLine="360"/>
        <w:jc w:val="both"/>
        <w:rPr>
          <w:lang w:val="id-ID"/>
        </w:rPr>
      </w:pPr>
      <w:r>
        <w:rPr>
          <w:rFonts w:ascii="Century Gothic" w:hAnsi="Century Gothic"/>
          <w:sz w:val="18"/>
          <w:szCs w:val="18"/>
          <w:lang w:val="id-ID"/>
        </w:rPr>
        <w:t xml:space="preserve">Kegiatan sosialisasi peningkatan literasi industri halal ini merupakan bagian dari Pengabdian Kepada Masyarakat (PKM), khususnya untuk Kompetensi Bidang Keahlian (KBK) Keuangan Syariah Politeknik Negeri Jakarta. Kegiatan ini telah diselesaikan dengan baik dan dapat disimpulkan bahwa tingkat literasi industri halal para peserta sudah cukup memuaskan, terutama dari aspek penggunaan produk halal dan kesadaran halal. </w:t>
      </w:r>
      <w:r>
        <w:rPr>
          <w:rFonts w:ascii="Century Gothic" w:hAnsi="Century Gothic"/>
          <w:sz w:val="18"/>
          <w:szCs w:val="18"/>
          <w:lang w:val="nb-NO"/>
        </w:rPr>
        <w:t>Hal ini dapat dibuktikan dengan nilai rata-rata kuesioner sebesar 4,00 yang mencapai 44%-48%. Namun, untuk konteks pengetahuan terkait industri halal, masih perlu dilakukan peningkatan. Hal ini disebabkan karena nilai maksimal kuesioner hanya mencapai 26%. Peningkatan pengetahuan literasi industri halal menjadi penting untuk mendukung visi Indonesia dalam Master Plan Industri Halal 2023-2029, yaitu "Menjadikan Indonesia Sebagai Pusat Industri Halal Dunia," dengan salah satu indikator utamanya adalah "Menguatnya Indeks Literasi Industri Halal”.</w:t>
      </w:r>
    </w:p>
    <w:p w14:paraId="3B4D52D3" w14:textId="77777777" w:rsidR="00000000" w:rsidRDefault="00000000">
      <w:pPr>
        <w:rPr>
          <w:lang w:val="id-ID"/>
        </w:rPr>
      </w:pPr>
    </w:p>
    <w:p w14:paraId="206F37B4" w14:textId="77777777" w:rsidR="00000000" w:rsidRDefault="00000000">
      <w:pPr>
        <w:spacing w:after="200" w:line="276" w:lineRule="auto"/>
        <w:jc w:val="both"/>
        <w:rPr>
          <w:rFonts w:ascii="Century Gothic" w:hAnsi="Century Gothic"/>
          <w:sz w:val="18"/>
          <w:szCs w:val="18"/>
          <w:lang w:val="id-ID"/>
        </w:rPr>
      </w:pPr>
      <w:r>
        <w:rPr>
          <w:rFonts w:ascii="Century Gothic" w:hAnsi="Century Gothic"/>
          <w:b/>
          <w:bCs/>
          <w:sz w:val="18"/>
          <w:szCs w:val="18"/>
          <w:lang w:val="id-ID"/>
        </w:rPr>
        <w:t xml:space="preserve">UCAPAN TERIMA KASIH </w:t>
      </w:r>
    </w:p>
    <w:p w14:paraId="65B8C011" w14:textId="77777777" w:rsidR="00000000" w:rsidRDefault="00000000">
      <w:pPr>
        <w:spacing w:after="200" w:line="276" w:lineRule="auto"/>
        <w:ind w:firstLine="360"/>
        <w:jc w:val="both"/>
        <w:rPr>
          <w:rFonts w:ascii="Century Gothic" w:hAnsi="Century Gothic"/>
          <w:b/>
          <w:bCs/>
          <w:sz w:val="18"/>
          <w:szCs w:val="18"/>
          <w:lang w:val="id-ID"/>
        </w:rPr>
      </w:pPr>
      <w:r>
        <w:rPr>
          <w:rFonts w:ascii="Century Gothic" w:hAnsi="Century Gothic"/>
          <w:sz w:val="18"/>
          <w:szCs w:val="18"/>
          <w:lang w:val="id-ID"/>
        </w:rPr>
        <w:t>Kegiatan PKM ini dilaksanakan dengan dukungan pendanaan dari Pusat Penelitian dan Pengabdian Kepada Masyarakat (P3M) Politeknik Negeri Jakarta</w:t>
      </w:r>
    </w:p>
    <w:p w14:paraId="7BAD378B" w14:textId="77777777" w:rsidR="00000000" w:rsidRDefault="00000000">
      <w:pPr>
        <w:spacing w:after="200" w:line="276" w:lineRule="auto"/>
        <w:jc w:val="both"/>
      </w:pPr>
      <w:r>
        <w:rPr>
          <w:rFonts w:ascii="Century Gothic" w:hAnsi="Century Gothic"/>
          <w:b/>
          <w:bCs/>
          <w:sz w:val="18"/>
          <w:szCs w:val="18"/>
          <w:lang w:val="id-ID"/>
        </w:rPr>
        <w:t>PUSTAKA</w:t>
      </w:r>
    </w:p>
    <w:p w14:paraId="3F38DADD" w14:textId="77777777" w:rsidR="00000000" w:rsidRDefault="00000000">
      <w:pPr>
        <w:widowControl w:val="0"/>
        <w:ind w:left="480" w:hanging="480"/>
        <w:jc w:val="both"/>
        <w:rPr>
          <w:rFonts w:ascii="Century Gothic" w:hAnsi="Century Gothic"/>
          <w:sz w:val="18"/>
        </w:rPr>
      </w:pPr>
      <w:r>
        <w:fldChar w:fldCharType="begin"/>
      </w:r>
      <w:r>
        <w:rPr>
          <w:rFonts w:ascii="Century Gothic" w:hAnsi="Century Gothic"/>
          <w:b/>
          <w:bCs/>
          <w:color w:val="FF0000"/>
          <w:sz w:val="18"/>
          <w:szCs w:val="18"/>
          <w:lang w:val="id-ID"/>
        </w:rPr>
        <w:instrText>ADDIN Mendeley Bibliography CSL_BIBLIOGRAPHY</w:instrText>
      </w:r>
      <w:r>
        <w:rPr>
          <w:rFonts w:ascii="Century Gothic" w:hAnsi="Century Gothic"/>
          <w:b/>
          <w:bCs/>
          <w:color w:val="FF0000"/>
          <w:sz w:val="18"/>
          <w:szCs w:val="18"/>
          <w:lang w:val="id-ID"/>
        </w:rPr>
        <w:fldChar w:fldCharType="separate"/>
      </w:r>
      <w:r>
        <w:rPr>
          <w:rFonts w:ascii="Century Gothic" w:hAnsi="Century Gothic"/>
          <w:sz w:val="18"/>
        </w:rPr>
        <w:t xml:space="preserve">Abbas, A. K. I. (2019). </w:t>
      </w:r>
      <w:r>
        <w:rPr>
          <w:rFonts w:ascii="Century Gothic" w:hAnsi="Century Gothic"/>
          <w:i/>
          <w:iCs/>
          <w:sz w:val="18"/>
        </w:rPr>
        <w:t>The Role of the Mosque as Community Center: A Social Sustainable Approach</w:t>
      </w:r>
      <w:r>
        <w:rPr>
          <w:rFonts w:ascii="Century Gothic" w:hAnsi="Century Gothic"/>
          <w:sz w:val="18"/>
        </w:rPr>
        <w:t>. Hamad bin Khalifa University.</w:t>
      </w:r>
    </w:p>
    <w:p w14:paraId="0331246F" w14:textId="77777777" w:rsidR="00000000" w:rsidRDefault="00000000">
      <w:pPr>
        <w:widowControl w:val="0"/>
        <w:ind w:left="480" w:hanging="480"/>
        <w:jc w:val="both"/>
        <w:rPr>
          <w:rFonts w:ascii="Century Gothic" w:hAnsi="Century Gothic"/>
          <w:sz w:val="18"/>
        </w:rPr>
      </w:pPr>
      <w:r>
        <w:rPr>
          <w:rFonts w:ascii="Century Gothic" w:hAnsi="Century Gothic"/>
          <w:sz w:val="18"/>
        </w:rPr>
        <w:t xml:space="preserve">Adamsah, B., &amp; Subakti, E. (2022). Development of the Halal Industry on Indonesian Economic Growth. </w:t>
      </w:r>
      <w:r>
        <w:rPr>
          <w:rFonts w:ascii="Century Gothic" w:hAnsi="Century Gothic"/>
          <w:i/>
          <w:iCs/>
          <w:sz w:val="18"/>
        </w:rPr>
        <w:t>Indonesia Journal of Halal</w:t>
      </w:r>
      <w:r>
        <w:rPr>
          <w:rFonts w:ascii="Century Gothic" w:hAnsi="Century Gothic"/>
          <w:sz w:val="18"/>
        </w:rPr>
        <w:t xml:space="preserve">, </w:t>
      </w:r>
      <w:r>
        <w:rPr>
          <w:rFonts w:ascii="Century Gothic" w:hAnsi="Century Gothic"/>
          <w:i/>
          <w:iCs/>
          <w:sz w:val="18"/>
        </w:rPr>
        <w:t>5</w:t>
      </w:r>
      <w:r>
        <w:rPr>
          <w:rFonts w:ascii="Century Gothic" w:hAnsi="Century Gothic"/>
          <w:sz w:val="18"/>
        </w:rPr>
        <w:t>(1), 71–75.</w:t>
      </w:r>
    </w:p>
    <w:p w14:paraId="0F4F6921" w14:textId="77777777" w:rsidR="00000000" w:rsidRDefault="00000000">
      <w:pPr>
        <w:widowControl w:val="0"/>
        <w:ind w:left="480" w:hanging="480"/>
        <w:jc w:val="both"/>
        <w:rPr>
          <w:rFonts w:ascii="Century Gothic" w:hAnsi="Century Gothic"/>
          <w:sz w:val="18"/>
        </w:rPr>
      </w:pPr>
      <w:r>
        <w:rPr>
          <w:rFonts w:ascii="Century Gothic" w:hAnsi="Century Gothic"/>
          <w:sz w:val="18"/>
        </w:rPr>
        <w:t xml:space="preserve">Afendi, A. (2020). The Effect of Halal Certification, Halal Awareness and Product Knowledge on Purchase Decisions for Halal Fashion Products. </w:t>
      </w:r>
      <w:r>
        <w:rPr>
          <w:rFonts w:ascii="Century Gothic" w:hAnsi="Century Gothic"/>
          <w:i/>
          <w:iCs/>
          <w:sz w:val="18"/>
        </w:rPr>
        <w:t>Journal of Digital Marketing and Halal Industry</w:t>
      </w:r>
      <w:r>
        <w:rPr>
          <w:rFonts w:ascii="Century Gothic" w:hAnsi="Century Gothic"/>
          <w:sz w:val="18"/>
        </w:rPr>
        <w:t xml:space="preserve">, </w:t>
      </w:r>
      <w:r>
        <w:rPr>
          <w:rFonts w:ascii="Century Gothic" w:hAnsi="Century Gothic"/>
          <w:i/>
          <w:iCs/>
          <w:sz w:val="18"/>
        </w:rPr>
        <w:t>2</w:t>
      </w:r>
      <w:r>
        <w:rPr>
          <w:rFonts w:ascii="Century Gothic" w:hAnsi="Century Gothic"/>
          <w:sz w:val="18"/>
        </w:rPr>
        <w:t>(2), 145–154. https://doi.org/10.21580/jdmhi.2020.2.2.6160</w:t>
      </w:r>
    </w:p>
    <w:p w14:paraId="7480D04F" w14:textId="77777777" w:rsidR="00000000" w:rsidRDefault="00000000">
      <w:pPr>
        <w:widowControl w:val="0"/>
        <w:ind w:left="480" w:hanging="480"/>
        <w:jc w:val="both"/>
        <w:rPr>
          <w:rFonts w:ascii="Century Gothic" w:hAnsi="Century Gothic"/>
          <w:sz w:val="18"/>
        </w:rPr>
      </w:pPr>
      <w:r>
        <w:rPr>
          <w:rFonts w:ascii="Century Gothic" w:hAnsi="Century Gothic"/>
          <w:sz w:val="18"/>
        </w:rPr>
        <w:t xml:space="preserve">Ambali, A. R., &amp; Bakar, A. N. (2014). People’s Awareness on Halal Foods and Products: Potential Issues for Policy-makers. </w:t>
      </w:r>
      <w:r>
        <w:rPr>
          <w:rFonts w:ascii="Century Gothic" w:hAnsi="Century Gothic"/>
          <w:i/>
          <w:iCs/>
          <w:sz w:val="18"/>
        </w:rPr>
        <w:t>Procedia - Social and Behavioral Sciences</w:t>
      </w:r>
      <w:r>
        <w:rPr>
          <w:rFonts w:ascii="Century Gothic" w:hAnsi="Century Gothic"/>
          <w:sz w:val="18"/>
        </w:rPr>
        <w:t xml:space="preserve">, </w:t>
      </w:r>
      <w:r>
        <w:rPr>
          <w:rFonts w:ascii="Century Gothic" w:hAnsi="Century Gothic"/>
          <w:i/>
          <w:iCs/>
          <w:sz w:val="18"/>
        </w:rPr>
        <w:t>121</w:t>
      </w:r>
      <w:r>
        <w:rPr>
          <w:rFonts w:ascii="Century Gothic" w:hAnsi="Century Gothic"/>
          <w:sz w:val="18"/>
        </w:rPr>
        <w:t>(September 2012), 3–25. https://doi.org/10.1016/j.sbspro.2014.01.1104</w:t>
      </w:r>
    </w:p>
    <w:p w14:paraId="0CC455D2" w14:textId="77777777" w:rsidR="00000000" w:rsidRDefault="00000000">
      <w:pPr>
        <w:widowControl w:val="0"/>
        <w:ind w:left="480" w:hanging="480"/>
        <w:jc w:val="both"/>
        <w:rPr>
          <w:rFonts w:ascii="Century Gothic" w:hAnsi="Century Gothic"/>
          <w:sz w:val="18"/>
        </w:rPr>
      </w:pPr>
      <w:r>
        <w:rPr>
          <w:rFonts w:ascii="Century Gothic" w:hAnsi="Century Gothic"/>
          <w:sz w:val="18"/>
        </w:rPr>
        <w:t xml:space="preserve">Anggraeni, M. D. (2011). Agency Theory Dalam Persperktif Islam Oleh: Mariska Dewi Anggraeni Jurusan Syariah STAIN Pekalongan. </w:t>
      </w:r>
      <w:r>
        <w:rPr>
          <w:rFonts w:ascii="Century Gothic" w:hAnsi="Century Gothic"/>
          <w:i/>
          <w:iCs/>
          <w:sz w:val="18"/>
        </w:rPr>
        <w:t>Jhi</w:t>
      </w:r>
      <w:r>
        <w:rPr>
          <w:rFonts w:ascii="Century Gothic" w:hAnsi="Century Gothic"/>
          <w:sz w:val="18"/>
        </w:rPr>
        <w:t xml:space="preserve">, </w:t>
      </w:r>
      <w:r>
        <w:rPr>
          <w:rFonts w:ascii="Century Gothic" w:hAnsi="Century Gothic"/>
          <w:i/>
          <w:iCs/>
          <w:sz w:val="18"/>
        </w:rPr>
        <w:t>9</w:t>
      </w:r>
      <w:r>
        <w:rPr>
          <w:rFonts w:ascii="Century Gothic" w:hAnsi="Century Gothic"/>
          <w:sz w:val="18"/>
        </w:rPr>
        <w:t>, 1–13.</w:t>
      </w:r>
    </w:p>
    <w:p w14:paraId="631D1B26" w14:textId="77777777" w:rsidR="00000000" w:rsidRDefault="00000000">
      <w:pPr>
        <w:widowControl w:val="0"/>
        <w:ind w:left="480" w:hanging="480"/>
        <w:jc w:val="both"/>
        <w:rPr>
          <w:rFonts w:ascii="Century Gothic" w:hAnsi="Century Gothic"/>
          <w:sz w:val="18"/>
        </w:rPr>
      </w:pPr>
      <w:r>
        <w:rPr>
          <w:rFonts w:ascii="Century Gothic" w:hAnsi="Century Gothic"/>
          <w:sz w:val="18"/>
        </w:rPr>
        <w:lastRenderedPageBreak/>
        <w:t xml:space="preserve">Apriliyanto, N., &amp; Hidayati, N. (2023). Nexus between halal certificate, competitive advantage, and entrepreneurial orientation of SMEs in Food and Beverage industry. </w:t>
      </w:r>
      <w:r>
        <w:rPr>
          <w:rFonts w:ascii="Century Gothic" w:hAnsi="Century Gothic"/>
          <w:i/>
          <w:iCs/>
          <w:sz w:val="18"/>
        </w:rPr>
        <w:t>Journal of Enterprise and Development (JED)</w:t>
      </w:r>
      <w:r>
        <w:rPr>
          <w:rFonts w:ascii="Century Gothic" w:hAnsi="Century Gothic"/>
          <w:sz w:val="18"/>
        </w:rPr>
        <w:t xml:space="preserve">, </w:t>
      </w:r>
      <w:r>
        <w:rPr>
          <w:rFonts w:ascii="Century Gothic" w:hAnsi="Century Gothic"/>
          <w:i/>
          <w:iCs/>
          <w:sz w:val="18"/>
        </w:rPr>
        <w:t>5</w:t>
      </w:r>
      <w:r>
        <w:rPr>
          <w:rFonts w:ascii="Century Gothic" w:hAnsi="Century Gothic"/>
          <w:sz w:val="18"/>
        </w:rPr>
        <w:t>(1), 2023.</w:t>
      </w:r>
    </w:p>
    <w:p w14:paraId="6EA7740B" w14:textId="77777777" w:rsidR="00000000" w:rsidRDefault="00000000">
      <w:pPr>
        <w:widowControl w:val="0"/>
        <w:ind w:left="480" w:hanging="480"/>
        <w:jc w:val="both"/>
        <w:rPr>
          <w:rFonts w:ascii="Century Gothic" w:hAnsi="Century Gothic"/>
          <w:sz w:val="18"/>
        </w:rPr>
      </w:pPr>
      <w:r>
        <w:rPr>
          <w:rFonts w:ascii="Century Gothic" w:hAnsi="Century Gothic"/>
          <w:sz w:val="18"/>
        </w:rPr>
        <w:t xml:space="preserve">Azam, M. S. E., &amp; ABDULLAH, M. A. (2020). Global Halal Industry: Realities and Opportunities. </w:t>
      </w:r>
      <w:r>
        <w:rPr>
          <w:rFonts w:ascii="Century Gothic" w:hAnsi="Century Gothic"/>
          <w:i/>
          <w:iCs/>
          <w:sz w:val="18"/>
        </w:rPr>
        <w:t>International Journal of Islamic Business Ethics</w:t>
      </w:r>
      <w:r>
        <w:rPr>
          <w:rFonts w:ascii="Century Gothic" w:hAnsi="Century Gothic"/>
          <w:sz w:val="18"/>
        </w:rPr>
        <w:t xml:space="preserve">, </w:t>
      </w:r>
      <w:r>
        <w:rPr>
          <w:rFonts w:ascii="Century Gothic" w:hAnsi="Century Gothic"/>
          <w:i/>
          <w:iCs/>
          <w:sz w:val="18"/>
        </w:rPr>
        <w:t>5</w:t>
      </w:r>
      <w:r>
        <w:rPr>
          <w:rFonts w:ascii="Century Gothic" w:hAnsi="Century Gothic"/>
          <w:sz w:val="18"/>
        </w:rPr>
        <w:t>(1), 47. https://doi.org/10.30659/ijibe.5.1.47-59</w:t>
      </w:r>
    </w:p>
    <w:p w14:paraId="291BB1C6" w14:textId="77777777" w:rsidR="00000000" w:rsidRDefault="00000000">
      <w:pPr>
        <w:widowControl w:val="0"/>
        <w:ind w:left="480" w:hanging="480"/>
        <w:jc w:val="both"/>
        <w:rPr>
          <w:rFonts w:ascii="Century Gothic" w:hAnsi="Century Gothic"/>
          <w:sz w:val="18"/>
        </w:rPr>
      </w:pPr>
      <w:r>
        <w:rPr>
          <w:rFonts w:ascii="Century Gothic" w:hAnsi="Century Gothic"/>
          <w:sz w:val="18"/>
        </w:rPr>
        <w:t xml:space="preserve">Dinar Standard. (2023). </w:t>
      </w:r>
      <w:r>
        <w:rPr>
          <w:rFonts w:ascii="Century Gothic" w:hAnsi="Century Gothic"/>
          <w:i/>
          <w:iCs/>
          <w:sz w:val="18"/>
        </w:rPr>
        <w:t>State of the Global Islamic Economy Report 2023/24</w:t>
      </w:r>
      <w:r>
        <w:rPr>
          <w:rFonts w:ascii="Century Gothic" w:hAnsi="Century Gothic"/>
          <w:sz w:val="18"/>
        </w:rPr>
        <w:t>.</w:t>
      </w:r>
    </w:p>
    <w:p w14:paraId="267FC270" w14:textId="77777777" w:rsidR="00000000" w:rsidRDefault="00000000">
      <w:pPr>
        <w:widowControl w:val="0"/>
        <w:ind w:left="480" w:hanging="480"/>
        <w:jc w:val="both"/>
        <w:rPr>
          <w:rFonts w:ascii="Century Gothic" w:hAnsi="Century Gothic"/>
          <w:sz w:val="18"/>
        </w:rPr>
      </w:pPr>
      <w:r>
        <w:rPr>
          <w:rFonts w:ascii="Century Gothic" w:hAnsi="Century Gothic"/>
          <w:sz w:val="18"/>
        </w:rPr>
        <w:t xml:space="preserve">Ernayani, R., &amp; Firman, F. (2024). Transformasi Industri Halal: Keberlanjutan dan Inovasi dalam Perekonomian Syariah. </w:t>
      </w:r>
      <w:r>
        <w:rPr>
          <w:rFonts w:ascii="Century Gothic" w:hAnsi="Century Gothic"/>
          <w:i/>
          <w:iCs/>
          <w:sz w:val="18"/>
        </w:rPr>
        <w:t>Jesya: Jurnal Ekonomi &amp; Ekonomi Syariah</w:t>
      </w:r>
      <w:r>
        <w:rPr>
          <w:rFonts w:ascii="Century Gothic" w:hAnsi="Century Gothic"/>
          <w:sz w:val="18"/>
        </w:rPr>
        <w:t xml:space="preserve">, </w:t>
      </w:r>
      <w:r>
        <w:rPr>
          <w:rFonts w:ascii="Century Gothic" w:hAnsi="Century Gothic"/>
          <w:i/>
          <w:iCs/>
          <w:sz w:val="18"/>
        </w:rPr>
        <w:t>7</w:t>
      </w:r>
      <w:r>
        <w:rPr>
          <w:rFonts w:ascii="Century Gothic" w:hAnsi="Century Gothic"/>
          <w:sz w:val="18"/>
        </w:rPr>
        <w:t>(1), 1011–1020. https://doi.org/10.36778/jesya.v7i1.1490</w:t>
      </w:r>
    </w:p>
    <w:p w14:paraId="0E52FD6F" w14:textId="77777777" w:rsidR="00000000" w:rsidRDefault="00000000">
      <w:pPr>
        <w:widowControl w:val="0"/>
        <w:ind w:left="480" w:hanging="480"/>
        <w:jc w:val="both"/>
        <w:rPr>
          <w:rFonts w:ascii="Century Gothic" w:hAnsi="Century Gothic"/>
          <w:sz w:val="18"/>
        </w:rPr>
      </w:pPr>
      <w:r>
        <w:rPr>
          <w:rFonts w:ascii="Century Gothic" w:hAnsi="Century Gothic"/>
          <w:sz w:val="18"/>
        </w:rPr>
        <w:t xml:space="preserve">Hidayat, A., Al-aziz, M. A., &amp; Imyansah, M. U. (2024). Masjid sebagai Sentral Komunikasi Sosial dalam Penyebaran Informasi untuk Mendukung Pembangunan Masyarakat Islam. </w:t>
      </w:r>
      <w:r>
        <w:rPr>
          <w:rFonts w:ascii="Century Gothic" w:hAnsi="Century Gothic"/>
          <w:i/>
          <w:iCs/>
          <w:sz w:val="18"/>
        </w:rPr>
        <w:t>Moral: Jurnal Kajian Pendidikan Islam</w:t>
      </w:r>
      <w:r>
        <w:rPr>
          <w:rFonts w:ascii="Century Gothic" w:hAnsi="Century Gothic"/>
          <w:sz w:val="18"/>
        </w:rPr>
        <w:t xml:space="preserve">, </w:t>
      </w:r>
      <w:r>
        <w:rPr>
          <w:rFonts w:ascii="Century Gothic" w:hAnsi="Century Gothic"/>
          <w:i/>
          <w:iCs/>
          <w:sz w:val="18"/>
        </w:rPr>
        <w:t>1</w:t>
      </w:r>
      <w:r>
        <w:rPr>
          <w:rFonts w:ascii="Century Gothic" w:hAnsi="Century Gothic"/>
          <w:sz w:val="18"/>
        </w:rPr>
        <w:t>(4), 51–60.</w:t>
      </w:r>
    </w:p>
    <w:p w14:paraId="20D14E63" w14:textId="77777777" w:rsidR="00000000" w:rsidRDefault="00000000">
      <w:pPr>
        <w:widowControl w:val="0"/>
        <w:ind w:left="480" w:hanging="480"/>
        <w:jc w:val="both"/>
        <w:rPr>
          <w:rFonts w:ascii="Century Gothic" w:hAnsi="Century Gothic"/>
          <w:sz w:val="18"/>
        </w:rPr>
      </w:pPr>
      <w:r>
        <w:rPr>
          <w:rFonts w:ascii="Century Gothic" w:hAnsi="Century Gothic"/>
          <w:sz w:val="18"/>
        </w:rPr>
        <w:t xml:space="preserve">Jannah, S. M., &amp; Al-Banna, H. (2021). Halal Awareness and Halal Traceability: Muslim Consumers’ and Entrepreneurs’ Perspectives. </w:t>
      </w:r>
      <w:r>
        <w:rPr>
          <w:rFonts w:ascii="Century Gothic" w:hAnsi="Century Gothic"/>
          <w:i/>
          <w:iCs/>
          <w:sz w:val="18"/>
        </w:rPr>
        <w:t>Journal of Islamic Monetary Economics and Finance</w:t>
      </w:r>
      <w:r>
        <w:rPr>
          <w:rFonts w:ascii="Century Gothic" w:hAnsi="Century Gothic"/>
          <w:sz w:val="18"/>
        </w:rPr>
        <w:t xml:space="preserve">, </w:t>
      </w:r>
      <w:r>
        <w:rPr>
          <w:rFonts w:ascii="Century Gothic" w:hAnsi="Century Gothic"/>
          <w:i/>
          <w:iCs/>
          <w:sz w:val="18"/>
        </w:rPr>
        <w:t>7</w:t>
      </w:r>
      <w:r>
        <w:rPr>
          <w:rFonts w:ascii="Century Gothic" w:hAnsi="Century Gothic"/>
          <w:sz w:val="18"/>
        </w:rPr>
        <w:t>(2), 285–316. https://doi.org/10.21098/jimf.v7i2.1328</w:t>
      </w:r>
    </w:p>
    <w:p w14:paraId="18B8F53F" w14:textId="77777777" w:rsidR="00000000" w:rsidRDefault="00000000">
      <w:pPr>
        <w:widowControl w:val="0"/>
        <w:ind w:left="480" w:hanging="480"/>
        <w:jc w:val="both"/>
        <w:rPr>
          <w:rFonts w:ascii="Century Gothic" w:hAnsi="Century Gothic"/>
          <w:sz w:val="18"/>
        </w:rPr>
      </w:pPr>
      <w:r>
        <w:rPr>
          <w:rFonts w:ascii="Century Gothic" w:hAnsi="Century Gothic"/>
          <w:sz w:val="18"/>
        </w:rPr>
        <w:t xml:space="preserve">Khan, A., Arafat, M. Y., &amp; Azam, M. K. (2022). Role of halal literacy and religiosity in buying intention of halal branded food products in India. </w:t>
      </w:r>
      <w:r>
        <w:rPr>
          <w:rFonts w:ascii="Century Gothic" w:hAnsi="Century Gothic"/>
          <w:i/>
          <w:iCs/>
          <w:sz w:val="18"/>
        </w:rPr>
        <w:t>Journal of Islamic Marketing</w:t>
      </w:r>
      <w:r>
        <w:rPr>
          <w:rFonts w:ascii="Century Gothic" w:hAnsi="Century Gothic"/>
          <w:sz w:val="18"/>
        </w:rPr>
        <w:t xml:space="preserve">, </w:t>
      </w:r>
      <w:r>
        <w:rPr>
          <w:rFonts w:ascii="Century Gothic" w:hAnsi="Century Gothic"/>
          <w:i/>
          <w:iCs/>
          <w:sz w:val="18"/>
        </w:rPr>
        <w:t>13</w:t>
      </w:r>
      <w:r>
        <w:rPr>
          <w:rFonts w:ascii="Century Gothic" w:hAnsi="Century Gothic"/>
          <w:sz w:val="18"/>
        </w:rPr>
        <w:t>(2), 287–308. https://doi.org/10.1108/JIMA-08-2019-0175</w:t>
      </w:r>
    </w:p>
    <w:p w14:paraId="0AA53E18" w14:textId="77777777" w:rsidR="00000000" w:rsidRDefault="00000000">
      <w:pPr>
        <w:widowControl w:val="0"/>
        <w:ind w:left="480" w:hanging="480"/>
        <w:jc w:val="both"/>
        <w:rPr>
          <w:rFonts w:ascii="Century Gothic" w:hAnsi="Century Gothic"/>
          <w:sz w:val="18"/>
        </w:rPr>
      </w:pPr>
      <w:r>
        <w:rPr>
          <w:rFonts w:ascii="Century Gothic" w:hAnsi="Century Gothic"/>
          <w:sz w:val="18"/>
        </w:rPr>
        <w:t xml:space="preserve">Koc, F., Ozkan, B., Komodromos, M., Halil Efendioglu, I., &amp; Baran, T. (2024). The effects of trust and religiosity on halal products purchase intention: indirect effect of attitude. </w:t>
      </w:r>
      <w:r>
        <w:rPr>
          <w:rFonts w:ascii="Century Gothic" w:hAnsi="Century Gothic"/>
          <w:i/>
          <w:iCs/>
          <w:sz w:val="18"/>
        </w:rPr>
        <w:t>EuroMed Journal of Business</w:t>
      </w:r>
      <w:r>
        <w:rPr>
          <w:rFonts w:ascii="Century Gothic" w:hAnsi="Century Gothic"/>
          <w:sz w:val="18"/>
        </w:rPr>
        <w:t>. https://doi.org/10.1108/EMJB-01-2024-0004</w:t>
      </w:r>
    </w:p>
    <w:p w14:paraId="004BC7C9" w14:textId="77777777" w:rsidR="00000000" w:rsidRDefault="00000000">
      <w:pPr>
        <w:widowControl w:val="0"/>
        <w:ind w:left="480" w:hanging="480"/>
        <w:jc w:val="both"/>
        <w:rPr>
          <w:rFonts w:ascii="Century Gothic" w:hAnsi="Century Gothic"/>
          <w:sz w:val="18"/>
        </w:rPr>
      </w:pPr>
      <w:r>
        <w:rPr>
          <w:rFonts w:ascii="Century Gothic" w:hAnsi="Century Gothic"/>
          <w:sz w:val="18"/>
        </w:rPr>
        <w:t xml:space="preserve">Komite Nasional Ekonomi dan Keuangan Syariah. (2023). </w:t>
      </w:r>
      <w:r>
        <w:rPr>
          <w:rFonts w:ascii="Century Gothic" w:hAnsi="Century Gothic"/>
          <w:i/>
          <w:iCs/>
          <w:sz w:val="18"/>
        </w:rPr>
        <w:t>Master Plan Industri Halal Indonesia 2023-2024</w:t>
      </w:r>
      <w:r>
        <w:rPr>
          <w:rFonts w:ascii="Century Gothic" w:hAnsi="Century Gothic"/>
          <w:sz w:val="18"/>
        </w:rPr>
        <w:t>.</w:t>
      </w:r>
    </w:p>
    <w:p w14:paraId="763C0BCF" w14:textId="77777777" w:rsidR="00000000" w:rsidRDefault="00000000">
      <w:pPr>
        <w:widowControl w:val="0"/>
        <w:ind w:left="480" w:hanging="480"/>
        <w:jc w:val="both"/>
        <w:rPr>
          <w:rFonts w:ascii="Century Gothic" w:hAnsi="Century Gothic"/>
          <w:sz w:val="18"/>
        </w:rPr>
      </w:pPr>
      <w:r>
        <w:rPr>
          <w:rFonts w:ascii="Century Gothic" w:hAnsi="Century Gothic"/>
          <w:sz w:val="18"/>
        </w:rPr>
        <w:t xml:space="preserve">Krisna, R., Yusuf, M., &amp; Putra, E. (2023). Analysis of the Halal Ecosystem and Halal Literacy on the Development of Islamic Economic Halal Regulation. </w:t>
      </w:r>
      <w:r>
        <w:rPr>
          <w:rFonts w:ascii="Century Gothic" w:hAnsi="Century Gothic"/>
          <w:i/>
          <w:iCs/>
          <w:sz w:val="18"/>
        </w:rPr>
        <w:t>The 1st Proceeding of The International Conference on Business and Economics</w:t>
      </w:r>
      <w:r>
        <w:rPr>
          <w:rFonts w:ascii="Century Gothic" w:hAnsi="Century Gothic"/>
          <w:sz w:val="18"/>
        </w:rPr>
        <w:t xml:space="preserve">, </w:t>
      </w:r>
      <w:r>
        <w:rPr>
          <w:rFonts w:ascii="Century Gothic" w:hAnsi="Century Gothic"/>
          <w:i/>
          <w:iCs/>
          <w:sz w:val="18"/>
        </w:rPr>
        <w:t>1</w:t>
      </w:r>
      <w:r>
        <w:rPr>
          <w:rFonts w:ascii="Century Gothic" w:hAnsi="Century Gothic"/>
          <w:sz w:val="18"/>
        </w:rPr>
        <w:t>(1), 318–336.</w:t>
      </w:r>
    </w:p>
    <w:p w14:paraId="789E0154" w14:textId="77777777" w:rsidR="00000000" w:rsidRDefault="00000000">
      <w:pPr>
        <w:widowControl w:val="0"/>
        <w:ind w:left="480" w:hanging="480"/>
        <w:jc w:val="both"/>
        <w:rPr>
          <w:rFonts w:ascii="Century Gothic" w:hAnsi="Century Gothic"/>
          <w:sz w:val="18"/>
        </w:rPr>
      </w:pPr>
      <w:r>
        <w:rPr>
          <w:rFonts w:ascii="Century Gothic" w:hAnsi="Century Gothic"/>
          <w:sz w:val="18"/>
        </w:rPr>
        <w:t xml:space="preserve">Kurniawati, D. A., &amp; Savitri, H. (2020). Awareness level analysis of Indonesian consumers toward halal products. </w:t>
      </w:r>
      <w:r>
        <w:rPr>
          <w:rFonts w:ascii="Century Gothic" w:hAnsi="Century Gothic"/>
          <w:i/>
          <w:iCs/>
          <w:sz w:val="18"/>
        </w:rPr>
        <w:t>Journal of Islamic Marketing</w:t>
      </w:r>
      <w:r>
        <w:rPr>
          <w:rFonts w:ascii="Century Gothic" w:hAnsi="Century Gothic"/>
          <w:sz w:val="18"/>
        </w:rPr>
        <w:t xml:space="preserve">, </w:t>
      </w:r>
      <w:r>
        <w:rPr>
          <w:rFonts w:ascii="Century Gothic" w:hAnsi="Century Gothic"/>
          <w:i/>
          <w:iCs/>
          <w:sz w:val="18"/>
        </w:rPr>
        <w:t>11</w:t>
      </w:r>
      <w:r>
        <w:rPr>
          <w:rFonts w:ascii="Century Gothic" w:hAnsi="Century Gothic"/>
          <w:sz w:val="18"/>
        </w:rPr>
        <w:t>(2), 531–546. https://doi.org/10.1108/JIMA-10-2017-0104</w:t>
      </w:r>
    </w:p>
    <w:p w14:paraId="60A5E8C7" w14:textId="77777777" w:rsidR="00000000" w:rsidRDefault="00000000">
      <w:pPr>
        <w:widowControl w:val="0"/>
        <w:ind w:left="480" w:hanging="480"/>
        <w:jc w:val="both"/>
        <w:rPr>
          <w:rFonts w:ascii="Century Gothic" w:hAnsi="Century Gothic"/>
          <w:sz w:val="18"/>
        </w:rPr>
      </w:pPr>
      <w:r>
        <w:rPr>
          <w:rFonts w:ascii="Century Gothic" w:hAnsi="Century Gothic"/>
          <w:sz w:val="18"/>
        </w:rPr>
        <w:t xml:space="preserve">Loussaief, A., Ying-Chao Lin, J., Phuc Dang, H., Bouslama, N., &amp; Cheng, J. M. S. (2024). Eating halal: a serial mediation model for the effect of religiosity on the intention to purchase halal-certified food. </w:t>
      </w:r>
      <w:r>
        <w:rPr>
          <w:rFonts w:ascii="Century Gothic" w:hAnsi="Century Gothic"/>
          <w:i/>
          <w:iCs/>
          <w:sz w:val="18"/>
        </w:rPr>
        <w:t>Asia Pacific Journal of Marketing and Logistics</w:t>
      </w:r>
      <w:r>
        <w:rPr>
          <w:rFonts w:ascii="Century Gothic" w:hAnsi="Century Gothic"/>
          <w:sz w:val="18"/>
        </w:rPr>
        <w:t xml:space="preserve">, </w:t>
      </w:r>
      <w:r>
        <w:rPr>
          <w:rFonts w:ascii="Century Gothic" w:hAnsi="Century Gothic"/>
          <w:i/>
          <w:iCs/>
          <w:sz w:val="18"/>
        </w:rPr>
        <w:t>36</w:t>
      </w:r>
      <w:r>
        <w:rPr>
          <w:rFonts w:ascii="Century Gothic" w:hAnsi="Century Gothic"/>
          <w:sz w:val="18"/>
        </w:rPr>
        <w:t>(1), 167–184. https://doi.org/10.1108/APJML-10-2022-0868</w:t>
      </w:r>
    </w:p>
    <w:p w14:paraId="57DFFE79" w14:textId="77777777" w:rsidR="00000000" w:rsidRDefault="00000000">
      <w:pPr>
        <w:widowControl w:val="0"/>
        <w:ind w:left="480" w:hanging="480"/>
        <w:jc w:val="both"/>
        <w:rPr>
          <w:rFonts w:ascii="Century Gothic" w:hAnsi="Century Gothic"/>
          <w:sz w:val="18"/>
        </w:rPr>
      </w:pPr>
      <w:r>
        <w:rPr>
          <w:rFonts w:ascii="Century Gothic" w:hAnsi="Century Gothic"/>
          <w:sz w:val="18"/>
        </w:rPr>
        <w:t xml:space="preserve">Muhamed, A. A., Ab Rahman, M. N., Mohd Hamzah, F., Che Mohd Zain, C. R., &amp; Zailani, S. (2019). The impact of consumption value on consumer behaviour: A case study of halal-certified food supplies. </w:t>
      </w:r>
      <w:r>
        <w:rPr>
          <w:rFonts w:ascii="Century Gothic" w:hAnsi="Century Gothic"/>
          <w:i/>
          <w:iCs/>
          <w:sz w:val="18"/>
        </w:rPr>
        <w:t>British Food Journal</w:t>
      </w:r>
      <w:r>
        <w:rPr>
          <w:rFonts w:ascii="Century Gothic" w:hAnsi="Century Gothic"/>
          <w:sz w:val="18"/>
        </w:rPr>
        <w:t xml:space="preserve">, </w:t>
      </w:r>
      <w:r>
        <w:rPr>
          <w:rFonts w:ascii="Century Gothic" w:hAnsi="Century Gothic"/>
          <w:i/>
          <w:iCs/>
          <w:sz w:val="18"/>
        </w:rPr>
        <w:t>121</w:t>
      </w:r>
      <w:r>
        <w:rPr>
          <w:rFonts w:ascii="Century Gothic" w:hAnsi="Century Gothic"/>
          <w:sz w:val="18"/>
        </w:rPr>
        <w:t>(11), 2951–2966. https://doi.org/10.1108/BFJ-10-2018-0692</w:t>
      </w:r>
    </w:p>
    <w:p w14:paraId="47323C2D" w14:textId="77777777" w:rsidR="00000000" w:rsidRDefault="00000000">
      <w:pPr>
        <w:widowControl w:val="0"/>
        <w:ind w:left="480" w:hanging="480"/>
        <w:jc w:val="both"/>
        <w:rPr>
          <w:rFonts w:ascii="Century Gothic" w:hAnsi="Century Gothic"/>
          <w:sz w:val="18"/>
        </w:rPr>
      </w:pPr>
      <w:r>
        <w:rPr>
          <w:rFonts w:ascii="Century Gothic" w:hAnsi="Century Gothic"/>
          <w:sz w:val="18"/>
        </w:rPr>
        <w:t xml:space="preserve">Mursid, A., &amp; Wu, C. H. J. (2022). Halal company identity and halal restaurant loyalty: the role of customer satisfaction, customer trust and customer-company identification. </w:t>
      </w:r>
      <w:r>
        <w:rPr>
          <w:rFonts w:ascii="Century Gothic" w:hAnsi="Century Gothic"/>
          <w:i/>
          <w:iCs/>
          <w:sz w:val="18"/>
        </w:rPr>
        <w:t>Journal of Islamic Marketing</w:t>
      </w:r>
      <w:r>
        <w:rPr>
          <w:rFonts w:ascii="Century Gothic" w:hAnsi="Century Gothic"/>
          <w:sz w:val="18"/>
        </w:rPr>
        <w:t xml:space="preserve">, </w:t>
      </w:r>
      <w:r>
        <w:rPr>
          <w:rFonts w:ascii="Century Gothic" w:hAnsi="Century Gothic"/>
          <w:i/>
          <w:iCs/>
          <w:sz w:val="18"/>
        </w:rPr>
        <w:t>13</w:t>
      </w:r>
      <w:r>
        <w:rPr>
          <w:rFonts w:ascii="Century Gothic" w:hAnsi="Century Gothic"/>
          <w:sz w:val="18"/>
        </w:rPr>
        <w:t>(12), 2521–2541. https://doi.org/10.1108/JIMA-01-2020-0014</w:t>
      </w:r>
    </w:p>
    <w:p w14:paraId="6D3B6A7A" w14:textId="77777777" w:rsidR="00000000" w:rsidRDefault="00000000">
      <w:pPr>
        <w:widowControl w:val="0"/>
        <w:ind w:left="480" w:hanging="480"/>
        <w:jc w:val="both"/>
        <w:rPr>
          <w:rFonts w:ascii="Century Gothic" w:hAnsi="Century Gothic"/>
          <w:sz w:val="18"/>
        </w:rPr>
      </w:pPr>
      <w:r>
        <w:rPr>
          <w:rFonts w:ascii="Century Gothic" w:hAnsi="Century Gothic"/>
          <w:sz w:val="18"/>
        </w:rPr>
        <w:t xml:space="preserve">Nirwandar, S. (2018). Halal lifestyle industry, high growth and attractive investment in Indonesia. </w:t>
      </w:r>
      <w:r>
        <w:rPr>
          <w:rFonts w:ascii="Century Gothic" w:hAnsi="Century Gothic"/>
          <w:i/>
          <w:iCs/>
          <w:sz w:val="18"/>
        </w:rPr>
        <w:t>Malaysian Journal of Consumer and Family Economics</w:t>
      </w:r>
      <w:r>
        <w:rPr>
          <w:rFonts w:ascii="Century Gothic" w:hAnsi="Century Gothic"/>
          <w:sz w:val="18"/>
        </w:rPr>
        <w:t xml:space="preserve">, </w:t>
      </w:r>
      <w:r>
        <w:rPr>
          <w:rFonts w:ascii="Century Gothic" w:hAnsi="Century Gothic"/>
          <w:i/>
          <w:iCs/>
          <w:sz w:val="18"/>
        </w:rPr>
        <w:t>22</w:t>
      </w:r>
      <w:r>
        <w:rPr>
          <w:rFonts w:ascii="Century Gothic" w:hAnsi="Century Gothic"/>
          <w:sz w:val="18"/>
        </w:rPr>
        <w:t>(Special Issue 2), 144–152.</w:t>
      </w:r>
    </w:p>
    <w:p w14:paraId="1B70CC40" w14:textId="77777777" w:rsidR="00000000" w:rsidRDefault="00000000">
      <w:pPr>
        <w:widowControl w:val="0"/>
        <w:ind w:left="480" w:hanging="480"/>
        <w:jc w:val="both"/>
        <w:rPr>
          <w:rFonts w:ascii="Century Gothic" w:hAnsi="Century Gothic"/>
          <w:sz w:val="18"/>
        </w:rPr>
      </w:pPr>
      <w:r>
        <w:rPr>
          <w:rFonts w:ascii="Century Gothic" w:hAnsi="Century Gothic"/>
          <w:sz w:val="18"/>
        </w:rPr>
        <w:t xml:space="preserve">Nugraha, D. A., &amp; Sunartiningsih, A. (2021). Masjid Sebagai Ruang Literasi (Studi Kasus Masjid Jenderal Sudirman Colombo, Sleman, Yogyakarta). </w:t>
      </w:r>
      <w:r>
        <w:rPr>
          <w:rFonts w:ascii="Century Gothic" w:hAnsi="Century Gothic"/>
          <w:i/>
          <w:iCs/>
          <w:sz w:val="18"/>
        </w:rPr>
        <w:t>Kalimah: Jurnal Studi Agama Dan Pemikiran Islam</w:t>
      </w:r>
      <w:r>
        <w:rPr>
          <w:rFonts w:ascii="Century Gothic" w:hAnsi="Century Gothic"/>
          <w:sz w:val="18"/>
        </w:rPr>
        <w:t xml:space="preserve">, </w:t>
      </w:r>
      <w:r>
        <w:rPr>
          <w:rFonts w:ascii="Century Gothic" w:hAnsi="Century Gothic"/>
          <w:i/>
          <w:iCs/>
          <w:sz w:val="18"/>
        </w:rPr>
        <w:t>19</w:t>
      </w:r>
      <w:r>
        <w:rPr>
          <w:rFonts w:ascii="Century Gothic" w:hAnsi="Century Gothic"/>
          <w:sz w:val="18"/>
        </w:rPr>
        <w:t>(1), 139. https://doi.org/10.21111/klm.v19i1.6370</w:t>
      </w:r>
    </w:p>
    <w:p w14:paraId="51586587" w14:textId="77777777" w:rsidR="00000000" w:rsidRDefault="00000000">
      <w:pPr>
        <w:widowControl w:val="0"/>
        <w:ind w:left="480" w:hanging="480"/>
        <w:jc w:val="both"/>
        <w:rPr>
          <w:rFonts w:ascii="Century Gothic" w:hAnsi="Century Gothic"/>
          <w:sz w:val="18"/>
        </w:rPr>
      </w:pPr>
      <w:r>
        <w:rPr>
          <w:rFonts w:ascii="Century Gothic" w:hAnsi="Century Gothic"/>
          <w:sz w:val="18"/>
        </w:rPr>
        <w:t>Nurjamjam, S. (2024). The Influence of Halal Certification and Halal Quality Assurance Practices on Business Competitive Advantage</w:t>
      </w:r>
      <w:r>
        <w:rPr>
          <w:rFonts w:ascii="Arial" w:hAnsi="Arial" w:cs="Arial"/>
          <w:sz w:val="18"/>
        </w:rPr>
        <w:t> </w:t>
      </w:r>
      <w:r>
        <w:rPr>
          <w:rFonts w:ascii="Century Gothic" w:hAnsi="Century Gothic"/>
          <w:sz w:val="18"/>
        </w:rPr>
        <w:t xml:space="preserve">: Case Study of MSMEs in West Java. </w:t>
      </w:r>
      <w:r>
        <w:rPr>
          <w:rFonts w:ascii="Century Gothic" w:hAnsi="Century Gothic"/>
          <w:i/>
          <w:iCs/>
          <w:sz w:val="18"/>
        </w:rPr>
        <w:t>Indomesian Journal of Halal Studies</w:t>
      </w:r>
      <w:r>
        <w:rPr>
          <w:rFonts w:ascii="Century Gothic" w:hAnsi="Century Gothic"/>
          <w:sz w:val="18"/>
        </w:rPr>
        <w:t xml:space="preserve">, </w:t>
      </w:r>
      <w:r>
        <w:rPr>
          <w:rFonts w:ascii="Century Gothic" w:hAnsi="Century Gothic"/>
          <w:i/>
          <w:iCs/>
          <w:sz w:val="18"/>
        </w:rPr>
        <w:t>1</w:t>
      </w:r>
      <w:r>
        <w:rPr>
          <w:rFonts w:ascii="Century Gothic" w:hAnsi="Century Gothic"/>
          <w:sz w:val="18"/>
        </w:rPr>
        <w:t>(33), 69–80.</w:t>
      </w:r>
    </w:p>
    <w:p w14:paraId="473BC150" w14:textId="77777777" w:rsidR="00000000" w:rsidRDefault="00000000">
      <w:pPr>
        <w:widowControl w:val="0"/>
        <w:ind w:left="480" w:hanging="480"/>
        <w:jc w:val="both"/>
        <w:rPr>
          <w:rFonts w:ascii="Century Gothic" w:hAnsi="Century Gothic"/>
          <w:sz w:val="18"/>
        </w:rPr>
      </w:pPr>
      <w:r>
        <w:rPr>
          <w:rFonts w:ascii="Century Gothic" w:hAnsi="Century Gothic"/>
          <w:sz w:val="18"/>
        </w:rPr>
        <w:t xml:space="preserve">Prabowo, S., Rahman, A. A., Asnarulkhadi, Rahman, S. A., &amp; Samah, A. A. (2015). Revealing factors hindering halal certification in east kalimantan Indonesia. </w:t>
      </w:r>
      <w:r>
        <w:rPr>
          <w:rFonts w:ascii="Century Gothic" w:hAnsi="Century Gothic"/>
          <w:i/>
          <w:iCs/>
          <w:sz w:val="18"/>
        </w:rPr>
        <w:t>Journal of Islamic Marketing</w:t>
      </w:r>
      <w:r>
        <w:rPr>
          <w:rFonts w:ascii="Century Gothic" w:hAnsi="Century Gothic"/>
          <w:sz w:val="18"/>
        </w:rPr>
        <w:t xml:space="preserve">, </w:t>
      </w:r>
      <w:r>
        <w:rPr>
          <w:rFonts w:ascii="Century Gothic" w:hAnsi="Century Gothic"/>
          <w:i/>
          <w:iCs/>
          <w:sz w:val="18"/>
        </w:rPr>
        <w:t>6</w:t>
      </w:r>
      <w:r>
        <w:rPr>
          <w:rFonts w:ascii="Century Gothic" w:hAnsi="Century Gothic"/>
          <w:sz w:val="18"/>
        </w:rPr>
        <w:t>(2), 268–291.</w:t>
      </w:r>
    </w:p>
    <w:p w14:paraId="5A73E8A9" w14:textId="77777777" w:rsidR="00000000" w:rsidRDefault="00000000">
      <w:pPr>
        <w:widowControl w:val="0"/>
        <w:ind w:left="480" w:hanging="480"/>
        <w:jc w:val="both"/>
        <w:rPr>
          <w:rFonts w:ascii="Century Gothic" w:hAnsi="Century Gothic"/>
          <w:sz w:val="18"/>
        </w:rPr>
      </w:pPr>
      <w:r>
        <w:rPr>
          <w:rFonts w:ascii="Century Gothic" w:hAnsi="Century Gothic"/>
          <w:sz w:val="18"/>
        </w:rPr>
        <w:t xml:space="preserve">Salaheldeen, M., &amp; Battour, M. (2024). Fostering innovation capability and sustainable innovation in halal industry: the role of halal entrepreneurs’ success. </w:t>
      </w:r>
      <w:r>
        <w:rPr>
          <w:rFonts w:ascii="Century Gothic" w:hAnsi="Century Gothic"/>
          <w:i/>
          <w:iCs/>
          <w:sz w:val="18"/>
        </w:rPr>
        <w:t>Journal of Islamic Marketing</w:t>
      </w:r>
      <w:r>
        <w:rPr>
          <w:rFonts w:ascii="Century Gothic" w:hAnsi="Century Gothic"/>
          <w:sz w:val="18"/>
        </w:rPr>
        <w:t xml:space="preserve">, </w:t>
      </w:r>
      <w:r>
        <w:rPr>
          <w:rFonts w:ascii="Century Gothic" w:hAnsi="Century Gothic"/>
          <w:i/>
          <w:iCs/>
          <w:sz w:val="18"/>
        </w:rPr>
        <w:t>15</w:t>
      </w:r>
      <w:r>
        <w:rPr>
          <w:rFonts w:ascii="Century Gothic" w:hAnsi="Century Gothic"/>
          <w:sz w:val="18"/>
        </w:rPr>
        <w:t>(3), 777–799. https://doi.org/10.1108/JIMA-12-2022-0323</w:t>
      </w:r>
    </w:p>
    <w:p w14:paraId="2BB189FE" w14:textId="77777777" w:rsidR="00000000" w:rsidRDefault="00000000">
      <w:pPr>
        <w:widowControl w:val="0"/>
        <w:ind w:left="480" w:hanging="480"/>
        <w:jc w:val="both"/>
        <w:rPr>
          <w:rFonts w:ascii="Century Gothic" w:hAnsi="Century Gothic"/>
          <w:sz w:val="18"/>
        </w:rPr>
      </w:pPr>
      <w:r>
        <w:rPr>
          <w:rFonts w:ascii="Century Gothic" w:hAnsi="Century Gothic"/>
          <w:sz w:val="18"/>
        </w:rPr>
        <w:t xml:space="preserve">The Royal Islamic Strategic Studies Centre. (2023). </w:t>
      </w:r>
      <w:r>
        <w:rPr>
          <w:rFonts w:ascii="Century Gothic" w:hAnsi="Century Gothic"/>
          <w:i/>
          <w:iCs/>
          <w:sz w:val="18"/>
        </w:rPr>
        <w:t>The Muslim 500: The World’s 500 Most Influential Muslims 2024</w:t>
      </w:r>
      <w:r>
        <w:rPr>
          <w:rFonts w:ascii="Century Gothic" w:hAnsi="Century Gothic"/>
          <w:sz w:val="18"/>
        </w:rPr>
        <w:t xml:space="preserve"> (T. Elgawhary &amp; A. Ahmed (eds.); 1st ed.). Amman: Royal Al-Bayt for Islamic Thought.</w:t>
      </w:r>
    </w:p>
    <w:p w14:paraId="55078CA5" w14:textId="77777777" w:rsidR="00000000" w:rsidRDefault="00000000">
      <w:pPr>
        <w:widowControl w:val="0"/>
        <w:ind w:left="480" w:hanging="480"/>
        <w:jc w:val="both"/>
      </w:pPr>
      <w:r>
        <w:rPr>
          <w:rFonts w:ascii="Century Gothic" w:hAnsi="Century Gothic"/>
          <w:sz w:val="18"/>
        </w:rPr>
        <w:t xml:space="preserve">Wahyudi, F. S., Setiawan, M. A., &amp; ... (2023). Perkembangan, Tantangan, and Regulasi di Ekonomi Islam. </w:t>
      </w:r>
      <w:r>
        <w:rPr>
          <w:rFonts w:ascii="Century Gothic" w:hAnsi="Century Gothic"/>
          <w:i/>
          <w:iCs/>
          <w:sz w:val="18"/>
        </w:rPr>
        <w:t>Innovative: Journal of Social Science Research</w:t>
      </w:r>
      <w:r>
        <w:rPr>
          <w:rFonts w:ascii="Century Gothic" w:hAnsi="Century Gothic"/>
          <w:sz w:val="18"/>
        </w:rPr>
        <w:t xml:space="preserve">, </w:t>
      </w:r>
      <w:r>
        <w:rPr>
          <w:rFonts w:ascii="Century Gothic" w:hAnsi="Century Gothic"/>
          <w:i/>
          <w:iCs/>
          <w:sz w:val="18"/>
        </w:rPr>
        <w:t>3</w:t>
      </w:r>
      <w:r>
        <w:rPr>
          <w:rFonts w:ascii="Century Gothic" w:hAnsi="Century Gothic"/>
          <w:sz w:val="18"/>
        </w:rPr>
        <w:t>(6), 1801–1815.</w:t>
      </w:r>
    </w:p>
    <w:p w14:paraId="1DAB78B3" w14:textId="77777777" w:rsidR="00C530D5" w:rsidRDefault="00000000">
      <w:pPr>
        <w:widowControl w:val="0"/>
        <w:jc w:val="both"/>
      </w:pPr>
      <w:r>
        <w:rPr>
          <w:rFonts w:ascii="Century Gothic" w:hAnsi="Century Gothic"/>
          <w:b/>
          <w:bCs/>
          <w:color w:val="FF0000"/>
          <w:sz w:val="18"/>
          <w:szCs w:val="18"/>
          <w:lang w:val="id-ID"/>
        </w:rPr>
        <w:fldChar w:fldCharType="end"/>
      </w:r>
    </w:p>
    <w:sectPr w:rsidR="00C530D5">
      <w:type w:val="continuous"/>
      <w:pgSz w:w="11906" w:h="16157"/>
      <w:pgMar w:top="1411" w:right="1138" w:bottom="1699" w:left="1138" w:header="1138" w:footer="1138" w:gutter="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4C0E8C" w14:textId="77777777" w:rsidR="00C74735" w:rsidRDefault="00C74735">
      <w:r>
        <w:separator/>
      </w:r>
    </w:p>
  </w:endnote>
  <w:endnote w:type="continuationSeparator" w:id="0">
    <w:p w14:paraId="5532AD1D" w14:textId="77777777" w:rsidR="00C74735" w:rsidRDefault="00C74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font1282">
    <w:altName w:val="Calibri"/>
    <w:charset w:val="01"/>
    <w:family w:val="auto"/>
    <w:pitch w:val="variable"/>
  </w:font>
  <w:font w:name="Lucida Grande">
    <w:charset w:val="01"/>
    <w:family w:val="roman"/>
    <w:pitch w:val="variable"/>
  </w:font>
  <w:font w:name="Calibri">
    <w:panose1 w:val="020F0502020204030204"/>
    <w:charset w:val="00"/>
    <w:family w:val="swiss"/>
    <w:pitch w:val="variable"/>
    <w:sig w:usb0="E4002EFF" w:usb1="C200247B" w:usb2="00000009" w:usb3="00000000" w:csb0="000001FF" w:csb1="00000000"/>
  </w:font>
  <w:font w:name="DejaVu Sans">
    <w:charset w:val="01"/>
    <w:family w:val="swiss"/>
    <w:pitch w:val="variable"/>
  </w:font>
  <w:font w:name="ヒラギノ角ゴ Pro W3">
    <w:charset w:val="01"/>
    <w:family w:val="auto"/>
    <w:pitch w:val="variable"/>
  </w:font>
  <w:font w:name="Times New Roman Bold">
    <w:panose1 w:val="02020803070505020304"/>
    <w:charset w:val="01"/>
    <w:family w:val="roman"/>
    <w:pitch w:val="variable"/>
  </w:font>
  <w:font w:name="Times New Roman Bold Italic">
    <w:panose1 w:val="02020703060505090304"/>
    <w:charset w:val="01"/>
    <w:family w:val="roman"/>
    <w:pitch w:val="variable"/>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venir Black">
    <w:altName w:val="Calibri"/>
    <w:charset w:val="01"/>
    <w:family w:val="auto"/>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C837B1" w14:textId="77777777" w:rsidR="00000000" w:rsidRDefault="000000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70FA1C" w14:textId="77777777" w:rsidR="00000000" w:rsidRDefault="00000000">
    <w:pPr>
      <w:pStyle w:val="Footer"/>
      <w:jc w:val="center"/>
    </w:pPr>
    <w:r>
      <w:rPr>
        <w:sz w:val="14"/>
      </w:rPr>
      <w:fldChar w:fldCharType="begin"/>
    </w:r>
    <w:r>
      <w:rPr>
        <w:sz w:val="14"/>
      </w:rPr>
      <w:instrText xml:space="preserve"> PAGE </w:instrText>
    </w:r>
    <w:r>
      <w:rPr>
        <w:sz w:val="14"/>
      </w:rPr>
      <w:fldChar w:fldCharType="separate"/>
    </w:r>
    <w:r>
      <w:rPr>
        <w:sz w:val="14"/>
      </w:rPr>
      <w:t>7</w:t>
    </w:r>
    <w:r>
      <w:rPr>
        <w:sz w:val="1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134AFE" w14:textId="77777777" w:rsidR="00000000" w:rsidRDefault="00000000">
    <w:pPr>
      <w:pStyle w:val="Footer"/>
      <w:rPr>
        <w:sz w:val="14"/>
        <w:szCs w:val="14"/>
      </w:rPr>
    </w:pPr>
  </w:p>
  <w:p w14:paraId="50309C88" w14:textId="77777777" w:rsidR="00000000" w:rsidRDefault="00000000">
    <w:pPr>
      <w:pStyle w:val="Footer"/>
      <w:tabs>
        <w:tab w:val="left" w:pos="2880"/>
      </w:tabs>
      <w:ind w:left="2552"/>
      <w:jc w:val="right"/>
    </w:pPr>
    <w:r>
      <w:rPr>
        <w:sz w:val="14"/>
      </w:rPr>
      <w:t xml:space="preserve">© 2023 </w:t>
    </w:r>
    <w:r>
      <w:rPr>
        <w:sz w:val="14"/>
        <w:lang w:val="id-ID"/>
      </w:rPr>
      <w:t>Segala bentuk plagiarisme dan penyalahgunaan hak kekayaan intelektual akibat diterbitkannya paper pengabdian masyarakat ini sepenuhnya menjadi tanggung jawab penulis</w:t>
    </w:r>
    <w:r>
      <w:rPr>
        <w:sz w:val="14"/>
      </w:rPr>
      <w:t>.</w:t>
    </w:r>
  </w:p>
  <w:p w14:paraId="73F1F853" w14:textId="77777777" w:rsidR="00000000"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42ED7E" w14:textId="77777777" w:rsidR="00C74735" w:rsidRDefault="00C74735">
      <w:r>
        <w:separator/>
      </w:r>
    </w:p>
  </w:footnote>
  <w:footnote w:type="continuationSeparator" w:id="0">
    <w:p w14:paraId="6A2877CB" w14:textId="77777777" w:rsidR="00C74735" w:rsidRDefault="00C747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04328E" w14:textId="77777777" w:rsidR="00000000"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7E9C2E" w14:textId="77777777" w:rsidR="00000000" w:rsidRDefault="00000000">
    <w:pPr>
      <w:rPr>
        <w:b/>
        <w:sz w:val="14"/>
      </w:rPr>
    </w:pPr>
    <w:r>
      <w:rPr>
        <w:sz w:val="14"/>
      </w:rPr>
      <w:t xml:space="preserve">Nama belakang </w:t>
    </w:r>
    <w:r>
      <w:rPr>
        <w:sz w:val="14"/>
        <w:lang w:val="id-ID"/>
      </w:rPr>
      <w:t xml:space="preserve">Penulis </w:t>
    </w:r>
    <w:r>
      <w:rPr>
        <w:sz w:val="14"/>
      </w:rPr>
      <w:t xml:space="preserve">dst, </w:t>
    </w:r>
    <w:r>
      <w:rPr>
        <w:i/>
        <w:iCs/>
        <w:sz w:val="14"/>
      </w:rPr>
      <w:t xml:space="preserve">Reswara </w:t>
    </w:r>
    <w:r>
      <w:rPr>
        <w:i/>
        <w:sz w:val="14"/>
        <w:lang w:val="id-ID"/>
      </w:rPr>
      <w:t xml:space="preserve">Jurnal Pengabdian </w:t>
    </w:r>
    <w:r>
      <w:rPr>
        <w:i/>
        <w:sz w:val="14"/>
      </w:rPr>
      <w:t xml:space="preserve">Kepada </w:t>
    </w:r>
    <w:r>
      <w:rPr>
        <w:i/>
        <w:sz w:val="14"/>
        <w:lang w:val="id-ID"/>
      </w:rPr>
      <w:t xml:space="preserve">Masyarakat </w:t>
    </w:r>
    <w:r>
      <w:rPr>
        <w:i/>
        <w:sz w:val="14"/>
      </w:rPr>
      <w:t xml:space="preserve"> </w:t>
    </w:r>
    <w:r>
      <w:rPr>
        <w:sz w:val="14"/>
      </w:rPr>
      <w:t xml:space="preserve">20xx, Volume </w:t>
    </w:r>
    <w:r>
      <w:rPr>
        <w:sz w:val="14"/>
        <w:lang w:val="id-ID"/>
      </w:rPr>
      <w:t>Nomor</w:t>
    </w:r>
    <w:r>
      <w:rPr>
        <w:sz w:val="14"/>
      </w:rPr>
      <w:t xml:space="preserve">: </w:t>
    </w:r>
    <w:r>
      <w:rPr>
        <w:sz w:val="14"/>
        <w:lang w:val="id-ID"/>
      </w:rPr>
      <w:t>Nomor Halaman</w:t>
    </w:r>
  </w:p>
  <w:p w14:paraId="453A81ED" w14:textId="77777777" w:rsidR="00000000" w:rsidRDefault="00000000">
    <w:pPr>
      <w:pStyle w:val="Header"/>
      <w:pBdr>
        <w:top w:val="none" w:sz="0" w:space="0" w:color="000000"/>
        <w:left w:val="none" w:sz="0" w:space="0" w:color="000000"/>
        <w:bottom w:val="single" w:sz="4" w:space="1" w:color="000000"/>
        <w:right w:val="none" w:sz="0" w:space="0" w:color="000000"/>
      </w:pBdr>
      <w:jc w:val="both"/>
      <w:rPr>
        <w:sz w:val="14"/>
      </w:rPr>
    </w:pPr>
    <w:r>
      <w:rPr>
        <w:b/>
        <w:sz w:val="14"/>
      </w:rPr>
      <w:t>DOI:</w:t>
    </w:r>
  </w:p>
  <w:p w14:paraId="70974C8B" w14:textId="77777777" w:rsidR="00000000" w:rsidRDefault="00000000">
    <w:pPr>
      <w:pStyle w:val="Header"/>
      <w:jc w:val="both"/>
      <w:rPr>
        <w:sz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24558D" w14:textId="3756A299" w:rsidR="00000000" w:rsidRDefault="008F6625">
    <w:pPr>
      <w:pStyle w:val="Header"/>
      <w:tabs>
        <w:tab w:val="left" w:pos="7566"/>
        <w:tab w:val="right" w:pos="9020"/>
      </w:tabs>
    </w:pPr>
    <w:r>
      <w:rPr>
        <w:noProof/>
      </w:rPr>
      <mc:AlternateContent>
        <mc:Choice Requires="wps">
          <w:drawing>
            <wp:anchor distT="0" distB="0" distL="114300" distR="114300" simplePos="0" relativeHeight="251656704" behindDoc="1" locked="0" layoutInCell="0" allowOverlap="1" wp14:anchorId="137A25CE" wp14:editId="013A5EE2">
              <wp:simplePos x="0" y="0"/>
              <wp:positionH relativeFrom="column">
                <wp:posOffset>29845</wp:posOffset>
              </wp:positionH>
              <wp:positionV relativeFrom="paragraph">
                <wp:posOffset>-447040</wp:posOffset>
              </wp:positionV>
              <wp:extent cx="6098540" cy="609600"/>
              <wp:effectExtent l="0" t="0" r="0" b="635"/>
              <wp:wrapNone/>
              <wp:docPr id="211359842"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8540" cy="609600"/>
                      </a:xfrm>
                      <a:prstGeom prst="rect">
                        <a:avLst/>
                      </a:prstGeom>
                      <a:solidFill>
                        <a:srgbClr val="1F497D"/>
                      </a:solidFill>
                      <a:ln>
                        <a:noFill/>
                      </a:ln>
                      <a:effectLst/>
                      <a:extLst>
                        <a:ext uri="{91240B29-F687-4F45-9708-019B960494DF}">
                          <a14:hiddenLine xmlns:a14="http://schemas.microsoft.com/office/drawing/2010/main" w="9525">
                            <a:solidFill>
                              <a:srgbClr val="3465A4"/>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A5A7322" w14:textId="77777777" w:rsidR="005955D9" w:rsidRDefault="005955D9"/>
                      </w:txbxContent>
                    </wps:txbx>
                    <wps:bodyPr rot="0" vert="horz" wrap="square" lIns="91440" tIns="45720" rIns="91440" bIns="45720" anchor="ctr" anchorCtr="0">
                      <a:noAutofit/>
                    </wps:bodyPr>
                  </wps:wsp>
                </a:graphicData>
              </a:graphic>
              <wp14:sizeRelH relativeFrom="page">
                <wp14:pctWidth>0</wp14:pctWidth>
              </wp14:sizeRelH>
              <wp14:sizeRelV relativeFrom="page">
                <wp14:pctHeight>0</wp14:pctHeight>
              </wp14:sizeRelV>
            </wp:anchor>
          </w:drawing>
        </mc:Choice>
        <mc:Fallback>
          <w:pict>
            <v:rect w14:anchorId="137A25CE" id="Rectangle 7" o:spid="_x0000_s1026" style="position:absolute;margin-left:2.35pt;margin-top:-35.2pt;width:480.2pt;height:4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" o:allowincell="f" fillcolor="#1f497d" stroked="f" strokecolor="#3465a4">
              <v:stroke joinstyle="round"/>
              <v:textbox>
                <w:txbxContent>
                  <w:p w14:paraId="6A5A7322" w14:textId="77777777" w:rsidR="005955D9" w:rsidRDefault="005955D9"/>
                </w:txbxContent>
              </v:textbox>
            </v:rect>
          </w:pict>
        </mc:Fallback>
      </mc:AlternateContent>
    </w:r>
    <w:r>
      <w:rPr>
        <w:noProof/>
      </w:rPr>
      <mc:AlternateContent>
        <mc:Choice Requires="wps">
          <w:drawing>
            <wp:anchor distT="72390" distB="72390" distL="0" distR="0" simplePos="0" relativeHeight="251657728" behindDoc="0" locked="0" layoutInCell="0" allowOverlap="1" wp14:anchorId="50091631" wp14:editId="70362514">
              <wp:simplePos x="0" y="0"/>
              <wp:positionH relativeFrom="column">
                <wp:posOffset>29845</wp:posOffset>
              </wp:positionH>
              <wp:positionV relativeFrom="paragraph">
                <wp:posOffset>-447040</wp:posOffset>
              </wp:positionV>
              <wp:extent cx="6099175" cy="610235"/>
              <wp:effectExtent l="0" t="8890" r="6350" b="0"/>
              <wp:wrapNone/>
              <wp:docPr id="14978427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9175" cy="61023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593400" w14:textId="77777777" w:rsidR="00000000" w:rsidRDefault="00000000">
                          <w:pPr>
                            <w:pStyle w:val="FrameContents"/>
                            <w:ind w:right="136"/>
                            <w:jc w:val="right"/>
                            <w:rPr>
                              <w:rFonts w:ascii="Century Gothic" w:hAnsi="Century Gothic"/>
                              <w:b/>
                              <w:iCs/>
                              <w:color w:val="FFFFFF"/>
                              <w:sz w:val="18"/>
                              <w:lang w:val="id-ID"/>
                            </w:rPr>
                          </w:pPr>
                          <w:r>
                            <w:rPr>
                              <w:rFonts w:ascii="Century Gothic" w:hAnsi="Century Gothic"/>
                              <w:b/>
                              <w:color w:val="FFFFFF"/>
                            </w:rPr>
                            <w:t xml:space="preserve"> Reswara : Jurnal Pengabdian Kepada Masyarakat</w:t>
                          </w:r>
                          <w:r>
                            <w:rPr>
                              <w:rFonts w:ascii="Century Gothic" w:hAnsi="Century Gothic"/>
                              <w:b/>
                              <w:color w:val="FFFFFF"/>
                              <w:lang w:val="id-ID"/>
                            </w:rPr>
                            <w:t xml:space="preserve"> </w:t>
                          </w:r>
                        </w:p>
                        <w:p w14:paraId="692CA27D" w14:textId="77777777" w:rsidR="00000000" w:rsidRDefault="00000000">
                          <w:pPr>
                            <w:pStyle w:val="FrameContents"/>
                            <w:ind w:right="136"/>
                            <w:jc w:val="right"/>
                            <w:rPr>
                              <w:rFonts w:ascii="Century Gothic" w:hAnsi="Century Gothic"/>
                              <w:b/>
                              <w:iCs/>
                              <w:color w:val="FFFFFF"/>
                              <w:sz w:val="18"/>
                              <w:lang w:val="id-ID"/>
                            </w:rPr>
                          </w:pPr>
                          <w:r>
                            <w:rPr>
                              <w:rFonts w:ascii="Century Gothic" w:hAnsi="Century Gothic"/>
                              <w:b/>
                              <w:iCs/>
                              <w:color w:val="FFFFFF"/>
                              <w:sz w:val="18"/>
                              <w:lang w:val="id-ID"/>
                            </w:rPr>
                            <w:t>p-</w:t>
                          </w:r>
                          <w:r>
                            <w:rPr>
                              <w:rFonts w:ascii="Century Gothic" w:hAnsi="Century Gothic"/>
                              <w:b/>
                              <w:iCs/>
                              <w:color w:val="FFFFFF"/>
                              <w:sz w:val="18"/>
                            </w:rPr>
                            <w:t>ISSN</w:t>
                          </w:r>
                          <w:r>
                            <w:rPr>
                              <w:rFonts w:ascii="Century Gothic" w:hAnsi="Century Gothic"/>
                              <w:b/>
                              <w:iCs/>
                              <w:color w:val="FFFFFF"/>
                              <w:sz w:val="18"/>
                              <w:lang w:val="id-ID"/>
                            </w:rPr>
                            <w:t xml:space="preserve"> 2716-4861,</w:t>
                          </w:r>
                          <w:r>
                            <w:rPr>
                              <w:rFonts w:ascii="Century Gothic" w:hAnsi="Century Gothic"/>
                              <w:b/>
                              <w:iCs/>
                              <w:color w:val="FFFFFF"/>
                              <w:sz w:val="18"/>
                            </w:rPr>
                            <w:t xml:space="preserve"> </w:t>
                          </w:r>
                          <w:r>
                            <w:rPr>
                              <w:rFonts w:ascii="Century Gothic" w:hAnsi="Century Gothic"/>
                              <w:b/>
                              <w:iCs/>
                              <w:color w:val="FFFFFF"/>
                              <w:sz w:val="18"/>
                              <w:lang w:val="id-ID"/>
                            </w:rPr>
                            <w:t>e-</w:t>
                          </w:r>
                          <w:r>
                            <w:rPr>
                              <w:rFonts w:ascii="Century Gothic" w:hAnsi="Century Gothic"/>
                              <w:b/>
                              <w:iCs/>
                              <w:color w:val="FFFFFF"/>
                              <w:sz w:val="18"/>
                            </w:rPr>
                            <w:t>ISSN</w:t>
                          </w:r>
                          <w:r>
                            <w:rPr>
                              <w:rFonts w:ascii="Century Gothic" w:hAnsi="Century Gothic"/>
                              <w:b/>
                              <w:iCs/>
                              <w:color w:val="FFFFFF"/>
                              <w:sz w:val="18"/>
                              <w:lang w:val="id-ID"/>
                            </w:rPr>
                            <w:t xml:space="preserve"> 2716-3997</w:t>
                          </w:r>
                        </w:p>
                        <w:p w14:paraId="706281FB" w14:textId="77777777" w:rsidR="00000000" w:rsidRDefault="00000000">
                          <w:pPr>
                            <w:pStyle w:val="FrameContents"/>
                            <w:ind w:right="136"/>
                            <w:jc w:val="right"/>
                          </w:pPr>
                          <w:r>
                            <w:rPr>
                              <w:rFonts w:ascii="Century Gothic" w:hAnsi="Century Gothic"/>
                              <w:b/>
                              <w:iCs/>
                              <w:color w:val="FFFFFF"/>
                              <w:sz w:val="18"/>
                              <w:lang w:val="id-ID"/>
                            </w:rPr>
                            <w:t>Volume: Nomor: Edisi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0091631" id="_x0000_t202" coordsize="21600,21600" o:spt="202" path="m,l,21600r21600,l21600,xe">
              <v:stroke joinstyle="miter"/>
              <v:path gradientshapeok="t" o:connecttype="rect"/>
            </v:shapetype>
            <v:shape id="Text Box 2" o:spid="_x0000_s1027" type="#_x0000_t202" style="position:absolute;margin-left:2.35pt;margin-top:-35.2pt;width:480.25pt;height:48.05pt;z-index:251657728;visibility:visible;mso-wrap-style:square;mso-width-percent:0;mso-height-percent:0;mso-wrap-distance-left:0;mso-wrap-distance-top:5.7pt;mso-wrap-distance-right:0;mso-wrap-distance-bottom:5.7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" o:allowincell="f" stroked="f">
              <v:fill opacity="0"/>
              <v:textbox>
                <w:txbxContent>
                  <w:p w14:paraId="30593400" w14:textId="77777777" w:rsidR="00000000" w:rsidRDefault="00000000">
                    <w:pPr>
                      <w:pStyle w:val="FrameContents"/>
                      <w:ind w:right="136"/>
                      <w:jc w:val="right"/>
                      <w:rPr>
                        <w:rFonts w:ascii="Century Gothic" w:hAnsi="Century Gothic"/>
                        <w:b/>
                        <w:iCs/>
                        <w:color w:val="FFFFFF"/>
                        <w:sz w:val="18"/>
                        <w:lang w:val="id-ID"/>
                      </w:rPr>
                    </w:pPr>
                    <w:r>
                      <w:rPr>
                        <w:rFonts w:ascii="Century Gothic" w:hAnsi="Century Gothic"/>
                        <w:b/>
                        <w:color w:val="FFFFFF"/>
                      </w:rPr>
                      <w:t xml:space="preserve"> Reswara : Jurnal Pengabdian Kepada Masyarakat</w:t>
                    </w:r>
                    <w:r>
                      <w:rPr>
                        <w:rFonts w:ascii="Century Gothic" w:hAnsi="Century Gothic"/>
                        <w:b/>
                        <w:color w:val="FFFFFF"/>
                        <w:lang w:val="id-ID"/>
                      </w:rPr>
                      <w:t xml:space="preserve"> </w:t>
                    </w:r>
                  </w:p>
                  <w:p w14:paraId="692CA27D" w14:textId="77777777" w:rsidR="00000000" w:rsidRDefault="00000000">
                    <w:pPr>
                      <w:pStyle w:val="FrameContents"/>
                      <w:ind w:right="136"/>
                      <w:jc w:val="right"/>
                      <w:rPr>
                        <w:rFonts w:ascii="Century Gothic" w:hAnsi="Century Gothic"/>
                        <w:b/>
                        <w:iCs/>
                        <w:color w:val="FFFFFF"/>
                        <w:sz w:val="18"/>
                        <w:lang w:val="id-ID"/>
                      </w:rPr>
                    </w:pPr>
                    <w:r>
                      <w:rPr>
                        <w:rFonts w:ascii="Century Gothic" w:hAnsi="Century Gothic"/>
                        <w:b/>
                        <w:iCs/>
                        <w:color w:val="FFFFFF"/>
                        <w:sz w:val="18"/>
                        <w:lang w:val="id-ID"/>
                      </w:rPr>
                      <w:t>p-</w:t>
                    </w:r>
                    <w:r>
                      <w:rPr>
                        <w:rFonts w:ascii="Century Gothic" w:hAnsi="Century Gothic"/>
                        <w:b/>
                        <w:iCs/>
                        <w:color w:val="FFFFFF"/>
                        <w:sz w:val="18"/>
                      </w:rPr>
                      <w:t>ISSN</w:t>
                    </w:r>
                    <w:r>
                      <w:rPr>
                        <w:rFonts w:ascii="Century Gothic" w:hAnsi="Century Gothic"/>
                        <w:b/>
                        <w:iCs/>
                        <w:color w:val="FFFFFF"/>
                        <w:sz w:val="18"/>
                        <w:lang w:val="id-ID"/>
                      </w:rPr>
                      <w:t xml:space="preserve"> 2716-4861,</w:t>
                    </w:r>
                    <w:r>
                      <w:rPr>
                        <w:rFonts w:ascii="Century Gothic" w:hAnsi="Century Gothic"/>
                        <w:b/>
                        <w:iCs/>
                        <w:color w:val="FFFFFF"/>
                        <w:sz w:val="18"/>
                      </w:rPr>
                      <w:t xml:space="preserve"> </w:t>
                    </w:r>
                    <w:r>
                      <w:rPr>
                        <w:rFonts w:ascii="Century Gothic" w:hAnsi="Century Gothic"/>
                        <w:b/>
                        <w:iCs/>
                        <w:color w:val="FFFFFF"/>
                        <w:sz w:val="18"/>
                        <w:lang w:val="id-ID"/>
                      </w:rPr>
                      <w:t>e-</w:t>
                    </w:r>
                    <w:r>
                      <w:rPr>
                        <w:rFonts w:ascii="Century Gothic" w:hAnsi="Century Gothic"/>
                        <w:b/>
                        <w:iCs/>
                        <w:color w:val="FFFFFF"/>
                        <w:sz w:val="18"/>
                      </w:rPr>
                      <w:t>ISSN</w:t>
                    </w:r>
                    <w:r>
                      <w:rPr>
                        <w:rFonts w:ascii="Century Gothic" w:hAnsi="Century Gothic"/>
                        <w:b/>
                        <w:iCs/>
                        <w:color w:val="FFFFFF"/>
                        <w:sz w:val="18"/>
                        <w:lang w:val="id-ID"/>
                      </w:rPr>
                      <w:t xml:space="preserve"> 2716-3997</w:t>
                    </w:r>
                  </w:p>
                  <w:p w14:paraId="706281FB" w14:textId="77777777" w:rsidR="00000000" w:rsidRDefault="00000000">
                    <w:pPr>
                      <w:pStyle w:val="FrameContents"/>
                      <w:ind w:right="136"/>
                      <w:jc w:val="right"/>
                    </w:pPr>
                    <w:r>
                      <w:rPr>
                        <w:rFonts w:ascii="Century Gothic" w:hAnsi="Century Gothic"/>
                        <w:b/>
                        <w:iCs/>
                        <w:color w:val="FFFFFF"/>
                        <w:sz w:val="18"/>
                        <w:lang w:val="id-ID"/>
                      </w:rPr>
                      <w:t>Volume: Nomor: Edisi</w:t>
                    </w:r>
                  </w:p>
                </w:txbxContent>
              </v:textbox>
            </v:shape>
          </w:pict>
        </mc:Fallback>
      </mc:AlternateContent>
    </w:r>
    <w:r>
      <w:rPr>
        <w:noProof/>
      </w:rPr>
      <w:drawing>
        <wp:anchor distT="0" distB="0" distL="0" distR="0" simplePos="0" relativeHeight="251658752" behindDoc="0" locked="0" layoutInCell="0" allowOverlap="1" wp14:anchorId="07A54526" wp14:editId="61AF4819">
          <wp:simplePos x="0" y="0"/>
          <wp:positionH relativeFrom="column">
            <wp:posOffset>5080</wp:posOffset>
          </wp:positionH>
          <wp:positionV relativeFrom="paragraph">
            <wp:posOffset>-473710</wp:posOffset>
          </wp:positionV>
          <wp:extent cx="570865" cy="669925"/>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l="30705" t="22546" r="29745" b="31065"/>
                  <a:stretch>
                    <a:fillRect/>
                  </a:stretch>
                </pic:blipFill>
                <pic:spPr bwMode="auto">
                  <a:xfrm>
                    <a:off x="0" y="0"/>
                    <a:ext cx="570865" cy="669925"/>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r w:rsidR="00000000">
      <w:rPr>
        <w:rFonts w:ascii="Avenir Black" w:hAnsi="Avenir Black"/>
      </w:rPr>
      <w:tab/>
    </w:r>
    <w:r w:rsidR="00000000">
      <w:rPr>
        <w:rFonts w:ascii="Avenir Black" w:hAnsi="Avenir Black"/>
      </w:rPr>
      <w:tab/>
    </w:r>
    <w:r w:rsidR="00000000">
      <w:rPr>
        <w:rFonts w:ascii="Avenir Black" w:hAnsi="Avenir Black"/>
      </w:rPr>
      <w:tab/>
    </w:r>
    <w:r w:rsidR="00000000">
      <w:rPr>
        <w:rFonts w:ascii="Avenir Black" w:hAnsi="Avenir Black"/>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1"/>
    <w:lvl w:ilvl="0">
      <w:start w:val="1"/>
      <w:numFmt w:val="lowerLetter"/>
      <w:pStyle w:val="Bulleteda"/>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4"/>
      <w:numFmt w:val="decimal"/>
      <w:lvlText w:val="1.%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2"/>
    <w:multiLevelType w:val="multilevel"/>
    <w:tmpl w:val="00000002"/>
    <w:name w:val="WWNum2"/>
    <w:lvl w:ilvl="0">
      <w:start w:val="1"/>
      <w:numFmt w:val="decimal"/>
      <w:lvlText w:val="%1."/>
      <w:lvlJc w:val="left"/>
      <w:pPr>
        <w:tabs>
          <w:tab w:val="num" w:pos="0"/>
        </w:tabs>
        <w:ind w:left="785" w:hanging="360"/>
      </w:p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2" w15:restartNumberingAfterBreak="0">
    <w:nsid w:val="00000003"/>
    <w:multiLevelType w:val="multilevel"/>
    <w:tmpl w:val="00000003"/>
    <w:name w:val="WWNum3"/>
    <w:lvl w:ilvl="0">
      <w:start w:val="1"/>
      <w:numFmt w:val="decimal"/>
      <w:lvlText w:val="%1."/>
      <w:lvlJc w:val="left"/>
      <w:pPr>
        <w:tabs>
          <w:tab w:val="num" w:pos="0"/>
        </w:tabs>
        <w:ind w:left="786" w:hanging="360"/>
      </w:pPr>
    </w:lvl>
    <w:lvl w:ilvl="1">
      <w:start w:val="1"/>
      <w:numFmt w:val="lowerLetter"/>
      <w:lvlText w:val="%2."/>
      <w:lvlJc w:val="left"/>
      <w:pPr>
        <w:tabs>
          <w:tab w:val="num" w:pos="0"/>
        </w:tabs>
        <w:ind w:left="1506" w:hanging="360"/>
      </w:pPr>
    </w:lvl>
    <w:lvl w:ilvl="2">
      <w:start w:val="1"/>
      <w:numFmt w:val="lowerRoman"/>
      <w:lvlText w:val="%3."/>
      <w:lvlJc w:val="right"/>
      <w:pPr>
        <w:tabs>
          <w:tab w:val="num" w:pos="0"/>
        </w:tabs>
        <w:ind w:left="2226" w:hanging="180"/>
      </w:pPr>
    </w:lvl>
    <w:lvl w:ilvl="3">
      <w:start w:val="1"/>
      <w:numFmt w:val="decimal"/>
      <w:lvlText w:val="%4."/>
      <w:lvlJc w:val="left"/>
      <w:pPr>
        <w:tabs>
          <w:tab w:val="num" w:pos="0"/>
        </w:tabs>
        <w:ind w:left="2946" w:hanging="360"/>
      </w:pPr>
    </w:lvl>
    <w:lvl w:ilvl="4">
      <w:start w:val="1"/>
      <w:numFmt w:val="lowerLetter"/>
      <w:lvlText w:val="%5."/>
      <w:lvlJc w:val="left"/>
      <w:pPr>
        <w:tabs>
          <w:tab w:val="num" w:pos="0"/>
        </w:tabs>
        <w:ind w:left="3666" w:hanging="360"/>
      </w:pPr>
    </w:lvl>
    <w:lvl w:ilvl="5">
      <w:start w:val="1"/>
      <w:numFmt w:val="lowerRoman"/>
      <w:lvlText w:val="%6."/>
      <w:lvlJc w:val="right"/>
      <w:pPr>
        <w:tabs>
          <w:tab w:val="num" w:pos="0"/>
        </w:tabs>
        <w:ind w:left="4386" w:hanging="180"/>
      </w:pPr>
    </w:lvl>
    <w:lvl w:ilvl="6">
      <w:start w:val="1"/>
      <w:numFmt w:val="decimal"/>
      <w:lvlText w:val="%7."/>
      <w:lvlJc w:val="left"/>
      <w:pPr>
        <w:tabs>
          <w:tab w:val="num" w:pos="0"/>
        </w:tabs>
        <w:ind w:left="5106" w:hanging="360"/>
      </w:pPr>
    </w:lvl>
    <w:lvl w:ilvl="7">
      <w:start w:val="1"/>
      <w:numFmt w:val="lowerLetter"/>
      <w:lvlText w:val="%8."/>
      <w:lvlJc w:val="left"/>
      <w:pPr>
        <w:tabs>
          <w:tab w:val="num" w:pos="0"/>
        </w:tabs>
        <w:ind w:left="5826" w:hanging="360"/>
      </w:pPr>
    </w:lvl>
    <w:lvl w:ilvl="8">
      <w:start w:val="1"/>
      <w:numFmt w:val="lowerRoman"/>
      <w:lvlText w:val="%9."/>
      <w:lvlJc w:val="right"/>
      <w:pPr>
        <w:tabs>
          <w:tab w:val="num" w:pos="0"/>
        </w:tabs>
        <w:ind w:left="6546" w:hanging="180"/>
      </w:pPr>
    </w:lvl>
  </w:abstractNum>
  <w:abstractNum w:abstractNumId="3" w15:restartNumberingAfterBreak="0">
    <w:nsid w:val="00000004"/>
    <w:multiLevelType w:val="multilevel"/>
    <w:tmpl w:val="0000000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402633816">
    <w:abstractNumId w:val="0"/>
  </w:num>
  <w:num w:numId="2" w16cid:durableId="1268582709">
    <w:abstractNumId w:val="1"/>
  </w:num>
  <w:num w:numId="3" w16cid:durableId="1929263057">
    <w:abstractNumId w:val="2"/>
  </w:num>
  <w:num w:numId="4" w16cid:durableId="37076216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SystemFont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2AA8"/>
    <w:rsid w:val="005955D9"/>
    <w:rsid w:val="008F6625"/>
    <w:rsid w:val="00A92AA8"/>
    <w:rsid w:val="00C530D5"/>
    <w:rsid w:val="00C7473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7C863432"/>
  <w15:chartTrackingRefBased/>
  <w15:docId w15:val="{79C1FA0F-2993-4B11-9A91-E3095346CA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eastAsia="MS Mincho"/>
      <w:sz w:val="24"/>
      <w:szCs w:val="24"/>
    </w:rPr>
  </w:style>
  <w:style w:type="paragraph" w:styleId="Heading1">
    <w:name w:val="heading 1"/>
    <w:basedOn w:val="Normal"/>
    <w:next w:val="Normal"/>
    <w:qFormat/>
    <w:pPr>
      <w:keepNext/>
      <w:spacing w:before="240" w:after="60"/>
      <w:outlineLvl w:val="0"/>
    </w:pPr>
    <w:rPr>
      <w:rFonts w:ascii="Cambria" w:eastAsia="font1282" w:hAnsi="Cambria" w:cs="font1282"/>
      <w:b/>
      <w:bCs/>
      <w:kern w:val="2"/>
      <w:sz w:val="32"/>
      <w:szCs w:val="32"/>
    </w:rPr>
  </w:style>
  <w:style w:type="paragraph" w:styleId="Heading2">
    <w:name w:val="heading 2"/>
    <w:basedOn w:val="Normal"/>
    <w:next w:val="Normal"/>
    <w:qFormat/>
    <w:pPr>
      <w:keepNext/>
      <w:spacing w:before="240" w:after="60"/>
      <w:outlineLvl w:val="1"/>
    </w:pPr>
    <w:rPr>
      <w:rFonts w:ascii="Cambria" w:eastAsia="font1282" w:hAnsi="Cambria" w:cs="font1282"/>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DefaultParagraphFont1">
    <w:name w:val="Default Paragraph Font1"/>
  </w:style>
  <w:style w:type="character" w:customStyle="1" w:styleId="Heading1Char">
    <w:name w:val="Heading 1 Char"/>
    <w:rPr>
      <w:rFonts w:ascii="Cambria" w:eastAsia="font1282" w:hAnsi="Cambria" w:cs="font1282"/>
      <w:b/>
      <w:bCs/>
      <w:kern w:val="2"/>
      <w:sz w:val="32"/>
      <w:szCs w:val="32"/>
    </w:rPr>
  </w:style>
  <w:style w:type="character" w:customStyle="1" w:styleId="Heading2Char">
    <w:name w:val="Heading 2 Char"/>
    <w:rPr>
      <w:rFonts w:ascii="Cambria" w:eastAsia="font1282" w:hAnsi="Cambria" w:cs="font1282"/>
      <w:b/>
      <w:bCs/>
      <w:i/>
      <w:iCs/>
      <w:sz w:val="28"/>
      <w:szCs w:val="28"/>
    </w:rPr>
  </w:style>
  <w:style w:type="character" w:customStyle="1" w:styleId="HeaderChar">
    <w:name w:val="Header Char"/>
    <w:basedOn w:val="DefaultParagraphFont1"/>
  </w:style>
  <w:style w:type="character" w:customStyle="1" w:styleId="FooterChar">
    <w:name w:val="Footer Char"/>
    <w:basedOn w:val="DefaultParagraphFont1"/>
  </w:style>
  <w:style w:type="character" w:customStyle="1" w:styleId="BalloonTextChar">
    <w:name w:val="Balloon Text Char"/>
    <w:rPr>
      <w:rFonts w:ascii="Lucida Grande" w:hAnsi="Lucida Grande" w:cs="Lucida Grande"/>
      <w:sz w:val="18"/>
      <w:szCs w:val="18"/>
    </w:rPr>
  </w:style>
  <w:style w:type="character" w:customStyle="1" w:styleId="FootnoteTextChar">
    <w:name w:val="Footnote Text Char"/>
    <w:basedOn w:val="DefaultParagraphFont1"/>
  </w:style>
  <w:style w:type="character" w:customStyle="1" w:styleId="FootnoteCharacters">
    <w:name w:val="Footnote Characters"/>
    <w:rPr>
      <w:vertAlign w:val="superscript"/>
    </w:rPr>
  </w:style>
  <w:style w:type="character" w:styleId="FootnoteReference">
    <w:name w:val="footnote reference"/>
    <w:rPr>
      <w:vertAlign w:val="superscript"/>
    </w:rPr>
  </w:style>
  <w:style w:type="character" w:styleId="PageNumber">
    <w:name w:val="page number"/>
  </w:style>
  <w:style w:type="character" w:styleId="Hyperlink">
    <w:name w:val="Hyperlink"/>
    <w:rPr>
      <w:color w:val="0000FF"/>
      <w:u w:val="single"/>
    </w:rPr>
  </w:style>
  <w:style w:type="character" w:customStyle="1" w:styleId="EndnoteTextChar">
    <w:name w:val="Endnote Text Char"/>
    <w:basedOn w:val="DefaultParagraphFont1"/>
  </w:style>
  <w:style w:type="character" w:customStyle="1" w:styleId="EndnoteCharacters">
    <w:name w:val="Endnote Characters"/>
    <w:rPr>
      <w:vertAlign w:val="superscript"/>
    </w:rPr>
  </w:style>
  <w:style w:type="character" w:styleId="EndnoteReference">
    <w:name w:val="endnote reference"/>
    <w:rPr>
      <w:vertAlign w:val="superscript"/>
    </w:rPr>
  </w:style>
  <w:style w:type="character" w:customStyle="1" w:styleId="EndNoteBibliographyTitleChar">
    <w:name w:val="EndNote Bibliography Title Char"/>
    <w:rPr>
      <w:rFonts w:eastAsia="Calibri"/>
      <w:sz w:val="24"/>
      <w:szCs w:val="22"/>
    </w:rPr>
  </w:style>
  <w:style w:type="character" w:customStyle="1" w:styleId="EndNoteBibliographyChar">
    <w:name w:val="EndNote Bibliography Char"/>
    <w:rPr>
      <w:rFonts w:eastAsia="Calibri"/>
      <w:sz w:val="24"/>
      <w:szCs w:val="22"/>
    </w:rPr>
  </w:style>
  <w:style w:type="character" w:styleId="PlaceholderText">
    <w:name w:val="Placeholder Text"/>
    <w:rPr>
      <w:color w:val="808080"/>
    </w:rPr>
  </w:style>
  <w:style w:type="character" w:customStyle="1" w:styleId="fn">
    <w:name w:val="fn"/>
    <w:basedOn w:val="DefaultParagraphFont1"/>
  </w:style>
  <w:style w:type="character" w:customStyle="1" w:styleId="BodyText2Char">
    <w:name w:val="Body Text 2 Char"/>
    <w:rPr>
      <w:sz w:val="24"/>
      <w:szCs w:val="24"/>
    </w:rPr>
  </w:style>
  <w:style w:type="character" w:customStyle="1" w:styleId="CharacterStyle1">
    <w:name w:val="Character Style 1"/>
    <w:rPr>
      <w:sz w:val="24"/>
      <w:szCs w:val="24"/>
    </w:rPr>
  </w:style>
  <w:style w:type="character" w:customStyle="1" w:styleId="CharacterStyle2">
    <w:name w:val="Character Style 2"/>
    <w:rPr>
      <w:i/>
      <w:iCs/>
      <w:sz w:val="24"/>
      <w:szCs w:val="24"/>
    </w:rPr>
  </w:style>
  <w:style w:type="character" w:customStyle="1" w:styleId="FigureNameChar">
    <w:name w:val="Figure Name Char"/>
    <w:rPr>
      <w:rFonts w:eastAsia="Calibri"/>
    </w:rPr>
  </w:style>
  <w:style w:type="character" w:customStyle="1" w:styleId="FigureChar">
    <w:name w:val="Figure Char"/>
    <w:rPr>
      <w:rFonts w:eastAsia="Calibri"/>
      <w:bCs/>
    </w:rPr>
  </w:style>
  <w:style w:type="character" w:customStyle="1" w:styleId="ListLabel1">
    <w:name w:val="ListLabel 1"/>
  </w:style>
  <w:style w:type="character" w:customStyle="1" w:styleId="ListLabel2">
    <w:name w:val="ListLabel 2"/>
  </w:style>
  <w:style w:type="character" w:customStyle="1" w:styleId="ListLabel3">
    <w:name w:val="ListLabel 3"/>
  </w:style>
  <w:style w:type="character" w:customStyle="1" w:styleId="ListLabel4">
    <w:name w:val="ListLabel 4"/>
  </w:style>
  <w:style w:type="character" w:customStyle="1" w:styleId="ListLabel5">
    <w:name w:val="ListLabel 5"/>
  </w:style>
  <w:style w:type="character" w:customStyle="1" w:styleId="ListLabel6">
    <w:name w:val="ListLabel 6"/>
  </w:style>
  <w:style w:type="character" w:customStyle="1" w:styleId="ListLabel7">
    <w:name w:val="ListLabel 7"/>
  </w:style>
  <w:style w:type="character" w:customStyle="1" w:styleId="ListLabel8">
    <w:name w:val="ListLabel 8"/>
  </w:style>
  <w:style w:type="character" w:customStyle="1" w:styleId="ListLabel9">
    <w:name w:val="ListLabel 9"/>
  </w:style>
  <w:style w:type="character" w:customStyle="1" w:styleId="ListLabel10">
    <w:name w:val="ListLabel 10"/>
  </w:style>
  <w:style w:type="character" w:customStyle="1" w:styleId="ListLabel11">
    <w:name w:val="ListLabel 11"/>
  </w:style>
  <w:style w:type="character" w:customStyle="1" w:styleId="ListLabel12">
    <w:name w:val="ListLabel 12"/>
  </w:style>
  <w:style w:type="character" w:customStyle="1" w:styleId="ListLabel13">
    <w:name w:val="ListLabel 13"/>
  </w:style>
  <w:style w:type="character" w:customStyle="1" w:styleId="ListLabel14">
    <w:name w:val="ListLabel 14"/>
  </w:style>
  <w:style w:type="character" w:customStyle="1" w:styleId="ListLabel15">
    <w:name w:val="ListLabel 15"/>
  </w:style>
  <w:style w:type="character" w:customStyle="1" w:styleId="ListLabel16">
    <w:name w:val="ListLabel 16"/>
  </w:style>
  <w:style w:type="character" w:customStyle="1" w:styleId="ListLabel17">
    <w:name w:val="ListLabel 17"/>
  </w:style>
  <w:style w:type="character" w:customStyle="1" w:styleId="ListLabel18">
    <w:name w:val="ListLabel 18"/>
  </w:style>
  <w:style w:type="character" w:customStyle="1" w:styleId="ListLabel19">
    <w:name w:val="ListLabel 19"/>
  </w:style>
  <w:style w:type="character" w:customStyle="1" w:styleId="ListLabel20">
    <w:name w:val="ListLabel 20"/>
  </w:style>
  <w:style w:type="character" w:customStyle="1" w:styleId="ListLabel21">
    <w:name w:val="ListLabel 21"/>
  </w:style>
  <w:style w:type="character" w:customStyle="1" w:styleId="ListLabel22">
    <w:name w:val="ListLabel 22"/>
  </w:style>
  <w:style w:type="character" w:customStyle="1" w:styleId="ListLabel23">
    <w:name w:val="ListLabel 23"/>
  </w:style>
  <w:style w:type="character" w:customStyle="1" w:styleId="ListLabel24">
    <w:name w:val="ListLabel 24"/>
  </w:style>
  <w:style w:type="character" w:customStyle="1" w:styleId="ListLabel25">
    <w:name w:val="ListLabel 25"/>
  </w:style>
  <w:style w:type="character" w:customStyle="1" w:styleId="ListLabel26">
    <w:name w:val="ListLabel 26"/>
  </w:style>
  <w:style w:type="character" w:customStyle="1" w:styleId="ListLabel27">
    <w:name w:val="ListLabel 27"/>
  </w:style>
  <w:style w:type="character" w:customStyle="1" w:styleId="ListLabel28">
    <w:name w:val="ListLabel 28"/>
  </w:style>
  <w:style w:type="character" w:customStyle="1" w:styleId="ListLabel29">
    <w:name w:val="ListLabel 29"/>
  </w:style>
  <w:style w:type="character" w:customStyle="1" w:styleId="ListLabel30">
    <w:name w:val="ListLabel 30"/>
  </w:style>
  <w:style w:type="character" w:customStyle="1" w:styleId="ListLabel31">
    <w:name w:val="ListLabel 31"/>
  </w:style>
  <w:style w:type="character" w:customStyle="1" w:styleId="ListLabel32">
    <w:name w:val="ListLabel 32"/>
  </w:style>
  <w:style w:type="character" w:customStyle="1" w:styleId="ListLabel33">
    <w:name w:val="ListLabel 33"/>
  </w:style>
  <w:style w:type="character" w:customStyle="1" w:styleId="ListLabel34">
    <w:name w:val="ListLabel 34"/>
  </w:style>
  <w:style w:type="character" w:customStyle="1" w:styleId="ListLabel35">
    <w:name w:val="ListLabel 35"/>
  </w:style>
  <w:style w:type="character" w:customStyle="1" w:styleId="ListLabel36">
    <w:name w:val="ListLabel 36"/>
  </w:style>
  <w:style w:type="paragraph" w:customStyle="1" w:styleId="Heading">
    <w:name w:val="Heading"/>
    <w:basedOn w:val="Normal"/>
    <w:next w:val="BodyText"/>
    <w:pPr>
      <w:keepNext/>
      <w:spacing w:before="240" w:after="120"/>
    </w:pPr>
    <w:rPr>
      <w:rFonts w:ascii="DejaVu Sans" w:eastAsia="DejaVu Sans" w:hAnsi="DejaVu Sans" w:cs="DejaVu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next w:val="Normal"/>
    <w:qFormat/>
    <w:pPr>
      <w:spacing w:after="200"/>
    </w:pPr>
    <w:rPr>
      <w:i/>
      <w:iCs/>
      <w:color w:val="1F497D"/>
      <w:sz w:val="18"/>
      <w:szCs w:val="18"/>
    </w:rPr>
  </w:style>
  <w:style w:type="paragraph" w:customStyle="1" w:styleId="Index">
    <w:name w:val="Index"/>
    <w:basedOn w:val="Normal"/>
    <w:pPr>
      <w:suppressLineNumbers/>
    </w:pPr>
  </w:style>
  <w:style w:type="paragraph" w:customStyle="1" w:styleId="HeaderandFooter">
    <w:name w:val="Header and Footer"/>
    <w:basedOn w:val="Normal"/>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alloonText">
    <w:name w:val="Balloon Text"/>
    <w:basedOn w:val="Normal"/>
    <w:rPr>
      <w:rFonts w:ascii="Lucida Grande" w:hAnsi="Lucida Grande" w:cs="Lucida Grande"/>
      <w:sz w:val="18"/>
      <w:szCs w:val="18"/>
    </w:rPr>
  </w:style>
  <w:style w:type="paragraph" w:styleId="FootnoteText">
    <w:name w:val="footnote text"/>
    <w:basedOn w:val="Normal"/>
  </w:style>
  <w:style w:type="paragraph" w:customStyle="1" w:styleId="BodyText1">
    <w:name w:val="Body Text1"/>
    <w:pPr>
      <w:suppressAutoHyphens/>
      <w:spacing w:after="120" w:line="228" w:lineRule="auto"/>
      <w:ind w:firstLine="288"/>
      <w:jc w:val="both"/>
    </w:pPr>
    <w:rPr>
      <w:rFonts w:eastAsia="ヒラギノ角ゴ Pro W3"/>
      <w:color w:val="000000"/>
      <w:spacing w:val="-1"/>
    </w:rPr>
  </w:style>
  <w:style w:type="paragraph" w:customStyle="1" w:styleId="FreeForm">
    <w:name w:val="Free Form"/>
    <w:pPr>
      <w:suppressAutoHyphens/>
    </w:pPr>
    <w:rPr>
      <w:rFonts w:eastAsia="ヒラギノ角ゴ Pro W3"/>
      <w:color w:val="000000"/>
      <w:lang w:val="en-AU"/>
    </w:rPr>
  </w:style>
  <w:style w:type="paragraph" w:customStyle="1" w:styleId="D-Table">
    <w:name w:val="D-Table"/>
    <w:autoRedefine/>
    <w:pPr>
      <w:tabs>
        <w:tab w:val="left" w:pos="1080"/>
      </w:tabs>
      <w:suppressAutoHyphens/>
      <w:spacing w:before="240" w:after="120"/>
      <w:jc w:val="center"/>
    </w:pPr>
    <w:rPr>
      <w:rFonts w:ascii="Times New Roman Bold" w:eastAsia="ヒラギノ角ゴ Pro W3" w:hAnsi="Times New Roman Bold"/>
      <w:color w:val="000000"/>
      <w:sz w:val="18"/>
      <w:lang w:val="en-AU"/>
    </w:rPr>
  </w:style>
  <w:style w:type="paragraph" w:customStyle="1" w:styleId="tablecolhead">
    <w:name w:val="table col head"/>
    <w:pPr>
      <w:suppressAutoHyphens/>
      <w:jc w:val="center"/>
    </w:pPr>
    <w:rPr>
      <w:rFonts w:ascii="Times New Roman Bold" w:eastAsia="ヒラギノ角ゴ Pro W3" w:hAnsi="Times New Roman Bold"/>
      <w:color w:val="000000"/>
      <w:sz w:val="16"/>
    </w:rPr>
  </w:style>
  <w:style w:type="paragraph" w:customStyle="1" w:styleId="tablecolsubhead">
    <w:name w:val="table col subhead"/>
    <w:pPr>
      <w:suppressAutoHyphens/>
      <w:jc w:val="center"/>
    </w:pPr>
    <w:rPr>
      <w:rFonts w:ascii="Times New Roman Bold Italic" w:eastAsia="ヒラギノ角ゴ Pro W3" w:hAnsi="Times New Roman Bold Italic"/>
      <w:color w:val="000000"/>
      <w:sz w:val="15"/>
    </w:rPr>
  </w:style>
  <w:style w:type="paragraph" w:customStyle="1" w:styleId="tablecopy">
    <w:name w:val="table copy"/>
    <w:pPr>
      <w:suppressAutoHyphens/>
      <w:jc w:val="both"/>
    </w:pPr>
    <w:rPr>
      <w:rFonts w:eastAsia="ヒラギノ角ゴ Pro W3"/>
      <w:color w:val="000000"/>
      <w:sz w:val="16"/>
    </w:rPr>
  </w:style>
  <w:style w:type="paragraph" w:customStyle="1" w:styleId="tablefootnote">
    <w:name w:val="table footnote"/>
    <w:pPr>
      <w:suppressAutoHyphens/>
      <w:spacing w:before="60" w:after="30"/>
      <w:jc w:val="right"/>
    </w:pPr>
    <w:rPr>
      <w:rFonts w:eastAsia="ヒラギノ角ゴ Pro W3"/>
      <w:color w:val="000000"/>
      <w:sz w:val="12"/>
    </w:rPr>
  </w:style>
  <w:style w:type="paragraph" w:customStyle="1" w:styleId="ColorfulList-Accent11">
    <w:name w:val="Colorful List - Accent 11"/>
    <w:basedOn w:val="Normal"/>
    <w:pPr>
      <w:ind w:left="720"/>
      <w:contextualSpacing/>
    </w:pPr>
  </w:style>
  <w:style w:type="paragraph" w:styleId="EndnoteText">
    <w:name w:val="endnote text"/>
    <w:basedOn w:val="Normal"/>
  </w:style>
  <w:style w:type="paragraph" w:styleId="ListParagraph">
    <w:name w:val="List Paragraph"/>
    <w:basedOn w:val="Normal"/>
    <w:qFormat/>
    <w:pPr>
      <w:ind w:left="720" w:hanging="720"/>
      <w:contextualSpacing/>
      <w:jc w:val="both"/>
    </w:pPr>
    <w:rPr>
      <w:rFonts w:ascii="Calibri" w:eastAsia="Calibri" w:hAnsi="Calibri" w:cs="Arial"/>
      <w:sz w:val="22"/>
      <w:szCs w:val="22"/>
    </w:rPr>
  </w:style>
  <w:style w:type="paragraph" w:customStyle="1" w:styleId="EndNoteBibliographyTitle">
    <w:name w:val="EndNote Bibliography Title"/>
    <w:basedOn w:val="Normal"/>
    <w:pPr>
      <w:ind w:left="425" w:hanging="720"/>
      <w:jc w:val="center"/>
    </w:pPr>
    <w:rPr>
      <w:rFonts w:eastAsia="Calibri"/>
      <w:szCs w:val="22"/>
    </w:rPr>
  </w:style>
  <w:style w:type="paragraph" w:customStyle="1" w:styleId="EndNoteBibliography">
    <w:name w:val="EndNote Bibliography"/>
    <w:basedOn w:val="Normal"/>
    <w:pPr>
      <w:ind w:left="425" w:hanging="720"/>
      <w:jc w:val="both"/>
    </w:pPr>
    <w:rPr>
      <w:rFonts w:eastAsia="Calibri"/>
      <w:szCs w:val="22"/>
    </w:rPr>
  </w:style>
  <w:style w:type="paragraph" w:customStyle="1" w:styleId="Persamaan">
    <w:name w:val="Persamaan"/>
    <w:basedOn w:val="BodyText2"/>
    <w:pPr>
      <w:tabs>
        <w:tab w:val="right" w:pos="7370"/>
      </w:tabs>
      <w:overflowPunct w:val="0"/>
      <w:spacing w:after="0" w:line="240" w:lineRule="auto"/>
      <w:ind w:firstLine="284"/>
      <w:textAlignment w:val="baseline"/>
    </w:pPr>
    <w:rPr>
      <w:rFonts w:eastAsia="Times New Roman"/>
      <w:sz w:val="20"/>
      <w:szCs w:val="20"/>
      <w:lang w:eastAsia="zh-CN"/>
    </w:rPr>
  </w:style>
  <w:style w:type="paragraph" w:customStyle="1" w:styleId="Bulleteda">
    <w:name w:val="Bulleted (a)"/>
    <w:basedOn w:val="Normal"/>
    <w:pPr>
      <w:numPr>
        <w:numId w:val="1"/>
      </w:numPr>
      <w:tabs>
        <w:tab w:val="left" w:pos="284"/>
      </w:tabs>
      <w:ind w:left="284" w:hanging="284"/>
      <w:jc w:val="both"/>
    </w:pPr>
    <w:rPr>
      <w:rFonts w:eastAsia="Times New Roman"/>
      <w:sz w:val="20"/>
      <w:szCs w:val="20"/>
      <w:lang w:val="id-ID" w:eastAsia="zh-CN"/>
    </w:rPr>
  </w:style>
  <w:style w:type="paragraph" w:styleId="BodyText2">
    <w:name w:val="Body Text 2"/>
    <w:basedOn w:val="Normal"/>
    <w:pPr>
      <w:spacing w:after="120" w:line="480" w:lineRule="auto"/>
    </w:pPr>
  </w:style>
  <w:style w:type="paragraph" w:customStyle="1" w:styleId="Captiongambar">
    <w:name w:val="Caption gambar"/>
    <w:basedOn w:val="Caption"/>
    <w:pPr>
      <w:overflowPunct w:val="0"/>
      <w:spacing w:before="120" w:after="0"/>
      <w:jc w:val="center"/>
      <w:textAlignment w:val="baseline"/>
    </w:pPr>
    <w:rPr>
      <w:rFonts w:eastAsia="Times New Roman"/>
      <w:i w:val="0"/>
      <w:iCs w:val="0"/>
      <w:color w:val="auto"/>
      <w:sz w:val="20"/>
      <w:szCs w:val="20"/>
      <w:lang w:val="en-GB" w:eastAsia="zh-CN"/>
    </w:rPr>
  </w:style>
  <w:style w:type="paragraph" w:customStyle="1" w:styleId="JudulGambar">
    <w:name w:val="Judul_Gambar"/>
    <w:basedOn w:val="Caption"/>
    <w:pPr>
      <w:overflowPunct w:val="0"/>
      <w:spacing w:before="120" w:after="120"/>
      <w:jc w:val="center"/>
      <w:textAlignment w:val="baseline"/>
    </w:pPr>
    <w:rPr>
      <w:rFonts w:eastAsia="Times New Roman"/>
      <w:bCs/>
      <w:i w:val="0"/>
      <w:iCs w:val="0"/>
      <w:color w:val="auto"/>
      <w:sz w:val="20"/>
      <w:szCs w:val="20"/>
      <w:lang w:val="en-GB" w:eastAsia="zh-CN"/>
    </w:rPr>
  </w:style>
  <w:style w:type="paragraph" w:customStyle="1" w:styleId="JudulTabel">
    <w:name w:val="Judul_Tabel"/>
    <w:basedOn w:val="Caption"/>
    <w:pPr>
      <w:overflowPunct w:val="0"/>
      <w:spacing w:before="120" w:after="120"/>
      <w:jc w:val="both"/>
      <w:textAlignment w:val="baseline"/>
    </w:pPr>
    <w:rPr>
      <w:rFonts w:eastAsia="Times New Roman"/>
      <w:bCs/>
      <w:i w:val="0"/>
      <w:iCs w:val="0"/>
      <w:color w:val="auto"/>
      <w:sz w:val="20"/>
      <w:szCs w:val="20"/>
      <w:lang w:val="en-GB" w:eastAsia="zh-CN"/>
    </w:rPr>
  </w:style>
  <w:style w:type="paragraph" w:customStyle="1" w:styleId="PustakaIsi">
    <w:name w:val="Pustaka Isi"/>
    <w:basedOn w:val="Normal"/>
    <w:pPr>
      <w:overflowPunct w:val="0"/>
      <w:ind w:left="284" w:hanging="284"/>
      <w:jc w:val="both"/>
      <w:textAlignment w:val="baseline"/>
    </w:pPr>
    <w:rPr>
      <w:rFonts w:eastAsia="Times New Roman"/>
      <w:sz w:val="20"/>
      <w:szCs w:val="20"/>
      <w:lang w:val="id-ID" w:eastAsia="zh-CN"/>
    </w:rPr>
  </w:style>
  <w:style w:type="paragraph" w:customStyle="1" w:styleId="Pustakajudul">
    <w:name w:val="Pustaka judul"/>
    <w:basedOn w:val="Normal"/>
    <w:pPr>
      <w:tabs>
        <w:tab w:val="left" w:pos="1080"/>
      </w:tabs>
      <w:overflowPunct w:val="0"/>
      <w:jc w:val="both"/>
      <w:textAlignment w:val="baseline"/>
    </w:pPr>
    <w:rPr>
      <w:rFonts w:eastAsia="Times New Roman"/>
      <w:b/>
      <w:caps/>
      <w:sz w:val="20"/>
      <w:szCs w:val="20"/>
      <w:lang w:val="nb-NO" w:eastAsia="zh-CN"/>
    </w:rPr>
  </w:style>
  <w:style w:type="paragraph" w:customStyle="1" w:styleId="Style1">
    <w:name w:val="Style 1"/>
    <w:basedOn w:val="Normal"/>
    <w:pPr>
      <w:widowControl w:val="0"/>
    </w:pPr>
    <w:rPr>
      <w:rFonts w:eastAsia="Times New Roman"/>
      <w:lang w:val="id-ID" w:eastAsia="id-ID"/>
    </w:rPr>
  </w:style>
  <w:style w:type="paragraph" w:customStyle="1" w:styleId="FigureName">
    <w:name w:val="Figure Name"/>
    <w:basedOn w:val="Normal"/>
    <w:pPr>
      <w:spacing w:before="60" w:after="240"/>
      <w:jc w:val="center"/>
    </w:pPr>
    <w:rPr>
      <w:rFonts w:eastAsia="Calibri"/>
      <w:sz w:val="20"/>
      <w:szCs w:val="20"/>
    </w:rPr>
  </w:style>
  <w:style w:type="paragraph" w:customStyle="1" w:styleId="Figure">
    <w:name w:val="Figure"/>
    <w:basedOn w:val="Normal"/>
    <w:pPr>
      <w:spacing w:before="240" w:after="60"/>
      <w:jc w:val="center"/>
    </w:pPr>
    <w:rPr>
      <w:rFonts w:eastAsia="Calibri"/>
      <w:bCs/>
      <w:sz w:val="20"/>
      <w:szCs w:val="20"/>
    </w:rPr>
  </w:style>
  <w:style w:type="paragraph" w:customStyle="1" w:styleId="FrameContents">
    <w:name w:val="Frame Contents"/>
    <w:basedOn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3.jpeg"/><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6FE9E3-9C67-486D-94D0-4755E1F83F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11050</Words>
  <Characters>71827</Characters>
  <Application>Microsoft Office Word</Application>
  <DocSecurity>0</DocSecurity>
  <Lines>1632</Lines>
  <Paragraphs>378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Malek</dc:creator>
  <cp:keywords/>
  <cp:lastModifiedBy>Inas Afifah Zahra</cp:lastModifiedBy>
  <cp:revision>2</cp:revision>
  <cp:lastPrinted>2014-10-31T07:16:00Z</cp:lastPrinted>
  <dcterms:created xsi:type="dcterms:W3CDTF">2024-11-26T04:00:00Z</dcterms:created>
  <dcterms:modified xsi:type="dcterms:W3CDTF">2024-11-26T04:00:00Z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GrammarlyDocumentId">
    <vt:lpwstr>7a9fc885f81e886ce6848388089e183b1a32e95b8526007d1a232fcfb9554749</vt:lpwstr>
  </property>
  <property fmtid="{D5CDD505-2E9C-101B-9397-08002B2CF9AE}" pid="4" name="Mendeley Citation Style_1">
    <vt:lpwstr>http://www.zotero.org/styles/apa</vt:lpwstr>
  </property>
  <property fmtid="{D5CDD505-2E9C-101B-9397-08002B2CF9AE}" pid="5" name="Mendeley Document_1">
    <vt:lpwstr>True</vt:lpwstr>
  </property>
  <property fmtid="{D5CDD505-2E9C-101B-9397-08002B2CF9AE}" pid="6" name="Mendeley Recent Style Id 0_1">
    <vt:lpwstr>http://www.zotero.org/styles/american-political-science-association</vt:lpwstr>
  </property>
  <property fmtid="{D5CDD505-2E9C-101B-9397-08002B2CF9AE}" pid="7" name="Mendeley Recent Style Id 1_1">
    <vt:lpwstr>http://www.zotero.org/styles/apa</vt:lpwstr>
  </property>
  <property fmtid="{D5CDD505-2E9C-101B-9397-08002B2CF9AE}" pid="8" name="Mendeley Recent Style Id 2_1">
    <vt:lpwstr>http://www.zotero.org/styles/american-sociological-association</vt:lpwstr>
  </property>
  <property fmtid="{D5CDD505-2E9C-101B-9397-08002B2CF9AE}" pid="9" name="Mendeley Recent Style Id 3_1">
    <vt:lpwstr>http://www.zotero.org/styles/chicago-author-date</vt:lpwstr>
  </property>
  <property fmtid="{D5CDD505-2E9C-101B-9397-08002B2CF9AE}" pid="10" name="Mendeley Recent Style Id 4_1">
    <vt:lpwstr>http://www.zotero.org/styles/harvard-cite-them-right</vt:lpwstr>
  </property>
  <property fmtid="{D5CDD505-2E9C-101B-9397-08002B2CF9AE}" pid="11" name="Mendeley Recent Style Id 5_1">
    <vt:lpwstr>http://www.zotero.org/styles/ieee</vt:lpwstr>
  </property>
  <property fmtid="{D5CDD505-2E9C-101B-9397-08002B2CF9AE}" pid="12" name="Mendeley Recent Style Id 6_1">
    <vt:lpwstr>http://www.zotero.org/styles/modern-humanities-research-association</vt:lpwstr>
  </property>
  <property fmtid="{D5CDD505-2E9C-101B-9397-08002B2CF9AE}" pid="13" name="Mendeley Recent Style Id 7_1">
    <vt:lpwstr>http://www.zotero.org/styles/modern-language-association</vt:lpwstr>
  </property>
  <property fmtid="{D5CDD505-2E9C-101B-9397-08002B2CF9AE}" pid="14" name="Mendeley Recent Style Id 8_1">
    <vt:lpwstr>http://www.zotero.org/styles/turabian-fullnote-bibliography-no-ibid</vt:lpwstr>
  </property>
  <property fmtid="{D5CDD505-2E9C-101B-9397-08002B2CF9AE}" pid="15" name="Mendeley Recent Style Id 9_1">
    <vt:lpwstr>http://www.zotero.org/styles/turabian-author-date</vt:lpwstr>
  </property>
  <property fmtid="{D5CDD505-2E9C-101B-9397-08002B2CF9AE}" pid="16" name="Mendeley Recent Style Name 0_1">
    <vt:lpwstr>American Political Science Association</vt:lpwstr>
  </property>
  <property fmtid="{D5CDD505-2E9C-101B-9397-08002B2CF9AE}" pid="17" name="Mendeley Recent Style Name 1_1">
    <vt:lpwstr>American Psychological Association 7th edition</vt:lpwstr>
  </property>
  <property fmtid="{D5CDD505-2E9C-101B-9397-08002B2CF9AE}" pid="18" name="Mendeley Recent Style Name 2_1">
    <vt:lpwstr>American Sociological Association 6th edition</vt:lpwstr>
  </property>
  <property fmtid="{D5CDD505-2E9C-101B-9397-08002B2CF9AE}" pid="19" name="Mendeley Recent Style Name 3_1">
    <vt:lpwstr>Chicago Manual of Style 17th edition (author-date)</vt:lpwstr>
  </property>
  <property fmtid="{D5CDD505-2E9C-101B-9397-08002B2CF9AE}" pid="20" name="Mendeley Recent Style Name 4_1">
    <vt:lpwstr>Cite Them Right 12th edition - Harvard</vt:lpwstr>
  </property>
  <property fmtid="{D5CDD505-2E9C-101B-9397-08002B2CF9AE}" pid="21" name="Mendeley Recent Style Name 5_1">
    <vt:lpwstr>IEEE</vt:lpwstr>
  </property>
  <property fmtid="{D5CDD505-2E9C-101B-9397-08002B2CF9AE}" pid="22" name="Mendeley Recent Style Name 6_1">
    <vt:lpwstr>Modern Humanities Research Association 3rd edition (note with bibliography)</vt:lpwstr>
  </property>
  <property fmtid="{D5CDD505-2E9C-101B-9397-08002B2CF9AE}" pid="23" name="Mendeley Recent Style Name 7_1">
    <vt:lpwstr>Modern Language Association 9th edition</vt:lpwstr>
  </property>
  <property fmtid="{D5CDD505-2E9C-101B-9397-08002B2CF9AE}" pid="24" name="Mendeley Recent Style Name 8_1">
    <vt:lpwstr>Turabian 8th edition (full note, no ibid)</vt:lpwstr>
  </property>
  <property fmtid="{D5CDD505-2E9C-101B-9397-08002B2CF9AE}" pid="25" name="Mendeley Recent Style Name 9_1">
    <vt:lpwstr>Turabian 9th edition (author-date)</vt:lpwstr>
  </property>
  <property fmtid="{D5CDD505-2E9C-101B-9397-08002B2CF9AE}" pid="26" name="Mendeley Unique User Id_1">
    <vt:lpwstr>5ebf1268-8c49-36b6-a4f1-e68c899a7025</vt:lpwstr>
  </property>
</Properties>
</file>