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1A7" w:rsidRDefault="002421A7" w:rsidP="002421A7">
      <w:pPr>
        <w:pStyle w:val="Heading3"/>
        <w:spacing w:before="0" w:after="0" w:line="240" w:lineRule="auto"/>
        <w:jc w:val="center"/>
        <w:rPr>
          <w:rFonts w:ascii="Arial Narrow" w:eastAsia="Cambria" w:hAnsi="Arial Narrow" w:cs="Arial"/>
          <w:b/>
          <w:sz w:val="28"/>
          <w:szCs w:val="28"/>
          <w:lang w:val="id-ID"/>
        </w:rPr>
      </w:pPr>
    </w:p>
    <w:p w:rsidR="00D779DD" w:rsidRPr="00D779DD" w:rsidRDefault="00D779DD" w:rsidP="00D779DD">
      <w:pPr>
        <w:tabs>
          <w:tab w:val="left" w:pos="1560"/>
        </w:tabs>
        <w:spacing w:after="0" w:line="240" w:lineRule="auto"/>
        <w:jc w:val="center"/>
        <w:rPr>
          <w:rFonts w:ascii="Arial Narrow" w:hAnsi="Arial Narrow" w:cs="Times New Roman"/>
          <w:b/>
          <w:bCs/>
          <w:sz w:val="28"/>
          <w:szCs w:val="28"/>
        </w:rPr>
      </w:pPr>
      <w:r w:rsidRPr="00D779DD">
        <w:rPr>
          <w:rFonts w:ascii="Arial Narrow" w:hAnsi="Arial Narrow"/>
          <w:b/>
          <w:color w:val="000000"/>
          <w:sz w:val="28"/>
          <w:szCs w:val="28"/>
          <w:lang w:val="id-ID"/>
        </w:rPr>
        <w:t xml:space="preserve">PERTANGGUNGJAWABAN PELAKU </w:t>
      </w:r>
      <w:r w:rsidRPr="00D779DD">
        <w:rPr>
          <w:rFonts w:ascii="Arial Narrow" w:hAnsi="Arial Narrow"/>
          <w:b/>
          <w:color w:val="000000"/>
          <w:sz w:val="28"/>
          <w:szCs w:val="28"/>
        </w:rPr>
        <w:t xml:space="preserve">TINDAK PIDANA </w:t>
      </w:r>
      <w:r w:rsidRPr="00D779DD">
        <w:rPr>
          <w:rFonts w:ascii="Arial Narrow" w:hAnsi="Arial Narrow"/>
          <w:b/>
          <w:color w:val="000000"/>
          <w:sz w:val="28"/>
          <w:szCs w:val="28"/>
          <w:lang w:val="id-ID"/>
        </w:rPr>
        <w:t xml:space="preserve">PENGANIAYAAN </w:t>
      </w:r>
      <w:r w:rsidRPr="00D779DD">
        <w:rPr>
          <w:rFonts w:ascii="Arial Narrow" w:hAnsi="Arial Narrow"/>
          <w:b/>
          <w:color w:val="000000"/>
          <w:sz w:val="28"/>
          <w:szCs w:val="28"/>
        </w:rPr>
        <w:t xml:space="preserve">DENGAN RENCANA TERLEBIH DAHULU </w:t>
      </w:r>
      <w:r w:rsidRPr="00D779DD">
        <w:rPr>
          <w:rFonts w:ascii="Arial Narrow" w:hAnsi="Arial Narrow"/>
          <w:b/>
          <w:color w:val="000000"/>
          <w:sz w:val="28"/>
          <w:szCs w:val="28"/>
          <w:lang w:val="id-ID"/>
        </w:rPr>
        <w:t xml:space="preserve">YANG MENYEBABKAN </w:t>
      </w:r>
    </w:p>
    <w:p w:rsidR="00D779DD" w:rsidRDefault="00D779DD" w:rsidP="00D779DD">
      <w:pPr>
        <w:spacing w:after="0"/>
        <w:ind w:left="-180" w:right="-162"/>
        <w:jc w:val="center"/>
        <w:rPr>
          <w:rFonts w:ascii="Arial Narrow" w:hAnsi="Arial Narrow"/>
          <w:b/>
          <w:color w:val="000000"/>
          <w:sz w:val="28"/>
          <w:szCs w:val="28"/>
        </w:rPr>
      </w:pPr>
      <w:r w:rsidRPr="00D779DD">
        <w:rPr>
          <w:rFonts w:ascii="Arial Narrow" w:hAnsi="Arial Narrow"/>
          <w:b/>
          <w:color w:val="000000"/>
          <w:sz w:val="28"/>
          <w:szCs w:val="28"/>
          <w:lang w:val="id-ID"/>
        </w:rPr>
        <w:t xml:space="preserve">LUKA </w:t>
      </w:r>
      <w:r w:rsidRPr="00D779DD">
        <w:rPr>
          <w:rFonts w:ascii="Arial Narrow" w:hAnsi="Arial Narrow"/>
          <w:b/>
          <w:color w:val="000000"/>
          <w:sz w:val="28"/>
          <w:szCs w:val="28"/>
        </w:rPr>
        <w:t>BERAT DAN PENCURIAN</w:t>
      </w:r>
      <w:r>
        <w:rPr>
          <w:rFonts w:ascii="Arial Narrow" w:hAnsi="Arial Narrow"/>
          <w:b/>
          <w:color w:val="000000"/>
          <w:sz w:val="28"/>
          <w:szCs w:val="28"/>
        </w:rPr>
        <w:t xml:space="preserve"> </w:t>
      </w:r>
    </w:p>
    <w:p w:rsidR="002421A7" w:rsidRPr="00D779DD" w:rsidRDefault="00D779DD" w:rsidP="00D779DD">
      <w:pPr>
        <w:spacing w:after="0"/>
        <w:ind w:left="-180" w:right="-162"/>
        <w:jc w:val="center"/>
        <w:rPr>
          <w:rFonts w:ascii="Arial Narrow" w:hAnsi="Arial Narrow"/>
          <w:b/>
          <w:color w:val="000000"/>
          <w:sz w:val="28"/>
          <w:szCs w:val="28"/>
        </w:rPr>
      </w:pPr>
      <w:r w:rsidRPr="00D779DD">
        <w:rPr>
          <w:rFonts w:ascii="Arial Narrow" w:hAnsi="Arial Narrow"/>
          <w:b/>
          <w:color w:val="000000"/>
          <w:sz w:val="28"/>
          <w:szCs w:val="28"/>
          <w:lang w:val="id-ID"/>
        </w:rPr>
        <w:t xml:space="preserve">(Studi Putusan Nomor </w:t>
      </w:r>
      <w:r w:rsidRPr="00D779DD">
        <w:rPr>
          <w:rFonts w:ascii="Arial Narrow" w:hAnsi="Arial Narrow"/>
          <w:b/>
          <w:color w:val="000000"/>
          <w:sz w:val="28"/>
          <w:szCs w:val="28"/>
        </w:rPr>
        <w:t>425</w:t>
      </w:r>
      <w:r w:rsidRPr="00D779DD">
        <w:rPr>
          <w:rFonts w:ascii="Arial Narrow" w:hAnsi="Arial Narrow"/>
          <w:b/>
          <w:color w:val="000000"/>
          <w:sz w:val="28"/>
          <w:szCs w:val="28"/>
          <w:lang w:val="id-ID"/>
        </w:rPr>
        <w:t>/Pid.B/202</w:t>
      </w:r>
      <w:r w:rsidRPr="00D779DD">
        <w:rPr>
          <w:rFonts w:ascii="Arial Narrow" w:hAnsi="Arial Narrow"/>
          <w:b/>
          <w:color w:val="000000"/>
          <w:sz w:val="28"/>
          <w:szCs w:val="28"/>
        </w:rPr>
        <w:t>3</w:t>
      </w:r>
      <w:r w:rsidRPr="00D779DD">
        <w:rPr>
          <w:rFonts w:ascii="Arial Narrow" w:hAnsi="Arial Narrow"/>
          <w:b/>
          <w:color w:val="000000"/>
          <w:sz w:val="28"/>
          <w:szCs w:val="28"/>
          <w:lang w:val="id-ID"/>
        </w:rPr>
        <w:t>/PN.</w:t>
      </w:r>
      <w:r w:rsidRPr="00D779DD">
        <w:rPr>
          <w:rFonts w:ascii="Arial Narrow" w:hAnsi="Arial Narrow"/>
          <w:b/>
          <w:color w:val="000000"/>
          <w:sz w:val="28"/>
          <w:szCs w:val="28"/>
        </w:rPr>
        <w:t>Kot</w:t>
      </w:r>
      <w:r w:rsidRPr="00D779DD">
        <w:rPr>
          <w:rFonts w:ascii="Arial Narrow" w:hAnsi="Arial Narrow"/>
          <w:b/>
          <w:color w:val="000000"/>
          <w:sz w:val="28"/>
          <w:szCs w:val="28"/>
          <w:lang w:val="id-ID"/>
        </w:rPr>
        <w:t>)</w:t>
      </w:r>
      <w:r w:rsidR="00ED4590" w:rsidRPr="00D779DD">
        <w:rPr>
          <w:rFonts w:ascii="Arial Narrow" w:hAnsi="Arial Narrow" w:cs="Times New Roman"/>
          <w:b/>
          <w:bCs/>
          <w:sz w:val="28"/>
          <w:szCs w:val="28"/>
        </w:rPr>
        <w:t xml:space="preserve"> </w:t>
      </w:r>
    </w:p>
    <w:p w:rsidR="002421A7" w:rsidRPr="00E22AD3" w:rsidRDefault="00467ECA" w:rsidP="002421A7">
      <w:pPr>
        <w:pStyle w:val="Heading1"/>
        <w:spacing w:after="0" w:line="240" w:lineRule="auto"/>
        <w:contextualSpacing/>
        <w:jc w:val="center"/>
        <w:rPr>
          <w:rFonts w:ascii="Arial Narrow" w:eastAsia="Book Antiqua" w:hAnsi="Arial Narrow" w:cs="Book Antiqua"/>
          <w:sz w:val="24"/>
          <w:szCs w:val="24"/>
        </w:rPr>
      </w:pPr>
      <w:r w:rsidRPr="00467ECA">
        <w:rPr>
          <w:rFonts w:ascii="Arial Narrow" w:hAnsi="Arial Narrow"/>
          <w:b w:val="0"/>
          <w:sz w:val="24"/>
          <w:lang w:val="id-ID"/>
        </w:rPr>
        <w:t>Arya Nanda Karyono</w:t>
      </w:r>
      <w:r w:rsidR="00746FF2" w:rsidRPr="00746FF2">
        <w:rPr>
          <w:rFonts w:ascii="Arial Narrow" w:eastAsia="Book Antiqua" w:hAnsi="Arial Narrow" w:cs="Book Antiqua"/>
          <w:b w:val="0"/>
          <w:sz w:val="24"/>
          <w:szCs w:val="24"/>
          <w:vertAlign w:val="superscript"/>
          <w:lang w:val="id-ID"/>
        </w:rPr>
        <w:t>1</w:t>
      </w:r>
      <w:r>
        <w:rPr>
          <w:rFonts w:ascii="Arial Narrow" w:eastAsia="Book Antiqua" w:hAnsi="Arial Narrow" w:cs="Book Antiqua"/>
          <w:b w:val="0"/>
          <w:sz w:val="24"/>
          <w:szCs w:val="24"/>
        </w:rPr>
        <w:t xml:space="preserve">, </w:t>
      </w:r>
      <w:r w:rsidR="00A3707A">
        <w:rPr>
          <w:rFonts w:ascii="Arial Narrow" w:hAnsi="Arial Narrow"/>
          <w:b w:val="0"/>
          <w:sz w:val="24"/>
        </w:rPr>
        <w:t>Gatot Efrianto</w:t>
      </w:r>
      <w:r>
        <w:rPr>
          <w:rFonts w:ascii="Arial Narrow" w:eastAsia="Book Antiqua" w:hAnsi="Arial Narrow" w:cs="Book Antiqua"/>
          <w:b w:val="0"/>
          <w:sz w:val="24"/>
          <w:szCs w:val="24"/>
          <w:vertAlign w:val="superscript"/>
          <w:lang w:val="id-ID"/>
        </w:rPr>
        <w:t>2</w:t>
      </w:r>
      <w:r w:rsidR="00E22AD3">
        <w:rPr>
          <w:rFonts w:ascii="Arial Narrow" w:eastAsia="Book Antiqua" w:hAnsi="Arial Narrow" w:cs="Book Antiqua"/>
          <w:b w:val="0"/>
          <w:sz w:val="24"/>
          <w:szCs w:val="24"/>
          <w:vertAlign w:val="superscript"/>
        </w:rPr>
        <w:t>*</w:t>
      </w:r>
    </w:p>
    <w:p w:rsidR="002421A7" w:rsidRDefault="002421A7" w:rsidP="002421A7">
      <w:pPr>
        <w:spacing w:after="0" w:line="240" w:lineRule="auto"/>
        <w:jc w:val="center"/>
        <w:rPr>
          <w:rFonts w:ascii="Book Antiqua" w:eastAsia="Book Antiqua" w:hAnsi="Book Antiqua" w:cs="Book Antiqua"/>
          <w:vertAlign w:val="superscript"/>
        </w:rPr>
      </w:pPr>
    </w:p>
    <w:p w:rsidR="00BD532B" w:rsidRDefault="00F345DE" w:rsidP="00F345DE">
      <w:pPr>
        <w:spacing w:after="0" w:line="240" w:lineRule="auto"/>
        <w:jc w:val="center"/>
        <w:rPr>
          <w:rFonts w:ascii="Arial Narrow" w:hAnsi="Arial Narrow"/>
          <w:sz w:val="20"/>
          <w:szCs w:val="20"/>
        </w:rPr>
      </w:pPr>
      <w:r>
        <w:rPr>
          <w:rFonts w:ascii="Arial Narrow" w:hAnsi="Arial Narrow"/>
          <w:sz w:val="20"/>
          <w:szCs w:val="20"/>
          <w:vertAlign w:val="superscript"/>
        </w:rPr>
        <w:t xml:space="preserve">1 </w:t>
      </w:r>
      <w:r w:rsidR="00746FF2">
        <w:rPr>
          <w:rFonts w:ascii="Arial Narrow" w:hAnsi="Arial Narrow"/>
          <w:sz w:val="20"/>
          <w:szCs w:val="20"/>
        </w:rPr>
        <w:t>Fakultas H</w:t>
      </w:r>
      <w:r w:rsidR="00BD532B">
        <w:rPr>
          <w:rFonts w:ascii="Arial Narrow" w:hAnsi="Arial Narrow"/>
          <w:sz w:val="20"/>
          <w:szCs w:val="20"/>
        </w:rPr>
        <w:t>ukum</w:t>
      </w:r>
      <w:r w:rsidR="00746FF2">
        <w:rPr>
          <w:rFonts w:ascii="Arial Narrow" w:hAnsi="Arial Narrow"/>
          <w:sz w:val="20"/>
          <w:szCs w:val="20"/>
        </w:rPr>
        <w:t xml:space="preserve">, Univeristas </w:t>
      </w:r>
      <w:r w:rsidR="00467ECA">
        <w:rPr>
          <w:rFonts w:ascii="Arial Narrow" w:hAnsi="Arial Narrow"/>
          <w:sz w:val="20"/>
          <w:szCs w:val="20"/>
        </w:rPr>
        <w:t>Bandar Lampung</w:t>
      </w:r>
      <w:r w:rsidR="00BD532B">
        <w:rPr>
          <w:rFonts w:ascii="Arial Narrow" w:hAnsi="Arial Narrow"/>
          <w:sz w:val="20"/>
          <w:szCs w:val="20"/>
        </w:rPr>
        <w:t>, Indonesia</w:t>
      </w:r>
    </w:p>
    <w:p w:rsidR="00467ECA" w:rsidRDefault="00467ECA" w:rsidP="00F345DE">
      <w:pPr>
        <w:spacing w:after="0" w:line="240" w:lineRule="auto"/>
        <w:jc w:val="center"/>
        <w:rPr>
          <w:rFonts w:ascii="Arial Narrow" w:hAnsi="Arial Narrow"/>
          <w:sz w:val="20"/>
          <w:szCs w:val="20"/>
        </w:rPr>
      </w:pPr>
      <w:r w:rsidRPr="00E57D8C">
        <w:rPr>
          <w:rFonts w:ascii="Arial Narrow" w:hAnsi="Arial Narrow"/>
          <w:sz w:val="20"/>
          <w:szCs w:val="20"/>
        </w:rPr>
        <w:t xml:space="preserve">Email: </w:t>
      </w:r>
      <w:r>
        <w:rPr>
          <w:rFonts w:ascii="Arial Narrow" w:hAnsi="Arial Narrow"/>
          <w:sz w:val="20"/>
          <w:szCs w:val="20"/>
        </w:rPr>
        <w:t xml:space="preserve"> </w:t>
      </w:r>
      <w:hyperlink r:id="rId8" w:history="1">
        <w:r w:rsidRPr="00A2774A">
          <w:rPr>
            <w:rStyle w:val="Hyperlink"/>
            <w:rFonts w:ascii="Arial Narrow" w:hAnsi="Arial Narrow"/>
            <w:sz w:val="20"/>
            <w:szCs w:val="20"/>
          </w:rPr>
          <w:t>nandakaryono@gmail.com</w:t>
        </w:r>
      </w:hyperlink>
      <w:r>
        <w:rPr>
          <w:rFonts w:ascii="Arial Narrow" w:hAnsi="Arial Narrow"/>
          <w:sz w:val="20"/>
          <w:szCs w:val="20"/>
        </w:rPr>
        <w:t xml:space="preserve"> </w:t>
      </w:r>
      <w:bookmarkStart w:id="0" w:name="_GoBack"/>
      <w:bookmarkEnd w:id="0"/>
    </w:p>
    <w:p w:rsidR="00467ECA" w:rsidRPr="00E57D8C" w:rsidRDefault="00467ECA" w:rsidP="00467ECA">
      <w:pPr>
        <w:spacing w:after="0" w:line="240" w:lineRule="auto"/>
        <w:jc w:val="center"/>
        <w:rPr>
          <w:rFonts w:ascii="Arial Narrow" w:hAnsi="Arial Narrow"/>
          <w:sz w:val="20"/>
          <w:szCs w:val="20"/>
        </w:rPr>
      </w:pPr>
      <w:r>
        <w:rPr>
          <w:rFonts w:ascii="Arial Narrow" w:hAnsi="Arial Narrow"/>
          <w:sz w:val="20"/>
          <w:szCs w:val="20"/>
          <w:vertAlign w:val="superscript"/>
        </w:rPr>
        <w:t xml:space="preserve">2 </w:t>
      </w:r>
      <w:r>
        <w:rPr>
          <w:rFonts w:ascii="Arial Narrow" w:hAnsi="Arial Narrow"/>
          <w:sz w:val="20"/>
          <w:szCs w:val="20"/>
        </w:rPr>
        <w:t>Fakultas Hukum, Univeristas Bhayangkara Jakarta Raya, Indonesia</w:t>
      </w:r>
    </w:p>
    <w:p w:rsidR="00467ECA" w:rsidRDefault="00467ECA" w:rsidP="00467ECA">
      <w:pPr>
        <w:spacing w:after="0" w:line="240" w:lineRule="auto"/>
        <w:jc w:val="center"/>
        <w:rPr>
          <w:rFonts w:ascii="Arial Narrow" w:hAnsi="Arial Narrow"/>
          <w:sz w:val="20"/>
          <w:szCs w:val="20"/>
        </w:rPr>
      </w:pPr>
      <w:r w:rsidRPr="00E57D8C">
        <w:rPr>
          <w:rFonts w:ascii="Arial Narrow" w:hAnsi="Arial Narrow"/>
          <w:sz w:val="20"/>
          <w:szCs w:val="20"/>
        </w:rPr>
        <w:t xml:space="preserve">Email: </w:t>
      </w:r>
      <w:hyperlink r:id="rId9" w:history="1">
        <w:r w:rsidRPr="00A2774A">
          <w:rPr>
            <w:rStyle w:val="Hyperlink"/>
            <w:rFonts w:ascii="Arial Narrow" w:hAnsi="Arial Narrow" w:cs="Times New Roman"/>
            <w:sz w:val="20"/>
            <w:szCs w:val="20"/>
          </w:rPr>
          <w:t>gatot.efrianto@dsn.ubharajaya.ac.id</w:t>
        </w:r>
      </w:hyperlink>
    </w:p>
    <w:p w:rsidR="009C0B64" w:rsidRPr="00467ECA" w:rsidRDefault="00467ECA" w:rsidP="00F345DE">
      <w:pPr>
        <w:spacing w:after="0" w:line="240" w:lineRule="auto"/>
        <w:jc w:val="center"/>
        <w:rPr>
          <w:rStyle w:val="Hyperlink"/>
          <w:rFonts w:ascii="Arial Narrow" w:hAnsi="Arial Narrow"/>
          <w:sz w:val="20"/>
          <w:szCs w:val="20"/>
          <w:lang w:val="id-ID"/>
        </w:rPr>
      </w:pPr>
      <w:r>
        <w:rPr>
          <w:rFonts w:ascii="Arial Narrow" w:hAnsi="Arial Narrow" w:cs="Times New Roman"/>
          <w:color w:val="0070C0"/>
          <w:sz w:val="20"/>
          <w:szCs w:val="20"/>
        </w:rPr>
        <w:t xml:space="preserve"> </w:t>
      </w:r>
    </w:p>
    <w:p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rsidTr="00565EE0">
        <w:tc>
          <w:tcPr>
            <w:tcW w:w="8364" w:type="dxa"/>
            <w:shd w:val="clear" w:color="auto" w:fill="auto"/>
          </w:tcPr>
          <w:p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rsidTr="00565EE0">
        <w:trPr>
          <w:trHeight w:val="509"/>
        </w:trPr>
        <w:tc>
          <w:tcPr>
            <w:tcW w:w="8364" w:type="dxa"/>
            <w:vMerge w:val="restart"/>
            <w:shd w:val="clear" w:color="auto" w:fill="auto"/>
          </w:tcPr>
          <w:p w:rsidR="00A01421" w:rsidRPr="00A01421" w:rsidRDefault="00A01421" w:rsidP="00A01421">
            <w:pPr>
              <w:spacing w:after="0" w:line="240" w:lineRule="auto"/>
              <w:ind w:left="425" w:right="282"/>
              <w:contextualSpacing/>
              <w:jc w:val="both"/>
              <w:rPr>
                <w:rFonts w:ascii="Arial Narrow" w:hAnsi="Arial Narrow" w:cs="Times New Roman"/>
              </w:rPr>
            </w:pPr>
            <w:r w:rsidRPr="00A01421">
              <w:rPr>
                <w:rFonts w:ascii="Arial Narrow" w:eastAsia="Times New Roman" w:hAnsi="Arial Narrow" w:cs="Times New Roman"/>
                <w:lang w:eastAsia="en-US"/>
              </w:rPr>
              <w:t>Tindak pidana penganiayaan dengan rencana terlebih dahulu yang menyebabkan luka berat dan disertai pencurian merupakan kejahatan serius yang mengancam keamanan dan ketertiban masyarakat. Penelitian ini bertujuan untuk menganalisis faktor penyebab pelaku melakukan tindak pidana tersebut serta pertanggungjawaban pidana pelaku berdasarkan Putusan Nomor 425/Pid.B/2023/PN.Kot. Metode penelitian yang digunakan adalah pendekatan normatif dan empiris, dengan teknik pengumpulan data melalui studi kepustakaan dan studi lapangan. Analisis data dilakukan secara deskriptif kualitatif.</w:t>
            </w:r>
            <w:r>
              <w:rPr>
                <w:rFonts w:ascii="Arial Narrow" w:hAnsi="Arial Narrow" w:cs="Times New Roman"/>
              </w:rPr>
              <w:t xml:space="preserve"> </w:t>
            </w:r>
            <w:r w:rsidRPr="00A01421">
              <w:rPr>
                <w:rFonts w:ascii="Arial Narrow" w:eastAsia="Times New Roman" w:hAnsi="Arial Narrow" w:cs="Times New Roman"/>
                <w:lang w:eastAsia="en-US"/>
              </w:rPr>
              <w:t>Hasil penelitian menunjukkan bahwa faktor penyebab terjadinya tindak pidana meliputi faktor keluarga, rasa sakit hati, lingkungan pergaulan, tingkat pendidikan, dan kondisi ekonomi. Adapun pertanggungjawaban pidana pelaku ditentukan berdasarkan terpenuhinya unsur-unsur delik dalam Pasal 353 ayat (2) KUHP dan Pasal 362 KUHP, sehingga pelaku dijatuhi pidana penjara selama 3 (tiga) tahun. Penelitian ini menyarankan pentingnya kesadaran hukum masyarakat serta optimalisasi alat bukti seperti visum dalam penegakan hukum.</w:t>
            </w:r>
          </w:p>
          <w:p w:rsidR="00A01421" w:rsidRPr="00A01421" w:rsidRDefault="00A01421" w:rsidP="00A01421">
            <w:pPr>
              <w:spacing w:before="100" w:beforeAutospacing="1" w:after="100" w:afterAutospacing="1" w:line="240" w:lineRule="auto"/>
              <w:ind w:left="459" w:hanging="425"/>
              <w:rPr>
                <w:rFonts w:ascii="Arial Narrow" w:eastAsia="Times New Roman" w:hAnsi="Arial Narrow" w:cs="Times New Roman"/>
                <w:lang w:eastAsia="en-US"/>
              </w:rPr>
            </w:pPr>
            <w:r>
              <w:rPr>
                <w:rFonts w:ascii="Times New Roman" w:eastAsia="Times New Roman" w:hAnsi="Times New Roman" w:cs="Times New Roman"/>
                <w:b/>
                <w:bCs/>
                <w:sz w:val="24"/>
                <w:szCs w:val="24"/>
                <w:lang w:eastAsia="en-US"/>
              </w:rPr>
              <w:t xml:space="preserve">       </w:t>
            </w:r>
            <w:r w:rsidRPr="00A01421">
              <w:rPr>
                <w:rFonts w:ascii="Arial Narrow" w:eastAsia="Times New Roman" w:hAnsi="Arial Narrow" w:cs="Times New Roman"/>
                <w:bCs/>
                <w:lang w:eastAsia="en-US"/>
              </w:rPr>
              <w:t>Kata Kunci:</w:t>
            </w:r>
            <w:r w:rsidRPr="00A01421">
              <w:rPr>
                <w:rFonts w:ascii="Arial Narrow" w:eastAsia="Times New Roman" w:hAnsi="Arial Narrow" w:cs="Times New Roman"/>
                <w:lang w:eastAsia="en-US"/>
              </w:rPr>
              <w:t xml:space="preserve"> Pertanggungjawaban Pidana, Penganiayaan Berencana, Luka Berat, Pencurian.</w:t>
            </w:r>
          </w:p>
          <w:p w:rsidR="004778C4" w:rsidRPr="00E14B04" w:rsidRDefault="004778C4" w:rsidP="00540601">
            <w:pPr>
              <w:spacing w:after="0" w:line="240" w:lineRule="auto"/>
              <w:ind w:left="425" w:right="282"/>
              <w:contextualSpacing/>
              <w:jc w:val="both"/>
              <w:rPr>
                <w:rFonts w:ascii="Arial Narrow" w:hAnsi="Arial Narrow"/>
                <w:lang w:val="id-ID"/>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bl>
    <w:p w:rsidR="00126A09" w:rsidRPr="0002798F" w:rsidRDefault="00E7058E" w:rsidP="00126A09">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rsidR="000C6CF9" w:rsidRPr="00553109" w:rsidRDefault="000C6CF9" w:rsidP="000C6CF9">
      <w:pPr>
        <w:spacing w:after="0"/>
        <w:ind w:firstLine="720"/>
        <w:jc w:val="both"/>
        <w:rPr>
          <w:rFonts w:ascii="Arial Narrow" w:hAnsi="Arial Narrow" w:cs="Times New Roman"/>
          <w:sz w:val="24"/>
          <w:szCs w:val="24"/>
        </w:rPr>
      </w:pPr>
      <w:r w:rsidRPr="00553109">
        <w:rPr>
          <w:rFonts w:ascii="Arial Narrow" w:hAnsi="Arial Narrow"/>
          <w:color w:val="000000"/>
          <w:sz w:val="24"/>
          <w:szCs w:val="24"/>
          <w:lang w:val="id-ID" w:eastAsia="en-GB"/>
        </w:rPr>
        <w:t>Kitab Undang-Undang Hukum Pidana (selanjutnya disingkat KUHP) adalah dasar yang kuat dalam rangka menentukan perbuatan yang terlarang dan memiliki sanksi yang tegas bagi yang melanggarnya. Ketentuan umum, kejahatan hingga dengan pelanggaran menjadi tiga bagian penting yang termuat dalam KUHP. Kejahatan merupakan perbuatan melanggar hukum yang dilakukan dengan sengaja atau tidak sengaja sehingga dari kejahatan yang dilakukan seseorang, perbuatannya akan berdampak sangat merugikan orang lain selaku subjek hukum.Terdapat berbagai tindak kejahatan yang dipandang sebagai suatu perbuatan pidana. Meskipun sebagaian besar tindak kejahatan yang telah termuat dan di atur dalam KUHP yang secara tegas memiliki ancaman sanksi pidana, kejahatan menjadi suatu bentuk sikap manusia yang harus kita kawal bersama dalam membangun kehidupan bermasyarakat yang tertib dan aman</w:t>
      </w:r>
      <w:r w:rsidR="00D51C85">
        <w:rPr>
          <w:rFonts w:ascii="Arial Narrow" w:hAnsi="Arial Narrow"/>
          <w:color w:val="000000"/>
          <w:sz w:val="24"/>
          <w:szCs w:val="24"/>
          <w:lang w:eastAsia="en-GB"/>
        </w:rPr>
        <w:t xml:space="preserve"> (Amin, 2023)</w:t>
      </w:r>
      <w:r w:rsidRPr="00553109">
        <w:rPr>
          <w:rFonts w:ascii="Arial Narrow" w:hAnsi="Arial Narrow"/>
          <w:color w:val="000000"/>
          <w:sz w:val="24"/>
          <w:szCs w:val="24"/>
          <w:lang w:val="id-ID" w:eastAsia="en-GB"/>
        </w:rPr>
        <w:t xml:space="preserve">.  </w:t>
      </w:r>
    </w:p>
    <w:p w:rsidR="000C6CF9" w:rsidRPr="00553109" w:rsidRDefault="000C6CF9" w:rsidP="000C6CF9">
      <w:pPr>
        <w:spacing w:after="0"/>
        <w:ind w:firstLine="720"/>
        <w:jc w:val="both"/>
        <w:rPr>
          <w:rFonts w:ascii="Arial Narrow" w:hAnsi="Arial Narrow" w:cs="Times New Roman"/>
          <w:sz w:val="24"/>
          <w:szCs w:val="24"/>
        </w:rPr>
      </w:pPr>
      <w:r w:rsidRPr="00553109">
        <w:rPr>
          <w:rFonts w:ascii="Arial Narrow" w:hAnsi="Arial Narrow"/>
          <w:color w:val="000000"/>
          <w:sz w:val="24"/>
          <w:szCs w:val="24"/>
          <w:lang w:val="id-ID" w:eastAsia="en-GB"/>
        </w:rPr>
        <w:t>Salah satu bentuk kejahatan yang seringkali terjadi di sekitar kita yakni kejahatan dalam bentuk kekerasan seperti penganiyaan</w:t>
      </w:r>
      <w:r w:rsidRPr="00553109">
        <w:rPr>
          <w:rFonts w:ascii="Arial Narrow" w:hAnsi="Arial Narrow"/>
          <w:color w:val="000000"/>
          <w:sz w:val="24"/>
          <w:szCs w:val="24"/>
          <w:lang w:eastAsia="en-GB"/>
        </w:rPr>
        <w:t xml:space="preserve"> bahkan disertai dengan tindak pidana lain seperti pencurian</w:t>
      </w:r>
      <w:r w:rsidRPr="00553109">
        <w:rPr>
          <w:rFonts w:ascii="Arial Narrow" w:hAnsi="Arial Narrow"/>
          <w:color w:val="000000"/>
          <w:sz w:val="24"/>
          <w:szCs w:val="24"/>
          <w:lang w:val="id-ID" w:eastAsia="en-GB"/>
        </w:rPr>
        <w:t xml:space="preserve">. Maraknya tindakan penganiayaan yang kita lihat dari berbagai sumber menjadi pertanda bahwa hal tersebut tidak lepas dari perilaku masyarakat yang kurang terkontrol baik itu yang dikarenakan </w:t>
      </w:r>
      <w:r w:rsidRPr="00553109">
        <w:rPr>
          <w:rFonts w:ascii="Arial Narrow" w:hAnsi="Arial Narrow"/>
          <w:color w:val="000000"/>
          <w:sz w:val="24"/>
          <w:szCs w:val="24"/>
          <w:lang w:val="id-ID" w:eastAsia="en-GB"/>
        </w:rPr>
        <w:lastRenderedPageBreak/>
        <w:t xml:space="preserve">rendahnya tingkat pendidikan dan pengaruh lingkungan pergaulan yang kurang baik. Perselisihan baik secara personal ataupun kelompok dapat menjadi suatu faktor yang dapat mengundang terjadinya tindak kekerasan yang berujung pada penganiayaan. Selain itu, KUHP telah mengklasifikasikan beberapa pasal yang berkaitan dengan penganiayaan dan juga jenis ataupun bentuk penganiayaan yang tentu memiliki kosekuensi pemidanaan yang berbeda pula.  </w:t>
      </w:r>
    </w:p>
    <w:p w:rsidR="000C6CF9" w:rsidRPr="00553109" w:rsidRDefault="000C6CF9" w:rsidP="000C6CF9">
      <w:pPr>
        <w:spacing w:after="0"/>
        <w:ind w:firstLine="720"/>
        <w:jc w:val="both"/>
        <w:rPr>
          <w:rFonts w:ascii="Arial Narrow" w:hAnsi="Arial Narrow" w:cs="Times New Roman"/>
          <w:sz w:val="24"/>
          <w:szCs w:val="24"/>
        </w:rPr>
      </w:pPr>
      <w:r w:rsidRPr="00553109">
        <w:rPr>
          <w:rFonts w:ascii="Arial Narrow" w:hAnsi="Arial Narrow"/>
          <w:color w:val="000000"/>
          <w:sz w:val="24"/>
          <w:szCs w:val="24"/>
          <w:lang w:val="id-ID" w:eastAsia="en-GB"/>
        </w:rPr>
        <w:t>Delik penganiayaan dalam KUHP merupakan suatu bentuk perbuatan yang dapat merugikan orang lain terhadap fisik bahkan dapat berimbas pada hilangnya nyawa orang lain. Tidak hanya itu, terdapatnya aturan pidana dari penganiyaan yang dapat menyebabkan luka berat ataupun menyebabkan hilangnya nyawa orang lain jelas harus dipandang sebagai suatu perbuatan yang sangat merugikan korbannya selaku subjek hukum yang patut untuk mendapatkan keadilan</w:t>
      </w:r>
      <w:r w:rsidR="00D51C85">
        <w:rPr>
          <w:rFonts w:ascii="Arial Narrow" w:hAnsi="Arial Narrow"/>
          <w:color w:val="000000"/>
          <w:sz w:val="24"/>
          <w:szCs w:val="24"/>
          <w:lang w:eastAsia="en-GB"/>
        </w:rPr>
        <w:t xml:space="preserve"> Raflencho, 2023)</w:t>
      </w:r>
      <w:r w:rsidRPr="00553109">
        <w:rPr>
          <w:rFonts w:ascii="Arial Narrow" w:hAnsi="Arial Narrow"/>
          <w:color w:val="000000"/>
          <w:sz w:val="24"/>
          <w:szCs w:val="24"/>
          <w:lang w:val="id-ID" w:eastAsia="en-GB"/>
        </w:rPr>
        <w:t xml:space="preserve">.  </w:t>
      </w:r>
    </w:p>
    <w:p w:rsidR="000C6CF9" w:rsidRPr="00553109" w:rsidRDefault="000C6CF9" w:rsidP="000C6CF9">
      <w:pPr>
        <w:spacing w:after="0"/>
        <w:ind w:firstLine="720"/>
        <w:jc w:val="both"/>
        <w:rPr>
          <w:rFonts w:ascii="Arial Narrow" w:hAnsi="Arial Narrow" w:cs="Times New Roman"/>
          <w:sz w:val="24"/>
          <w:szCs w:val="24"/>
        </w:rPr>
      </w:pPr>
      <w:r w:rsidRPr="00553109">
        <w:rPr>
          <w:rFonts w:ascii="Arial Narrow" w:hAnsi="Arial Narrow"/>
          <w:color w:val="000000"/>
          <w:sz w:val="24"/>
          <w:szCs w:val="24"/>
          <w:lang w:val="id-ID" w:eastAsia="en-GB"/>
        </w:rPr>
        <w:t xml:space="preserve">Ketentuan pidana terhadap tindak pidana atau delik penganiayaan </w:t>
      </w:r>
      <w:r w:rsidRPr="00553109">
        <w:rPr>
          <w:rFonts w:ascii="Arial Narrow" w:hAnsi="Arial Narrow"/>
          <w:color w:val="000000"/>
          <w:sz w:val="24"/>
          <w:szCs w:val="24"/>
          <w:lang w:eastAsia="en-GB"/>
        </w:rPr>
        <w:t>yang direncanakan yang mengakibatkan luka berat</w:t>
      </w:r>
      <w:r w:rsidRPr="00553109">
        <w:rPr>
          <w:rFonts w:ascii="Arial Narrow" w:hAnsi="Arial Narrow"/>
          <w:color w:val="000000"/>
          <w:sz w:val="24"/>
          <w:szCs w:val="24"/>
          <w:lang w:val="id-ID" w:eastAsia="en-GB"/>
        </w:rPr>
        <w:t xml:space="preserve"> telah termuat dalam KUHP yakni pada Pasal 35</w:t>
      </w:r>
      <w:r w:rsidRPr="00553109">
        <w:rPr>
          <w:rFonts w:ascii="Arial Narrow" w:hAnsi="Arial Narrow"/>
          <w:color w:val="000000"/>
          <w:sz w:val="24"/>
          <w:szCs w:val="24"/>
          <w:lang w:eastAsia="en-GB"/>
        </w:rPr>
        <w:t>3 ayat (2)</w:t>
      </w:r>
      <w:r w:rsidRPr="00553109">
        <w:rPr>
          <w:rFonts w:ascii="Arial Narrow" w:hAnsi="Arial Narrow"/>
          <w:color w:val="000000"/>
          <w:sz w:val="24"/>
          <w:szCs w:val="24"/>
          <w:lang w:val="id-ID" w:eastAsia="en-GB"/>
        </w:rPr>
        <w:t xml:space="preserve"> KUHP yang menegaskan bahwa: </w:t>
      </w:r>
    </w:p>
    <w:p w:rsidR="000C6CF9" w:rsidRPr="00553109" w:rsidRDefault="000C6CF9" w:rsidP="000C6CF9">
      <w:pPr>
        <w:numPr>
          <w:ilvl w:val="0"/>
          <w:numId w:val="35"/>
        </w:numPr>
        <w:tabs>
          <w:tab w:val="clear" w:pos="2520"/>
          <w:tab w:val="num" w:pos="360"/>
        </w:tabs>
        <w:autoSpaceDE w:val="0"/>
        <w:autoSpaceDN w:val="0"/>
        <w:adjustRightInd w:val="0"/>
        <w:spacing w:after="0" w:line="240" w:lineRule="auto"/>
        <w:ind w:left="360"/>
        <w:jc w:val="both"/>
        <w:rPr>
          <w:rFonts w:ascii="Arial Narrow" w:hAnsi="Arial Narrow"/>
          <w:color w:val="000000"/>
          <w:sz w:val="24"/>
          <w:szCs w:val="24"/>
          <w:lang w:val="id-ID" w:eastAsia="en-GB"/>
        </w:rPr>
      </w:pPr>
      <w:r w:rsidRPr="00553109">
        <w:rPr>
          <w:rFonts w:ascii="Arial Narrow" w:hAnsi="Arial Narrow"/>
          <w:color w:val="000000"/>
          <w:sz w:val="24"/>
          <w:szCs w:val="24"/>
          <w:lang w:val="id-ID" w:eastAsia="en-GB"/>
        </w:rPr>
        <w:t xml:space="preserve">Penganiayaan dengan rencana terlebih dahulu, diancam dengan pidana penjara paling lama empat tahun  </w:t>
      </w:r>
    </w:p>
    <w:p w:rsidR="000C6CF9" w:rsidRPr="00553109" w:rsidRDefault="000C6CF9" w:rsidP="000C6CF9">
      <w:pPr>
        <w:numPr>
          <w:ilvl w:val="0"/>
          <w:numId w:val="35"/>
        </w:numPr>
        <w:tabs>
          <w:tab w:val="clear" w:pos="2520"/>
          <w:tab w:val="num" w:pos="360"/>
        </w:tabs>
        <w:autoSpaceDE w:val="0"/>
        <w:autoSpaceDN w:val="0"/>
        <w:adjustRightInd w:val="0"/>
        <w:spacing w:after="0" w:line="240" w:lineRule="auto"/>
        <w:ind w:left="360"/>
        <w:jc w:val="both"/>
        <w:rPr>
          <w:rFonts w:ascii="Arial Narrow" w:hAnsi="Arial Narrow"/>
          <w:color w:val="000000"/>
          <w:sz w:val="24"/>
          <w:szCs w:val="24"/>
          <w:lang w:val="id-ID" w:eastAsia="en-GB"/>
        </w:rPr>
      </w:pPr>
      <w:r w:rsidRPr="00553109">
        <w:rPr>
          <w:rFonts w:ascii="Arial Narrow" w:hAnsi="Arial Narrow"/>
          <w:color w:val="000000"/>
          <w:sz w:val="24"/>
          <w:szCs w:val="24"/>
          <w:lang w:val="id-ID" w:eastAsia="en-GB"/>
        </w:rPr>
        <w:t xml:space="preserve">Jika perbuatan itu mengakibatkan luka-luka berat, yang bersalah dikenakan penjara paling lama tujuh tahun </w:t>
      </w:r>
    </w:p>
    <w:p w:rsidR="000C6CF9" w:rsidRPr="00553109" w:rsidRDefault="000C6CF9" w:rsidP="000C6CF9">
      <w:pPr>
        <w:numPr>
          <w:ilvl w:val="0"/>
          <w:numId w:val="35"/>
        </w:numPr>
        <w:tabs>
          <w:tab w:val="clear" w:pos="2520"/>
          <w:tab w:val="num" w:pos="360"/>
        </w:tabs>
        <w:autoSpaceDE w:val="0"/>
        <w:autoSpaceDN w:val="0"/>
        <w:adjustRightInd w:val="0"/>
        <w:spacing w:after="0" w:line="240" w:lineRule="auto"/>
        <w:ind w:left="360"/>
        <w:jc w:val="both"/>
        <w:rPr>
          <w:rFonts w:ascii="Arial Narrow" w:hAnsi="Arial Narrow"/>
          <w:color w:val="000000"/>
          <w:sz w:val="24"/>
          <w:szCs w:val="24"/>
          <w:lang w:val="id-ID" w:eastAsia="en-GB"/>
        </w:rPr>
      </w:pPr>
      <w:r w:rsidRPr="00553109">
        <w:rPr>
          <w:rFonts w:ascii="Arial Narrow" w:hAnsi="Arial Narrow"/>
          <w:color w:val="000000"/>
          <w:sz w:val="24"/>
          <w:szCs w:val="24"/>
          <w:lang w:val="id-ID" w:eastAsia="en-GB"/>
        </w:rPr>
        <w:t xml:space="preserve">Jika perbuatan itu mengakibatkan kematian, yang bersalah diancam dengan pidana penjara paling lama sembilan tahun </w:t>
      </w:r>
    </w:p>
    <w:p w:rsidR="000C6CF9" w:rsidRPr="00553109" w:rsidRDefault="000C6CF9" w:rsidP="000C6CF9">
      <w:pPr>
        <w:autoSpaceDE w:val="0"/>
        <w:autoSpaceDN w:val="0"/>
        <w:adjustRightInd w:val="0"/>
        <w:spacing w:after="0" w:line="240" w:lineRule="auto"/>
        <w:ind w:firstLine="360"/>
        <w:jc w:val="both"/>
        <w:rPr>
          <w:rFonts w:ascii="Arial Narrow" w:hAnsi="Arial Narrow"/>
          <w:color w:val="000000"/>
          <w:sz w:val="24"/>
          <w:szCs w:val="24"/>
          <w:lang w:val="id-ID" w:eastAsia="en-GB"/>
        </w:rPr>
      </w:pPr>
      <w:r w:rsidRPr="00553109">
        <w:rPr>
          <w:rFonts w:ascii="Arial Narrow" w:hAnsi="Arial Narrow"/>
          <w:color w:val="000000"/>
          <w:sz w:val="24"/>
          <w:szCs w:val="24"/>
          <w:lang w:eastAsia="en-GB"/>
        </w:rPr>
        <w:t>Sedangkan untuk tindak pidana pencurian sendiri diatur dalam Pasal 362 KUHP yang mengatur bahwa “</w:t>
      </w:r>
      <w:r w:rsidRPr="00553109">
        <w:rPr>
          <w:rFonts w:ascii="Arial Narrow" w:hAnsi="Arial Narrow"/>
          <w:color w:val="000000"/>
          <w:sz w:val="24"/>
          <w:szCs w:val="24"/>
          <w:lang w:val="id-ID"/>
        </w:rPr>
        <w:t>Barangsiapa mengambil sesuatu barang, yang seluruhnya atau sebagian kepunyaan orang lain, dengan maksud untuk dimiliki secara melawan hukum, diancam karena pencurian, dengan pidana penjara paling lama lima tahun atau pidana denda paling banyak sembilan ratus rupiah”</w:t>
      </w:r>
      <w:r w:rsidRPr="00553109">
        <w:rPr>
          <w:rFonts w:ascii="Arial Narrow" w:hAnsi="Arial Narrow"/>
          <w:color w:val="000000"/>
          <w:sz w:val="24"/>
          <w:szCs w:val="24"/>
        </w:rPr>
        <w:t>.</w:t>
      </w:r>
      <w:r w:rsidRPr="00553109">
        <w:rPr>
          <w:rFonts w:ascii="Arial Narrow" w:hAnsi="Arial Narrow"/>
          <w:color w:val="000000"/>
          <w:sz w:val="24"/>
          <w:szCs w:val="24"/>
          <w:lang w:val="id-ID" w:eastAsia="en-GB"/>
        </w:rPr>
        <w:t xml:space="preserve"> </w:t>
      </w:r>
    </w:p>
    <w:p w:rsidR="000C6CF9" w:rsidRPr="00553109" w:rsidRDefault="000C6CF9" w:rsidP="000C6CF9">
      <w:pPr>
        <w:autoSpaceDE w:val="0"/>
        <w:autoSpaceDN w:val="0"/>
        <w:adjustRightInd w:val="0"/>
        <w:spacing w:after="0" w:line="240" w:lineRule="auto"/>
        <w:ind w:firstLine="360"/>
        <w:jc w:val="both"/>
        <w:rPr>
          <w:rFonts w:ascii="Arial Narrow" w:hAnsi="Arial Narrow"/>
          <w:color w:val="000000"/>
          <w:sz w:val="24"/>
          <w:szCs w:val="24"/>
          <w:lang w:val="id-ID" w:eastAsia="en-GB"/>
        </w:rPr>
      </w:pPr>
      <w:r w:rsidRPr="00553109">
        <w:rPr>
          <w:rFonts w:ascii="Arial Narrow" w:hAnsi="Arial Narrow"/>
          <w:color w:val="000000"/>
          <w:sz w:val="24"/>
          <w:szCs w:val="24"/>
          <w:lang w:val="id-ID" w:eastAsia="en-GB"/>
        </w:rPr>
        <w:t xml:space="preserve">Kedua pasal di atas menegaskan bahwa delik yang bersinggungan dengan penganiayaan </w:t>
      </w:r>
      <w:r w:rsidRPr="00553109">
        <w:rPr>
          <w:rFonts w:ascii="Arial Narrow" w:hAnsi="Arial Narrow"/>
          <w:color w:val="000000"/>
          <w:sz w:val="24"/>
          <w:szCs w:val="24"/>
          <w:lang w:eastAsia="en-GB"/>
        </w:rPr>
        <w:t>yang disertai dengan pencurian</w:t>
      </w:r>
      <w:r w:rsidRPr="00553109">
        <w:rPr>
          <w:rFonts w:ascii="Arial Narrow" w:hAnsi="Arial Narrow"/>
          <w:color w:val="000000"/>
          <w:sz w:val="24"/>
          <w:szCs w:val="24"/>
          <w:lang w:val="id-ID" w:eastAsia="en-GB"/>
        </w:rPr>
        <w:t xml:space="preserve"> yang dilakukan seseorang terhadap orang lain bahkan terhadap </w:t>
      </w:r>
      <w:r w:rsidRPr="00553109">
        <w:rPr>
          <w:rFonts w:ascii="Arial Narrow" w:hAnsi="Arial Narrow"/>
          <w:color w:val="000000"/>
          <w:sz w:val="24"/>
          <w:szCs w:val="24"/>
          <w:lang w:eastAsia="en-GB"/>
        </w:rPr>
        <w:t xml:space="preserve">harta </w:t>
      </w:r>
      <w:r w:rsidRPr="00553109">
        <w:rPr>
          <w:rFonts w:ascii="Arial Narrow" w:hAnsi="Arial Narrow"/>
          <w:color w:val="000000"/>
          <w:sz w:val="24"/>
          <w:szCs w:val="24"/>
          <w:lang w:val="id-ID" w:eastAsia="en-GB"/>
        </w:rPr>
        <w:t xml:space="preserve">benda sekalipun menjadi suatu alasan seseorang harus mempertanggungjawabkan perbuatannya.  </w:t>
      </w:r>
      <w:r w:rsidRPr="00553109">
        <w:rPr>
          <w:rFonts w:ascii="Arial Narrow" w:hAnsi="Arial Narrow"/>
          <w:color w:val="000000"/>
          <w:sz w:val="24"/>
          <w:szCs w:val="24"/>
          <w:lang w:eastAsia="en-GB"/>
        </w:rPr>
        <w:t xml:space="preserve"> </w:t>
      </w:r>
      <w:r w:rsidRPr="00553109">
        <w:rPr>
          <w:rFonts w:ascii="Arial Narrow" w:hAnsi="Arial Narrow"/>
          <w:color w:val="000000"/>
          <w:sz w:val="24"/>
          <w:szCs w:val="24"/>
          <w:lang w:val="id-ID" w:eastAsia="en-GB"/>
        </w:rPr>
        <w:t xml:space="preserve">Secara umum, tindakan yang bersinggungan dengan perbuatan menganiaya sebagaimana yang dimaksudkan, patut untuk diketahui dan diterapkan dengan baik oleh aparat penegak hukum dalam rangka mewujudkan suatu keadilan yang dikehendaki. Sehingga dengan memperhatikan dengan cermat dan jelih terhadap unsur-unsur perbuatan yang mencocoki rumusan delik dengan perbuatan yang dilakukan oleh pelaku dapat menjadi langkah awal dalam menciptakan rasa keadilan bagi setiap orang yang berkasus dengan tindak pidana penganiayaan. </w:t>
      </w:r>
    </w:p>
    <w:p w:rsidR="000C6CF9" w:rsidRPr="00553109" w:rsidRDefault="000C6CF9" w:rsidP="000C6CF9">
      <w:pPr>
        <w:autoSpaceDE w:val="0"/>
        <w:autoSpaceDN w:val="0"/>
        <w:adjustRightInd w:val="0"/>
        <w:spacing w:after="0" w:line="240" w:lineRule="auto"/>
        <w:ind w:firstLine="360"/>
        <w:jc w:val="both"/>
        <w:rPr>
          <w:rFonts w:ascii="Arial Narrow" w:hAnsi="Arial Narrow"/>
          <w:color w:val="000000"/>
          <w:sz w:val="24"/>
          <w:szCs w:val="24"/>
          <w:lang w:val="id-ID" w:eastAsia="en-GB"/>
        </w:rPr>
      </w:pPr>
      <w:r w:rsidRPr="00553109">
        <w:rPr>
          <w:rFonts w:ascii="Arial Narrow" w:hAnsi="Arial Narrow"/>
          <w:color w:val="000000"/>
          <w:sz w:val="24"/>
          <w:szCs w:val="24"/>
          <w:lang w:val="id-ID" w:eastAsia="en-GB"/>
        </w:rPr>
        <w:t xml:space="preserve">Memperhatikan unsur-unsur delik dari beberapa pasal yang bersinggungan dengan tindakan kekerasan maupun penganiayaan jelas dapat membuat aparat terbantu untuk menggiring pelaku mempertanggungjawabkan perbuatannya melalui proses peradilan.  Tidak hanya itu, penegakan hukum dalam menerapkan jenis delik yang bersinggungan dengan penganiayaan atau beberapa bentuk dari penganiyaan itu sendiri menjadi hal penting, bagi penegakan Hak Asasi Manusia.  </w:t>
      </w:r>
    </w:p>
    <w:p w:rsidR="000C6CF9" w:rsidRPr="00553109" w:rsidRDefault="000C6CF9" w:rsidP="000C6CF9">
      <w:pPr>
        <w:autoSpaceDE w:val="0"/>
        <w:autoSpaceDN w:val="0"/>
        <w:adjustRightInd w:val="0"/>
        <w:spacing w:after="0" w:line="240" w:lineRule="auto"/>
        <w:ind w:firstLine="360"/>
        <w:jc w:val="both"/>
        <w:rPr>
          <w:rFonts w:ascii="Arial Narrow" w:hAnsi="Arial Narrow"/>
          <w:color w:val="000000"/>
          <w:sz w:val="24"/>
          <w:szCs w:val="24"/>
          <w:lang w:val="id-ID" w:eastAsia="en-GB"/>
        </w:rPr>
      </w:pPr>
      <w:r w:rsidRPr="00553109">
        <w:rPr>
          <w:rFonts w:ascii="Arial Narrow" w:hAnsi="Arial Narrow"/>
          <w:color w:val="000000"/>
          <w:sz w:val="24"/>
          <w:szCs w:val="24"/>
          <w:lang w:eastAsia="en-GB"/>
        </w:rPr>
        <w:t xml:space="preserve">Salah satu </w:t>
      </w:r>
      <w:r w:rsidRPr="00553109">
        <w:rPr>
          <w:rFonts w:ascii="Arial Narrow" w:hAnsi="Arial Narrow"/>
          <w:color w:val="000000"/>
          <w:sz w:val="24"/>
          <w:szCs w:val="24"/>
          <w:lang w:val="id-ID" w:eastAsia="en-GB"/>
        </w:rPr>
        <w:t xml:space="preserve">tindak pidana penganiayaan </w:t>
      </w:r>
      <w:r w:rsidRPr="00553109">
        <w:rPr>
          <w:rFonts w:ascii="Arial Narrow" w:hAnsi="Arial Narrow"/>
          <w:color w:val="000000"/>
          <w:sz w:val="24"/>
          <w:szCs w:val="24"/>
          <w:lang w:eastAsia="en-GB"/>
        </w:rPr>
        <w:t xml:space="preserve">yang direncanakan terlebih dahulu dan pencurian seperti </w:t>
      </w:r>
      <w:r w:rsidRPr="00553109">
        <w:rPr>
          <w:rFonts w:ascii="Arial Narrow" w:hAnsi="Arial Narrow"/>
          <w:color w:val="000000"/>
          <w:sz w:val="24"/>
          <w:szCs w:val="24"/>
          <w:lang w:val="id-ID" w:eastAsia="en-GB"/>
        </w:rPr>
        <w:t xml:space="preserve">yang dilakukan oleh </w:t>
      </w:r>
      <w:r w:rsidRPr="00553109">
        <w:rPr>
          <w:rFonts w:ascii="Arial Narrow" w:hAnsi="Arial Narrow"/>
          <w:color w:val="000000"/>
          <w:sz w:val="24"/>
          <w:szCs w:val="24"/>
          <w:lang w:eastAsia="en-GB"/>
        </w:rPr>
        <w:t>Armin Bin Mamat</w:t>
      </w:r>
      <w:r w:rsidRPr="00553109">
        <w:rPr>
          <w:rFonts w:ascii="Arial Narrow" w:hAnsi="Arial Narrow"/>
          <w:color w:val="000000"/>
          <w:sz w:val="24"/>
          <w:szCs w:val="24"/>
          <w:lang w:val="id-ID" w:eastAsia="en-GB"/>
        </w:rPr>
        <w:t xml:space="preserve"> dalam Putusan Pengadilan Negeri Kota Agung Nomor </w:t>
      </w:r>
      <w:r w:rsidRPr="00553109">
        <w:rPr>
          <w:rFonts w:ascii="Arial Narrow" w:hAnsi="Arial Narrow"/>
          <w:color w:val="000000"/>
          <w:sz w:val="24"/>
          <w:szCs w:val="24"/>
          <w:lang w:val="id-ID"/>
        </w:rPr>
        <w:t>425/Pid.B/2023/PN.Kot, yang mana dalam proses pembuktian tindak pidana penganiayaan</w:t>
      </w:r>
      <w:r w:rsidRPr="00553109">
        <w:rPr>
          <w:rFonts w:ascii="Arial Narrow" w:hAnsi="Arial Narrow"/>
          <w:color w:val="000000"/>
          <w:sz w:val="24"/>
          <w:szCs w:val="24"/>
        </w:rPr>
        <w:t xml:space="preserve"> yang direncanakan terlebih dahulu dan pencurian</w:t>
      </w:r>
      <w:r w:rsidRPr="00553109">
        <w:rPr>
          <w:rFonts w:ascii="Arial Narrow" w:hAnsi="Arial Narrow"/>
          <w:color w:val="000000"/>
          <w:sz w:val="24"/>
          <w:szCs w:val="24"/>
          <w:lang w:val="id-ID"/>
        </w:rPr>
        <w:t xml:space="preserve">, maka Majelis Hakim mempertimbangkan Dakwaan </w:t>
      </w:r>
      <w:r w:rsidRPr="00553109">
        <w:rPr>
          <w:rFonts w:ascii="Arial Narrow" w:hAnsi="Arial Narrow"/>
          <w:color w:val="000000"/>
          <w:sz w:val="24"/>
          <w:szCs w:val="24"/>
        </w:rPr>
        <w:t>Pertama yang bersifat kumulatif</w:t>
      </w:r>
      <w:r w:rsidRPr="00553109">
        <w:rPr>
          <w:rFonts w:ascii="Arial Narrow" w:hAnsi="Arial Narrow"/>
          <w:color w:val="000000"/>
          <w:sz w:val="24"/>
          <w:szCs w:val="24"/>
          <w:lang w:val="id-ID"/>
        </w:rPr>
        <w:t xml:space="preserve"> yaitu melanggar Pasal 35</w:t>
      </w:r>
      <w:r w:rsidRPr="00553109">
        <w:rPr>
          <w:rFonts w:ascii="Arial Narrow" w:hAnsi="Arial Narrow"/>
          <w:color w:val="000000"/>
          <w:sz w:val="24"/>
          <w:szCs w:val="24"/>
        </w:rPr>
        <w:t>3</w:t>
      </w:r>
      <w:r w:rsidRPr="00553109">
        <w:rPr>
          <w:rFonts w:ascii="Arial Narrow" w:hAnsi="Arial Narrow"/>
          <w:color w:val="000000"/>
          <w:sz w:val="24"/>
          <w:szCs w:val="24"/>
          <w:lang w:val="id-ID"/>
        </w:rPr>
        <w:t xml:space="preserve"> ayat (</w:t>
      </w:r>
      <w:r w:rsidRPr="00553109">
        <w:rPr>
          <w:rFonts w:ascii="Arial Narrow" w:hAnsi="Arial Narrow"/>
          <w:color w:val="000000"/>
          <w:sz w:val="24"/>
          <w:szCs w:val="24"/>
        </w:rPr>
        <w:t>2</w:t>
      </w:r>
      <w:r w:rsidRPr="00553109">
        <w:rPr>
          <w:rFonts w:ascii="Arial Narrow" w:hAnsi="Arial Narrow"/>
          <w:color w:val="000000"/>
          <w:sz w:val="24"/>
          <w:szCs w:val="24"/>
          <w:lang w:val="id-ID"/>
        </w:rPr>
        <w:t xml:space="preserve">) KUHP dan </w:t>
      </w:r>
      <w:r w:rsidRPr="00553109">
        <w:rPr>
          <w:rFonts w:ascii="Arial Narrow" w:hAnsi="Arial Narrow"/>
          <w:color w:val="000000"/>
          <w:sz w:val="24"/>
          <w:szCs w:val="24"/>
        </w:rPr>
        <w:t xml:space="preserve">Pasal 362 KUHP serta terdakwa </w:t>
      </w:r>
      <w:r w:rsidRPr="00553109">
        <w:rPr>
          <w:rFonts w:ascii="Arial Narrow" w:hAnsi="Arial Narrow"/>
          <w:color w:val="000000"/>
          <w:sz w:val="24"/>
          <w:szCs w:val="24"/>
          <w:lang w:val="id-ID"/>
        </w:rPr>
        <w:t xml:space="preserve">dijatuhi pidana penjara selama </w:t>
      </w:r>
      <w:r w:rsidRPr="00553109">
        <w:rPr>
          <w:rFonts w:ascii="Arial Narrow" w:hAnsi="Arial Narrow"/>
          <w:color w:val="000000"/>
          <w:sz w:val="24"/>
          <w:szCs w:val="24"/>
        </w:rPr>
        <w:t>3</w:t>
      </w:r>
      <w:r w:rsidRPr="00553109">
        <w:rPr>
          <w:rFonts w:ascii="Arial Narrow" w:hAnsi="Arial Narrow"/>
          <w:color w:val="000000"/>
          <w:sz w:val="24"/>
          <w:szCs w:val="24"/>
          <w:lang w:val="id-ID"/>
        </w:rPr>
        <w:t xml:space="preserve"> (</w:t>
      </w:r>
      <w:r w:rsidRPr="00553109">
        <w:rPr>
          <w:rFonts w:ascii="Arial Narrow" w:hAnsi="Arial Narrow"/>
          <w:color w:val="000000"/>
          <w:sz w:val="24"/>
          <w:szCs w:val="24"/>
        </w:rPr>
        <w:t>tiga</w:t>
      </w:r>
      <w:r w:rsidRPr="00553109">
        <w:rPr>
          <w:rFonts w:ascii="Arial Narrow" w:hAnsi="Arial Narrow"/>
          <w:color w:val="000000"/>
          <w:sz w:val="24"/>
          <w:szCs w:val="24"/>
          <w:lang w:val="id-ID"/>
        </w:rPr>
        <w:t>) tahun</w:t>
      </w:r>
      <w:r w:rsidRPr="00553109">
        <w:rPr>
          <w:rFonts w:ascii="Arial Narrow" w:hAnsi="Arial Narrow"/>
          <w:color w:val="000000"/>
          <w:sz w:val="24"/>
          <w:szCs w:val="24"/>
        </w:rPr>
        <w:t>.</w:t>
      </w:r>
      <w:r w:rsidRPr="00553109">
        <w:rPr>
          <w:rFonts w:ascii="Arial Narrow" w:hAnsi="Arial Narrow"/>
          <w:color w:val="000000"/>
          <w:sz w:val="24"/>
          <w:szCs w:val="24"/>
          <w:lang w:val="id-ID"/>
        </w:rPr>
        <w:t xml:space="preserve"> </w:t>
      </w:r>
    </w:p>
    <w:p w:rsidR="000C6CF9" w:rsidRPr="00553109" w:rsidRDefault="000C6CF9" w:rsidP="000C6CF9">
      <w:pPr>
        <w:autoSpaceDE w:val="0"/>
        <w:autoSpaceDN w:val="0"/>
        <w:adjustRightInd w:val="0"/>
        <w:spacing w:after="0" w:line="240" w:lineRule="auto"/>
        <w:ind w:firstLine="360"/>
        <w:jc w:val="both"/>
        <w:rPr>
          <w:rFonts w:ascii="Arial Narrow" w:hAnsi="Arial Narrow"/>
          <w:color w:val="000000"/>
          <w:sz w:val="24"/>
          <w:szCs w:val="24"/>
          <w:lang w:val="id-ID" w:eastAsia="en-GB"/>
        </w:rPr>
      </w:pPr>
      <w:r w:rsidRPr="00553109">
        <w:rPr>
          <w:rFonts w:ascii="Arial Narrow" w:hAnsi="Arial Narrow"/>
          <w:color w:val="000000"/>
          <w:sz w:val="24"/>
          <w:szCs w:val="24"/>
          <w:lang w:val="id-ID" w:eastAsia="en-GB"/>
        </w:rPr>
        <w:t>Dilihat dari proses persidangan yang berlangsung, terungkap fakta bahwa pelaku mewujudkan aksi</w:t>
      </w:r>
      <w:r w:rsidRPr="00553109">
        <w:rPr>
          <w:rFonts w:ascii="Arial Narrow" w:hAnsi="Arial Narrow"/>
          <w:color w:val="000000"/>
          <w:sz w:val="24"/>
          <w:szCs w:val="24"/>
          <w:lang w:eastAsia="en-GB"/>
        </w:rPr>
        <w:t xml:space="preserve"> penganiayaan dan pencurian</w:t>
      </w:r>
      <w:r w:rsidRPr="00553109">
        <w:rPr>
          <w:rFonts w:ascii="Arial Narrow" w:hAnsi="Arial Narrow"/>
          <w:color w:val="000000"/>
          <w:sz w:val="24"/>
          <w:szCs w:val="24"/>
          <w:lang w:val="id-ID" w:eastAsia="en-GB"/>
        </w:rPr>
        <w:t xml:space="preserve"> yang dilatarbelakangi </w:t>
      </w:r>
      <w:r w:rsidRPr="00553109">
        <w:rPr>
          <w:rFonts w:ascii="Arial Narrow" w:hAnsi="Arial Narrow"/>
          <w:color w:val="000000"/>
          <w:sz w:val="24"/>
          <w:szCs w:val="24"/>
          <w:lang w:eastAsia="en-GB"/>
        </w:rPr>
        <w:t xml:space="preserve">rasa sakit hati terdakwa karena </w:t>
      </w:r>
      <w:r w:rsidRPr="00553109">
        <w:rPr>
          <w:rFonts w:ascii="Arial Narrow" w:hAnsi="Arial Narrow"/>
          <w:color w:val="000000"/>
          <w:sz w:val="24"/>
          <w:szCs w:val="24"/>
          <w:lang w:eastAsia="en-GB"/>
        </w:rPr>
        <w:lastRenderedPageBreak/>
        <w:t>diberhentikan menjadi tukang sadap karena oleh korban. Terdakwa merencanakan tindakan penganiayaan dengan mempersiapkan cairan amoniak dalam sebuah derigen. Ketika korban hendak menyalakan saklar listrik yang sebelumnya telah diturunkan oleh terdakwa, maka terdakwa menyiramkan cairan amoniak ke badan dan muka korban, sehingga terjadilah perkelahian antara keduanya.</w:t>
      </w:r>
    </w:p>
    <w:p w:rsidR="000C6CF9" w:rsidRPr="00553109" w:rsidRDefault="000C6CF9" w:rsidP="000C6CF9">
      <w:pPr>
        <w:autoSpaceDE w:val="0"/>
        <w:autoSpaceDN w:val="0"/>
        <w:adjustRightInd w:val="0"/>
        <w:spacing w:after="0" w:line="240" w:lineRule="auto"/>
        <w:ind w:firstLine="360"/>
        <w:jc w:val="both"/>
        <w:rPr>
          <w:rFonts w:ascii="Arial Narrow" w:hAnsi="Arial Narrow"/>
          <w:color w:val="000000"/>
          <w:sz w:val="24"/>
          <w:szCs w:val="24"/>
          <w:lang w:val="id-ID" w:eastAsia="en-GB"/>
        </w:rPr>
      </w:pPr>
      <w:r w:rsidRPr="00553109">
        <w:rPr>
          <w:rFonts w:ascii="Arial Narrow" w:hAnsi="Arial Narrow"/>
          <w:color w:val="000000"/>
          <w:sz w:val="24"/>
          <w:szCs w:val="24"/>
          <w:lang w:eastAsia="en-GB"/>
        </w:rPr>
        <w:t>Ketika perkelahian tersebut, korban berhasil menendang dada terdakwa dan terdakwa sempet melarikan diri. Korban meminta tolong ke saksi Linardo Aditia untuk dibawa ke Rumah Sakit dan pada saat terjadi perkelahian, handphone korban dan handphone terdakwa terjatuh, akhirnya terdakwa kembali ke tempat perkelahian dan mengambil handphonenya serta mengambil handphone korban.</w:t>
      </w:r>
    </w:p>
    <w:p w:rsidR="000C6CF9" w:rsidRPr="00553109" w:rsidRDefault="000C6CF9" w:rsidP="000C6CF9">
      <w:pPr>
        <w:autoSpaceDE w:val="0"/>
        <w:autoSpaceDN w:val="0"/>
        <w:adjustRightInd w:val="0"/>
        <w:spacing w:after="0" w:line="240" w:lineRule="auto"/>
        <w:ind w:firstLine="360"/>
        <w:jc w:val="both"/>
        <w:rPr>
          <w:rStyle w:val="IntenseEmphasis"/>
          <w:rFonts w:ascii="Arial Narrow" w:hAnsi="Arial Narrow"/>
          <w:bCs w:val="0"/>
          <w:i w:val="0"/>
          <w:iCs w:val="0"/>
          <w:color w:val="000000"/>
          <w:sz w:val="24"/>
          <w:szCs w:val="24"/>
          <w:lang w:val="id-ID" w:eastAsia="en-GB"/>
        </w:rPr>
      </w:pPr>
      <w:r w:rsidRPr="00553109">
        <w:rPr>
          <w:rFonts w:ascii="Arial Narrow" w:hAnsi="Arial Narrow"/>
          <w:color w:val="000000"/>
          <w:sz w:val="24"/>
          <w:szCs w:val="24"/>
          <w:lang w:val="id-ID"/>
        </w:rPr>
        <w:t xml:space="preserve">Berdasarkan uraian-uraian tersebut di atas, maka penulis merasa tertarik untuk mengetahui secara lebih mendalam yang berkaitan dengan tindak pidana penganiayaan </w:t>
      </w:r>
      <w:r w:rsidRPr="00553109">
        <w:rPr>
          <w:rFonts w:ascii="Arial Narrow" w:hAnsi="Arial Narrow"/>
          <w:color w:val="000000"/>
          <w:sz w:val="24"/>
          <w:szCs w:val="24"/>
        </w:rPr>
        <w:t>dengan</w:t>
      </w:r>
      <w:r w:rsidRPr="00553109">
        <w:rPr>
          <w:rFonts w:ascii="Arial Narrow" w:hAnsi="Arial Narrow"/>
          <w:color w:val="000000"/>
          <w:sz w:val="24"/>
          <w:szCs w:val="24"/>
          <w:lang w:val="id-ID"/>
        </w:rPr>
        <w:t xml:space="preserve"> </w:t>
      </w:r>
      <w:r w:rsidRPr="00553109">
        <w:rPr>
          <w:rFonts w:ascii="Arial Narrow" w:hAnsi="Arial Narrow"/>
          <w:color w:val="000000"/>
          <w:sz w:val="24"/>
          <w:szCs w:val="24"/>
        </w:rPr>
        <w:t>direncanakan terlebih dahulu yang menyebabkan luka berat dan pencurian serta</w:t>
      </w:r>
      <w:r w:rsidRPr="00553109">
        <w:rPr>
          <w:rFonts w:ascii="Arial Narrow" w:hAnsi="Arial Narrow"/>
          <w:color w:val="000000"/>
          <w:sz w:val="24"/>
          <w:szCs w:val="24"/>
          <w:lang w:val="id-ID"/>
        </w:rPr>
        <w:t xml:space="preserve"> menuangkan</w:t>
      </w:r>
      <w:r w:rsidRPr="00553109">
        <w:rPr>
          <w:rFonts w:ascii="Arial Narrow" w:hAnsi="Arial Narrow"/>
          <w:color w:val="000000"/>
          <w:sz w:val="24"/>
          <w:szCs w:val="24"/>
        </w:rPr>
        <w:t>nya</w:t>
      </w:r>
      <w:r w:rsidRPr="00553109">
        <w:rPr>
          <w:rFonts w:ascii="Arial Narrow" w:hAnsi="Arial Narrow"/>
          <w:color w:val="000000"/>
          <w:sz w:val="24"/>
          <w:szCs w:val="24"/>
          <w:lang w:val="id-ID"/>
        </w:rPr>
        <w:t xml:space="preserve"> ke dalam bentuk Skripsi dengan judul: “Pertanggungjawaban Pelaku </w:t>
      </w:r>
      <w:r w:rsidRPr="00553109">
        <w:rPr>
          <w:rFonts w:ascii="Arial Narrow" w:hAnsi="Arial Narrow"/>
          <w:color w:val="000000"/>
          <w:sz w:val="24"/>
          <w:szCs w:val="24"/>
        </w:rPr>
        <w:t xml:space="preserve">Tindak Pidana </w:t>
      </w:r>
      <w:r w:rsidRPr="00553109">
        <w:rPr>
          <w:rFonts w:ascii="Arial Narrow" w:hAnsi="Arial Narrow"/>
          <w:color w:val="000000"/>
          <w:sz w:val="24"/>
          <w:szCs w:val="24"/>
          <w:lang w:val="id-ID"/>
        </w:rPr>
        <w:t xml:space="preserve">Penganiayaan </w:t>
      </w:r>
      <w:r w:rsidRPr="00553109">
        <w:rPr>
          <w:rFonts w:ascii="Arial Narrow" w:hAnsi="Arial Narrow"/>
          <w:color w:val="000000"/>
          <w:sz w:val="24"/>
          <w:szCs w:val="24"/>
        </w:rPr>
        <w:t xml:space="preserve">Dengan Rencana Terlebih Dahulu </w:t>
      </w:r>
      <w:r w:rsidRPr="00553109">
        <w:rPr>
          <w:rFonts w:ascii="Arial Narrow" w:hAnsi="Arial Narrow"/>
          <w:color w:val="000000"/>
          <w:sz w:val="24"/>
          <w:szCs w:val="24"/>
          <w:lang w:val="id-ID"/>
        </w:rPr>
        <w:t xml:space="preserve">Yang Menyebabkan Luka </w:t>
      </w:r>
      <w:r w:rsidRPr="00553109">
        <w:rPr>
          <w:rFonts w:ascii="Arial Narrow" w:hAnsi="Arial Narrow"/>
          <w:color w:val="000000"/>
          <w:sz w:val="24"/>
          <w:szCs w:val="24"/>
        </w:rPr>
        <w:t>Berat Dan Pencurian</w:t>
      </w:r>
      <w:r w:rsidRPr="00553109">
        <w:rPr>
          <w:rFonts w:ascii="Arial Narrow" w:hAnsi="Arial Narrow"/>
          <w:color w:val="000000"/>
          <w:sz w:val="24"/>
          <w:szCs w:val="24"/>
          <w:lang w:val="id-ID"/>
        </w:rPr>
        <w:t xml:space="preserve"> (Studi Putusan Nomor 425/Pid.B/2023/PN.Kot)”.</w:t>
      </w:r>
    </w:p>
    <w:p w:rsidR="000C6CF9" w:rsidRPr="00467B7C" w:rsidRDefault="000C6CF9" w:rsidP="00C56CC3">
      <w:pPr>
        <w:spacing w:after="0"/>
        <w:ind w:firstLine="720"/>
        <w:jc w:val="both"/>
        <w:rPr>
          <w:rFonts w:ascii="Arial Narrow" w:hAnsi="Arial Narrow" w:cs="Times New Roman"/>
          <w:sz w:val="24"/>
          <w:szCs w:val="24"/>
        </w:rPr>
      </w:pP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2.  Metode Penelitian</w:t>
      </w:r>
    </w:p>
    <w:p w:rsidR="00C268CE" w:rsidRDefault="0009397C" w:rsidP="00C268CE">
      <w:pPr>
        <w:pBdr>
          <w:top w:val="nil"/>
          <w:left w:val="nil"/>
          <w:bottom w:val="nil"/>
          <w:right w:val="nil"/>
          <w:between w:val="nil"/>
        </w:pBdr>
        <w:tabs>
          <w:tab w:val="center" w:pos="4680"/>
          <w:tab w:val="right" w:pos="9360"/>
        </w:tabs>
        <w:spacing w:after="0" w:line="240" w:lineRule="auto"/>
        <w:ind w:firstLine="567"/>
        <w:jc w:val="both"/>
        <w:rPr>
          <w:rFonts w:ascii="Arial Narrow" w:hAnsi="Arial Narrow"/>
          <w:sz w:val="24"/>
          <w:szCs w:val="24"/>
        </w:rPr>
      </w:pPr>
      <w:r w:rsidRPr="00C268CE">
        <w:rPr>
          <w:rFonts w:ascii="Arial Narrow" w:hAnsi="Arial Narrow" w:cs="Times New Roman"/>
          <w:sz w:val="24"/>
          <w:szCs w:val="24"/>
        </w:rPr>
        <w:t xml:space="preserve">Penelitian ini menggunakan metode yuridis </w:t>
      </w:r>
      <w:r w:rsidR="00C268CE" w:rsidRPr="00C268CE">
        <w:rPr>
          <w:rFonts w:ascii="Arial Narrow" w:hAnsi="Arial Narrow" w:cs="Times New Roman"/>
          <w:sz w:val="24"/>
          <w:szCs w:val="24"/>
        </w:rPr>
        <w:t xml:space="preserve">normative – </w:t>
      </w:r>
      <w:proofErr w:type="gramStart"/>
      <w:r w:rsidR="00C268CE" w:rsidRPr="00C268CE">
        <w:rPr>
          <w:rFonts w:ascii="Arial Narrow" w:hAnsi="Arial Narrow" w:cs="Times New Roman"/>
          <w:sz w:val="24"/>
          <w:szCs w:val="24"/>
        </w:rPr>
        <w:t xml:space="preserve">empiris </w:t>
      </w:r>
      <w:r w:rsidRPr="00C268CE">
        <w:rPr>
          <w:rFonts w:ascii="Arial Narrow" w:hAnsi="Arial Narrow" w:cs="Times New Roman"/>
          <w:sz w:val="24"/>
          <w:szCs w:val="24"/>
        </w:rPr>
        <w:t xml:space="preserve"> yang</w:t>
      </w:r>
      <w:proofErr w:type="gramEnd"/>
      <w:r w:rsidRPr="00C268CE">
        <w:rPr>
          <w:rFonts w:ascii="Arial Narrow" w:hAnsi="Arial Narrow" w:cs="Times New Roman"/>
          <w:sz w:val="24"/>
          <w:szCs w:val="24"/>
        </w:rPr>
        <w:t xml:space="preserve"> berorientasi pada kajian kepustakaan terhadap norma-norma hukum tertulis dengan menganalisis pengaturan tindak pidana </w:t>
      </w:r>
      <w:r w:rsidR="00C268CE" w:rsidRPr="00C268CE">
        <w:rPr>
          <w:rFonts w:ascii="Arial Narrow" w:hAnsi="Arial Narrow" w:cs="Times New Roman"/>
          <w:sz w:val="24"/>
          <w:szCs w:val="24"/>
        </w:rPr>
        <w:t>penganiayaan</w:t>
      </w:r>
      <w:r w:rsidRPr="00C268CE">
        <w:rPr>
          <w:rFonts w:ascii="Arial Narrow" w:hAnsi="Arial Narrow" w:cs="Times New Roman"/>
          <w:sz w:val="24"/>
          <w:szCs w:val="24"/>
        </w:rPr>
        <w:t xml:space="preserve"> dalam sistem perundang-undangan Indonesia</w:t>
      </w:r>
      <w:r w:rsidR="00D51C85">
        <w:rPr>
          <w:rFonts w:ascii="Arial Narrow" w:hAnsi="Arial Narrow" w:cs="Times New Roman"/>
          <w:sz w:val="24"/>
          <w:szCs w:val="24"/>
        </w:rPr>
        <w:t xml:space="preserve"> (A. Sitompul, 2022)</w:t>
      </w:r>
      <w:r w:rsidRPr="00C268CE">
        <w:rPr>
          <w:rFonts w:ascii="Arial Narrow" w:hAnsi="Arial Narrow" w:cs="Times New Roman"/>
          <w:sz w:val="24"/>
          <w:szCs w:val="24"/>
        </w:rPr>
        <w:t xml:space="preserve">. </w:t>
      </w:r>
      <w:r w:rsidR="00C268CE" w:rsidRPr="00C268CE">
        <w:rPr>
          <w:rFonts w:ascii="Arial Narrow" w:hAnsi="Arial Narrow"/>
          <w:sz w:val="24"/>
          <w:szCs w:val="24"/>
        </w:rPr>
        <w:t>Pendekatan normatif dilakukan dengan menelaah peraturan perundang-undangan dan teori hukum pidana, sedangkan pendekatan empiris dilakukan melalui studi kasus terhadap Putusan Nomor 425/Pid.B/2023/PN.Kot.</w:t>
      </w:r>
    </w:p>
    <w:p w:rsidR="00F10BCA" w:rsidRPr="00C268CE" w:rsidRDefault="00BE257F" w:rsidP="00C268CE">
      <w:pPr>
        <w:pBdr>
          <w:top w:val="nil"/>
          <w:left w:val="nil"/>
          <w:bottom w:val="nil"/>
          <w:right w:val="nil"/>
          <w:between w:val="nil"/>
        </w:pBdr>
        <w:tabs>
          <w:tab w:val="center" w:pos="4680"/>
          <w:tab w:val="right" w:pos="9360"/>
        </w:tabs>
        <w:spacing w:after="0" w:line="240" w:lineRule="auto"/>
        <w:ind w:firstLine="567"/>
        <w:jc w:val="both"/>
        <w:rPr>
          <w:rFonts w:ascii="Arial Narrow" w:hAnsi="Arial Narrow"/>
          <w:sz w:val="24"/>
          <w:szCs w:val="24"/>
        </w:rPr>
      </w:pPr>
      <w:r w:rsidRPr="00C268CE">
        <w:rPr>
          <w:rFonts w:ascii="Arial Narrow" w:hAnsi="Arial Narrow" w:cs="Times New Roman"/>
          <w:sz w:val="24"/>
          <w:szCs w:val="24"/>
        </w:rPr>
        <w:t xml:space="preserve">Teknik pengumpulan data dilakukan melalui studi kepustakaan dengan inventarisasi, identifikasi, dan klasifikasi bahan-bahan hukum yang relevan dengan permasalahan penelitian. Bahan hukum sekunder yang digunakan mencakup buku-buku teks hukum pidana, jurnal ilmiah terakreditasi, hasil penelitian terdahulu, dan karya ilmiah yang membahas tindak </w:t>
      </w:r>
      <w:r w:rsidR="00C268CE">
        <w:rPr>
          <w:rFonts w:ascii="Arial Narrow" w:hAnsi="Arial Narrow" w:cs="Times New Roman"/>
          <w:sz w:val="24"/>
          <w:szCs w:val="24"/>
        </w:rPr>
        <w:t>penganiayaan</w:t>
      </w:r>
      <w:r w:rsidRPr="00C268CE">
        <w:rPr>
          <w:rFonts w:ascii="Arial Narrow" w:hAnsi="Arial Narrow" w:cs="Times New Roman"/>
          <w:sz w:val="24"/>
          <w:szCs w:val="24"/>
        </w:rPr>
        <w:t xml:space="preserve">. Analisis data dilakukan dengan metode deskriptif-komparatif melalui teknik interpretasi sistematis dan interpretasi historis untuk membandingkan konstruksi normatif pengaturan pencucian uang dalam dua rezim hukum yang berbeda. Proses analisis dimulai dengan melakukan inventarisasi pasal-pasal yang mengatur tindak pidana </w:t>
      </w:r>
      <w:r w:rsidR="00C268CE">
        <w:rPr>
          <w:rFonts w:ascii="Arial Narrow" w:hAnsi="Arial Narrow" w:cs="Times New Roman"/>
          <w:sz w:val="24"/>
          <w:szCs w:val="24"/>
        </w:rPr>
        <w:t>penganiayaan khususnya yang menyebabkan luka berat dan di lanjutkan pencurian</w:t>
      </w:r>
      <w:r w:rsidRPr="00C268CE">
        <w:rPr>
          <w:rFonts w:ascii="Arial Narrow" w:hAnsi="Arial Narrow" w:cs="Times New Roman"/>
          <w:sz w:val="24"/>
          <w:szCs w:val="24"/>
        </w:rPr>
        <w:t>, kemudian mengidentifikasi perubahan-perubahan substansial dalam rumusan delik, unsur-unsur tindak pidana, sistem pertanggungjawaban pidana, dan ancaman sanksi, serta menganalisis implikasi yuridis dari perubahan tersebut terhadap sistem pemidanaan</w:t>
      </w:r>
      <w:r w:rsidR="00553109">
        <w:rPr>
          <w:rFonts w:ascii="Arial Narrow" w:hAnsi="Arial Narrow" w:cs="Times New Roman"/>
          <w:sz w:val="24"/>
          <w:szCs w:val="24"/>
        </w:rPr>
        <w:t xml:space="preserve"> </w:t>
      </w:r>
      <w:r w:rsidRPr="00C268CE">
        <w:rPr>
          <w:rFonts w:ascii="Arial Narrow" w:hAnsi="Arial Narrow" w:cs="Times New Roman"/>
          <w:sz w:val="24"/>
          <w:szCs w:val="24"/>
        </w:rPr>
        <w:fldChar w:fldCharType="begin" w:fldLock="1"/>
      </w:r>
      <w:r w:rsidRPr="00C268CE">
        <w:rPr>
          <w:rFonts w:ascii="Arial Narrow" w:hAnsi="Arial Narrow" w:cs="Times New Roman"/>
          <w:sz w:val="24"/>
          <w:szCs w:val="24"/>
        </w:rPr>
        <w:instrText>ADDIN CSL_CITATION {"citationItems":[{"id":"ITEM-1","itemData":{"author":[{"dropping-particle":"","family":"Soekanto","given":"S","non-dropping-particle":"","parse-names":false,"suffix":""}],"id":"ITEM-1","issued":{"date-parts":[["2020"]]},"publisher":"Penerbit CV. Rajawali","title":"Penelitian hukum normatif: suatu tinjauan singkat","type":"book"},"uris":["http://www.mendeley.com/documents/?uuid=eefc7839-4c1e-4aac-a252-cb6729a758e3"]}],"mendeley":{"formattedCitation":"(Soekanto, 2020)","plainTextFormattedCitation":"(Soekanto, 2020)","previouslyFormattedCitation":"(Soekanto, 2020)"},"properties":{"noteIndex":0},"schema":"https://github.com/citation-style-language/schema/raw/master/csl-citation.json"}</w:instrText>
      </w:r>
      <w:r w:rsidRPr="00C268CE">
        <w:rPr>
          <w:rFonts w:ascii="Arial Narrow" w:hAnsi="Arial Narrow" w:cs="Times New Roman"/>
          <w:sz w:val="24"/>
          <w:szCs w:val="24"/>
        </w:rPr>
        <w:fldChar w:fldCharType="separate"/>
      </w:r>
      <w:r w:rsidRPr="00C268CE">
        <w:rPr>
          <w:rFonts w:ascii="Arial Narrow" w:hAnsi="Arial Narrow" w:cs="Times New Roman"/>
          <w:noProof/>
          <w:sz w:val="24"/>
          <w:szCs w:val="24"/>
        </w:rPr>
        <w:t>(Soekanto, 2020)</w:t>
      </w:r>
      <w:r w:rsidRPr="00C268CE">
        <w:rPr>
          <w:rFonts w:ascii="Arial Narrow" w:hAnsi="Arial Narrow" w:cs="Times New Roman"/>
          <w:sz w:val="24"/>
          <w:szCs w:val="24"/>
        </w:rPr>
        <w:fldChar w:fldCharType="end"/>
      </w:r>
      <w:r w:rsidR="00553109">
        <w:rPr>
          <w:rFonts w:ascii="Arial Narrow" w:hAnsi="Arial Narrow" w:cs="Times New Roman"/>
          <w:sz w:val="24"/>
          <w:szCs w:val="24"/>
        </w:rPr>
        <w:t>.</w:t>
      </w: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3.  Hasil Penelitian dan Pembahasan </w:t>
      </w:r>
    </w:p>
    <w:p w:rsidR="00262CCA" w:rsidRPr="00AA29AF" w:rsidRDefault="00AA29AF" w:rsidP="00AA29AF">
      <w:pPr>
        <w:numPr>
          <w:ilvl w:val="0"/>
          <w:numId w:val="36"/>
        </w:numPr>
        <w:tabs>
          <w:tab w:val="clear" w:pos="720"/>
          <w:tab w:val="num" w:pos="360"/>
        </w:tabs>
        <w:spacing w:after="0" w:line="240" w:lineRule="auto"/>
        <w:ind w:left="360"/>
        <w:jc w:val="both"/>
        <w:rPr>
          <w:rFonts w:ascii="Arial Narrow" w:hAnsi="Arial Narrow"/>
          <w:b/>
          <w:color w:val="000000"/>
          <w:sz w:val="24"/>
          <w:szCs w:val="24"/>
          <w:lang w:val="id-ID"/>
        </w:rPr>
      </w:pPr>
      <w:r w:rsidRPr="00AA29AF">
        <w:rPr>
          <w:rStyle w:val="IntenseEmphasis"/>
          <w:rFonts w:ascii="Arial Narrow" w:hAnsi="Arial Narrow"/>
          <w:i w:val="0"/>
          <w:color w:val="000000"/>
          <w:sz w:val="24"/>
          <w:szCs w:val="24"/>
          <w:lang w:val="id-ID"/>
        </w:rPr>
        <w:t>Faktor Penyebab Pelaku Melakukan Tindak Pidana Penganiayaan dengan Rencana Terlebih Dahulu yang Menyebabkan Luka Berat dan Pencurian Berdasarkan Putusan Nomor 425/Pid.B/2023/PN.Kot</w:t>
      </w:r>
    </w:p>
    <w:p w:rsidR="00AA29AF" w:rsidRDefault="00AA29AF" w:rsidP="00AA29AF">
      <w:pPr>
        <w:spacing w:after="0"/>
        <w:ind w:firstLine="720"/>
        <w:jc w:val="both"/>
        <w:rPr>
          <w:rFonts w:ascii="Arial Narrow" w:hAnsi="Arial Narrow" w:cs="Times New Roman"/>
          <w:sz w:val="24"/>
          <w:szCs w:val="24"/>
        </w:rPr>
      </w:pPr>
      <w:r w:rsidRPr="00AA29AF">
        <w:rPr>
          <w:rFonts w:ascii="Arial Narrow" w:hAnsi="Arial Narrow"/>
          <w:sz w:val="24"/>
          <w:szCs w:val="24"/>
          <w:lang w:val="id-ID"/>
        </w:rPr>
        <w:t xml:space="preserve">Suatu kejahatan, kenakalan atau perbuatan pidana yang dilakukan oleh seseorang pasti memiliki penyebab yang menjadi latar belakang mengapa perbuatan itu dilakukan. Faktor-faktor yang mendorong perbuatan itu dilakukan sering juga disebut sebagai motivasi dimana didalamnya mengandung unsur niat, hasrat, kehendak, dorongan kebutuhan, cita-cita yang kemudian diwujudkan dengan lahirnya perbuatan-perbuatan, demikian pula perbuatan pidana yang dilakukan oleh pelaku tindak pidana penganiayaan dengan rencana terlebih dahulu yang menyebabkan luka </w:t>
      </w:r>
      <w:r w:rsidRPr="00AA29AF">
        <w:rPr>
          <w:rFonts w:ascii="Arial Narrow" w:hAnsi="Arial Narrow"/>
          <w:sz w:val="24"/>
          <w:szCs w:val="24"/>
          <w:lang w:val="id-ID"/>
        </w:rPr>
        <w:lastRenderedPageBreak/>
        <w:t>berat dan pencurian, tentu tidak terlepas dari faktor yang menyebabkannya</w:t>
      </w:r>
      <w:r w:rsidR="00B006DD">
        <w:rPr>
          <w:rFonts w:ascii="Arial Narrow" w:hAnsi="Arial Narrow"/>
          <w:sz w:val="24"/>
          <w:szCs w:val="24"/>
        </w:rPr>
        <w:t xml:space="preserve"> (Barda Nawawi Arief, 2014)</w:t>
      </w:r>
      <w:r w:rsidRPr="00AA29AF">
        <w:rPr>
          <w:rFonts w:ascii="Arial Narrow" w:hAnsi="Arial Narrow"/>
          <w:sz w:val="24"/>
          <w:szCs w:val="24"/>
          <w:lang w:val="id-ID"/>
        </w:rPr>
        <w:t>.</w:t>
      </w:r>
    </w:p>
    <w:p w:rsidR="00AA29AF" w:rsidRDefault="00AA29AF" w:rsidP="00AA29AF">
      <w:pPr>
        <w:spacing w:after="0"/>
        <w:ind w:firstLine="720"/>
        <w:jc w:val="both"/>
        <w:rPr>
          <w:rFonts w:ascii="Arial Narrow" w:hAnsi="Arial Narrow" w:cs="Times New Roman"/>
          <w:sz w:val="24"/>
          <w:szCs w:val="24"/>
        </w:rPr>
      </w:pPr>
      <w:r w:rsidRPr="00AA29AF">
        <w:rPr>
          <w:rFonts w:ascii="Arial Narrow" w:hAnsi="Arial Narrow"/>
          <w:sz w:val="24"/>
          <w:szCs w:val="24"/>
          <w:lang w:val="id-ID"/>
        </w:rPr>
        <w:t>Kronologis terjadinya tindak pidana penganiayaan dengan rencana terlebih dahulu yang menyebabkan luka berat dan pencurian di dalam Putusan Nomor 425/Pid.B/2023/PN.Kot yaitu</w:t>
      </w:r>
      <w:r w:rsidRPr="00AA29AF">
        <w:rPr>
          <w:rFonts w:ascii="Arial Narrow" w:hAnsi="Arial Narrow"/>
          <w:sz w:val="24"/>
          <w:szCs w:val="24"/>
        </w:rPr>
        <w:t xml:space="preserve"> pada Hari Kamis Tanggal 28 September 2023 sekira jam 20:00 Wib, terdakwa Armin Bin Mamat datang menuju kerumah dinas saksi korban Sudarmadi Als Susan sambil membawa derigen berwarna merah berisikan cairan amoniak, setelah terdakwa sampai dirumah dinas saksi korban Sudarmadi Als Susan, terdakwa duduk di depan garasi rumah saksi korban pada sisi bagian kiri rumah karena terdakwa melihat masih terdapat motor milik saksi Sudarmadi Als Susan di teras rumah dan saksi Sudarmadi Als Susan belum keluar dari rumah. </w:t>
      </w:r>
    </w:p>
    <w:p w:rsidR="00AA29AF" w:rsidRDefault="00AA29AF" w:rsidP="00AA29AF">
      <w:pPr>
        <w:spacing w:after="0"/>
        <w:ind w:firstLine="720"/>
        <w:jc w:val="both"/>
        <w:rPr>
          <w:rFonts w:ascii="Arial Narrow" w:hAnsi="Arial Narrow" w:cs="Times New Roman"/>
          <w:sz w:val="24"/>
          <w:szCs w:val="24"/>
        </w:rPr>
      </w:pPr>
      <w:r w:rsidRPr="00AA29AF">
        <w:rPr>
          <w:rFonts w:ascii="Arial Narrow" w:hAnsi="Arial Narrow"/>
          <w:sz w:val="24"/>
          <w:szCs w:val="24"/>
        </w:rPr>
        <w:t xml:space="preserve">Beberapa menit kemudian saksi Sudarmadi </w:t>
      </w:r>
      <w:proofErr w:type="gramStart"/>
      <w:r w:rsidRPr="00AA29AF">
        <w:rPr>
          <w:rFonts w:ascii="Arial Narrow" w:hAnsi="Arial Narrow"/>
          <w:sz w:val="24"/>
          <w:szCs w:val="24"/>
        </w:rPr>
        <w:t>Als</w:t>
      </w:r>
      <w:proofErr w:type="gramEnd"/>
      <w:r w:rsidRPr="00AA29AF">
        <w:rPr>
          <w:rFonts w:ascii="Arial Narrow" w:hAnsi="Arial Narrow"/>
          <w:sz w:val="24"/>
          <w:szCs w:val="24"/>
        </w:rPr>
        <w:t xml:space="preserve"> Susan keluar dari rumah dan memasukkan motor miliknya ke dalam rumah. Setelah itu, terdakwa kemudian berjalan kedepan teras rumah saksi korban dan mengamati bahwa saksi korban tidak keluar rumah kembali, akhirnya terdakwa memadamkan listrik dari saklar rumah </w:t>
      </w:r>
      <w:proofErr w:type="gramStart"/>
      <w:r w:rsidRPr="00AA29AF">
        <w:rPr>
          <w:rFonts w:ascii="Arial Narrow" w:hAnsi="Arial Narrow"/>
          <w:sz w:val="24"/>
          <w:szCs w:val="24"/>
        </w:rPr>
        <w:t>dinas</w:t>
      </w:r>
      <w:proofErr w:type="gramEnd"/>
      <w:r w:rsidRPr="00AA29AF">
        <w:rPr>
          <w:rFonts w:ascii="Arial Narrow" w:hAnsi="Arial Narrow"/>
          <w:sz w:val="24"/>
          <w:szCs w:val="24"/>
        </w:rPr>
        <w:t xml:space="preserve"> saksi korban Sudarmadi Als Susan dengan tujuan agar saksi korban Sudarmadi Als Susan keluar dari rumah dan menyalakannya. Terdakwa bersembunyi di sisi samping bagian kanan rumah didekat saklar listrik tepatnya di bawah pohon, kemudian saksi korban Sudarmadi </w:t>
      </w:r>
      <w:proofErr w:type="gramStart"/>
      <w:r w:rsidRPr="00AA29AF">
        <w:rPr>
          <w:rFonts w:ascii="Arial Narrow" w:hAnsi="Arial Narrow"/>
          <w:sz w:val="24"/>
          <w:szCs w:val="24"/>
        </w:rPr>
        <w:t>Als</w:t>
      </w:r>
      <w:proofErr w:type="gramEnd"/>
      <w:r w:rsidRPr="00AA29AF">
        <w:rPr>
          <w:rFonts w:ascii="Arial Narrow" w:hAnsi="Arial Narrow"/>
          <w:sz w:val="24"/>
          <w:szCs w:val="24"/>
        </w:rPr>
        <w:t xml:space="preserve"> Susan keluar dari rumah dan menyalakan listrik pada saklar rumah dinas sambil menelfon dan masuk kembali ke dalam rumah dinas. Setelah itu, terdakwa memadamkan kembali listrik dari saklar rumah dinas saksi korban Sudarmadi Als Susan dan terdakwa menuju ke depan garasi untuk mengambil jerigen yang sudah berisi cairan amoniak tersebut, yang kemudian pada saat saksi korban Sudarmadi Als Susan keluar dari rumah dinas untuk menyalakan listrik kembali pada saklar rumah dinas. </w:t>
      </w:r>
    </w:p>
    <w:p w:rsidR="00AA29AF" w:rsidRDefault="00AA29AF" w:rsidP="00AA29AF">
      <w:pPr>
        <w:spacing w:after="0"/>
        <w:ind w:firstLine="720"/>
        <w:jc w:val="both"/>
        <w:rPr>
          <w:rFonts w:ascii="Arial Narrow" w:hAnsi="Arial Narrow" w:cs="Times New Roman"/>
          <w:sz w:val="24"/>
          <w:szCs w:val="24"/>
        </w:rPr>
      </w:pPr>
      <w:r w:rsidRPr="00AA29AF">
        <w:rPr>
          <w:rFonts w:ascii="Arial Narrow" w:hAnsi="Arial Narrow"/>
          <w:sz w:val="24"/>
          <w:szCs w:val="24"/>
        </w:rPr>
        <w:t xml:space="preserve">Terdakwa mengikuti saksi korban Sudarmadi Als Susan dari arah belakang sambil membawa derigen yang berisi cairan amoniak tersebut dan ketika saksi korban Sudarmadi Als Susan menyadari ada yang mengikutinya, saksi korban Sudarmadi Als Susan membalikkan badannya dan kemudian oleh terdakwa langsung menyiramkan cairan amoniak yang ada di dalam derigen tersebut ke bagian tubuh saksi korban Sudarmadi Als Susan yang akhirnya membuat saksi korban terjatuh dan merasakan sakit dan pedih pada bagian mata serta sulit bernafas akibat terkena siraman dari cairan amoniak tersebut. </w:t>
      </w:r>
    </w:p>
    <w:p w:rsidR="00AA29AF" w:rsidRDefault="00AA29AF" w:rsidP="00AA29AF">
      <w:pPr>
        <w:spacing w:after="0"/>
        <w:ind w:firstLine="720"/>
        <w:jc w:val="both"/>
        <w:rPr>
          <w:rFonts w:ascii="Arial Narrow" w:hAnsi="Arial Narrow" w:cs="Times New Roman"/>
          <w:sz w:val="24"/>
          <w:szCs w:val="24"/>
        </w:rPr>
      </w:pPr>
      <w:r w:rsidRPr="00AA29AF">
        <w:rPr>
          <w:rFonts w:ascii="Arial Narrow" w:hAnsi="Arial Narrow"/>
          <w:sz w:val="24"/>
          <w:szCs w:val="24"/>
        </w:rPr>
        <w:t>Setelah itu saksi korban Sudarmadi Als Susan berusaha menyelamatkan diri dengan cara menendang terdakwa dan mengenai tubuh bagian dada terdakwa serta menarik jaket atau sweater milik terdakwa pada saat terjatuh yang kemudian terdakwa berdiri dan melarikan diri, sedangkan saksi korban Sudarmadi Als Susan juga berdiri dan meminta pertolongan kepada saksi Linardo Aditia Als Adit kemudian saksi korban dibawa ke rumah sakit untuk mendapatkan pertolongan. Kemudian setelah terdakwa berhasil melarikan diri, kurang lebih berjarak 10 meter dari rumah dinas saksi korban, terdakwa teringat bahwa handphone miliknya terjatuh dirumah dinas saksi korban yang kemudian terdakwa kembali ke rumah dinas saksi korban untuk mengambil handphone miliknya, selain itu terdakwa juga melihat 1 (satu) buah handphone Pocco X3 Pro warna phantom black dengan nomor imei 1: 863779054670687 dan nomor imei 2: 863779054670695 milik saksi korban yang terjatuh di tanah dan oleh terdakwa diambil untuk dibawa pulang ke rumah dan disimpan di dalam lemari.</w:t>
      </w:r>
    </w:p>
    <w:p w:rsidR="00AA29AF" w:rsidRDefault="00AA29AF" w:rsidP="00AA29AF">
      <w:pPr>
        <w:spacing w:after="0"/>
        <w:ind w:firstLine="720"/>
        <w:jc w:val="both"/>
        <w:rPr>
          <w:rFonts w:ascii="Arial Narrow" w:hAnsi="Arial Narrow"/>
          <w:sz w:val="24"/>
          <w:szCs w:val="24"/>
          <w:lang w:val="id-ID"/>
        </w:rPr>
      </w:pPr>
      <w:r w:rsidRPr="00AA29AF">
        <w:rPr>
          <w:rFonts w:ascii="Arial Narrow" w:hAnsi="Arial Narrow"/>
          <w:sz w:val="24"/>
          <w:szCs w:val="24"/>
          <w:lang w:val="id-ID"/>
        </w:rPr>
        <w:lastRenderedPageBreak/>
        <w:t>Berdasarkan hasil wawancara dengan Dwi Ariyanto selaku Penyidik Kepolisian Resor Tanggamus mengemukakan bahwa faktor penyebab pelaku melakukan tindak pidana penganiayaan dengan rencana terlebih dahulu yang menyebabkan luka berat dan pencurian berdasarkan Putusan Nomor 425/Pid.B/2023/PN.Kot antara lain</w:t>
      </w:r>
      <w:r w:rsidR="004E29D7">
        <w:rPr>
          <w:rFonts w:ascii="Arial Narrow" w:hAnsi="Arial Narrow"/>
          <w:sz w:val="24"/>
          <w:szCs w:val="24"/>
        </w:rPr>
        <w:t xml:space="preserve"> ( Dwi Ariyanto, 2015)</w:t>
      </w:r>
      <w:r w:rsidRPr="00AA29AF">
        <w:rPr>
          <w:rFonts w:ascii="Arial Narrow" w:hAnsi="Arial Narrow"/>
          <w:sz w:val="24"/>
          <w:szCs w:val="24"/>
          <w:lang w:val="id-ID"/>
        </w:rPr>
        <w:t xml:space="preserve">: </w:t>
      </w:r>
    </w:p>
    <w:p w:rsidR="00AA29AF" w:rsidRPr="00AA29AF" w:rsidRDefault="00AA29AF" w:rsidP="00AA29AF">
      <w:pPr>
        <w:spacing w:after="0"/>
        <w:ind w:firstLine="720"/>
        <w:jc w:val="both"/>
        <w:rPr>
          <w:rFonts w:ascii="Arial Narrow" w:hAnsi="Arial Narrow" w:cs="Times New Roman"/>
          <w:sz w:val="24"/>
          <w:szCs w:val="24"/>
        </w:rPr>
      </w:pPr>
    </w:p>
    <w:p w:rsidR="00AA29AF" w:rsidRDefault="00AA29AF" w:rsidP="00AA29AF">
      <w:pPr>
        <w:numPr>
          <w:ilvl w:val="0"/>
          <w:numId w:val="37"/>
        </w:numPr>
        <w:tabs>
          <w:tab w:val="clear" w:pos="720"/>
          <w:tab w:val="num" w:pos="360"/>
        </w:tabs>
        <w:autoSpaceDE w:val="0"/>
        <w:autoSpaceDN w:val="0"/>
        <w:adjustRightInd w:val="0"/>
        <w:spacing w:after="0"/>
        <w:ind w:left="360"/>
        <w:jc w:val="both"/>
        <w:rPr>
          <w:rFonts w:ascii="Arial Narrow" w:hAnsi="Arial Narrow"/>
          <w:sz w:val="24"/>
          <w:szCs w:val="24"/>
          <w:lang w:val="id-ID"/>
        </w:rPr>
      </w:pPr>
      <w:r w:rsidRPr="00AA29AF">
        <w:rPr>
          <w:rFonts w:ascii="Arial Narrow" w:hAnsi="Arial Narrow"/>
          <w:sz w:val="24"/>
          <w:szCs w:val="24"/>
          <w:lang w:val="id-ID"/>
        </w:rPr>
        <w:t>Faktor pendidikan merupakan salah satu faktor pendorong seseorang untuk melakukan suatu tindak pidana penganiayaan. Hal itu disebabkan oleh tingkat pengetahuan mereka yang kurang terhadap hal-hal seperti aturan yang dalam cara hidup bermasyarakat. Tingkat pendidikan dianggap sebagai salah satu faktor yang mempengaruhi seseorang melakukan penganiayaan, pendidikan merupakan sarana bagi seseorang untuk mengetahui mana yang baik dan mana yang buruk, dan dengan melakukan suatu perbuatan apakah perbuatan tersebut memiliki suatu manfaat tertentu atau malah membuat masalah/kerugian tertentu.</w:t>
      </w:r>
    </w:p>
    <w:p w:rsidR="00AA29AF" w:rsidRDefault="00AA29AF" w:rsidP="00AA29AF">
      <w:pPr>
        <w:numPr>
          <w:ilvl w:val="0"/>
          <w:numId w:val="37"/>
        </w:numPr>
        <w:tabs>
          <w:tab w:val="clear" w:pos="720"/>
          <w:tab w:val="num" w:pos="360"/>
        </w:tabs>
        <w:autoSpaceDE w:val="0"/>
        <w:autoSpaceDN w:val="0"/>
        <w:adjustRightInd w:val="0"/>
        <w:spacing w:after="0"/>
        <w:ind w:left="360"/>
        <w:jc w:val="both"/>
        <w:rPr>
          <w:rFonts w:ascii="Arial Narrow" w:hAnsi="Arial Narrow"/>
          <w:sz w:val="24"/>
          <w:szCs w:val="24"/>
          <w:lang w:val="id-ID"/>
        </w:rPr>
      </w:pPr>
      <w:r w:rsidRPr="00AA29AF">
        <w:rPr>
          <w:rFonts w:ascii="Arial Narrow" w:hAnsi="Arial Narrow"/>
          <w:bCs/>
          <w:sz w:val="24"/>
          <w:szCs w:val="24"/>
          <w:lang w:val="id-ID"/>
        </w:rPr>
        <w:t xml:space="preserve">Faktor Individu, </w:t>
      </w:r>
      <w:r w:rsidRPr="00AA29AF">
        <w:rPr>
          <w:rFonts w:ascii="Arial Narrow" w:hAnsi="Arial Narrow"/>
          <w:sz w:val="24"/>
          <w:szCs w:val="24"/>
          <w:lang w:val="id-ID"/>
        </w:rPr>
        <w:t>Seseorang yang tingkah lakunya baik akan mengakibatkan seseorang tersebut mendapatkan penghargaan dari masyarakat, akan tetapi sebaliknya jika seseorang bertingkah laku tidak baik maka orang itu akan menimbulkan kekacauan dalam masyarakat. Mereka yang dapat mengontrol dan mengembangkan kepribadiannya yang positif akan dapat menghasilkan banyak manfaat baik itu bagi dirinya sendiri maupun bagi orang lain. Sedangkan mereka yang tidak bisa mengontrol kepribadiannya dan cenderung terombang ambing oleh perkembangan akan terus terseret arus kemana akan mengalir. Entah itu baik atau buruk mereka akan tetap mengikuti hal tersebut. Terdapat pula penyebab seseorang melakukan tindak pidana, seperti yang telah disebutkan di atas bahwa keinginan manusia merupakan hal yang tidak pernah ada batasnya.</w:t>
      </w:r>
    </w:p>
    <w:p w:rsidR="00AA29AF" w:rsidRPr="00AA29AF" w:rsidRDefault="00AA29AF" w:rsidP="00AA29AF">
      <w:pPr>
        <w:autoSpaceDE w:val="0"/>
        <w:autoSpaceDN w:val="0"/>
        <w:adjustRightInd w:val="0"/>
        <w:spacing w:after="0"/>
        <w:ind w:firstLine="360"/>
        <w:jc w:val="both"/>
        <w:rPr>
          <w:rFonts w:ascii="Arial Narrow" w:hAnsi="Arial Narrow"/>
          <w:sz w:val="24"/>
          <w:szCs w:val="24"/>
          <w:lang w:val="id-ID"/>
        </w:rPr>
      </w:pPr>
      <w:r w:rsidRPr="00AA29AF">
        <w:rPr>
          <w:rFonts w:ascii="Arial Narrow" w:hAnsi="Arial Narrow"/>
          <w:sz w:val="24"/>
          <w:szCs w:val="24"/>
          <w:lang w:val="id-ID"/>
        </w:rPr>
        <w:t>Berdasarkan hasil wawancara dengan M. Alif Ghifari selaku Jaksa Penuntut Umum pada Kejaksaan Negeri Tanggamus mengemukakan bahwa faktor penyebab pelaku melakukan tindak pidana penganiayaan dengan rencana terlebih dahulu yang menyebabkan luka berat dan pencurian berdasarkan Putusan Nomor 425/Pid.B/2023/PN.Kot antara lain</w:t>
      </w:r>
      <w:r w:rsidR="004E29D7">
        <w:rPr>
          <w:rFonts w:ascii="Arial Narrow" w:hAnsi="Arial Narrow"/>
          <w:sz w:val="24"/>
          <w:szCs w:val="24"/>
        </w:rPr>
        <w:t xml:space="preserve"> (Alif, 2025)</w:t>
      </w:r>
      <w:r w:rsidRPr="00AA29AF">
        <w:rPr>
          <w:rFonts w:ascii="Arial Narrow" w:hAnsi="Arial Narrow"/>
          <w:sz w:val="24"/>
          <w:szCs w:val="24"/>
          <w:lang w:val="id-ID"/>
        </w:rPr>
        <w:t>:</w:t>
      </w:r>
    </w:p>
    <w:p w:rsidR="00AA29AF" w:rsidRPr="004E29D7" w:rsidRDefault="00AA29AF" w:rsidP="00AA29AF">
      <w:pPr>
        <w:numPr>
          <w:ilvl w:val="0"/>
          <w:numId w:val="38"/>
        </w:numPr>
        <w:tabs>
          <w:tab w:val="clear" w:pos="720"/>
          <w:tab w:val="num" w:pos="360"/>
        </w:tabs>
        <w:autoSpaceDE w:val="0"/>
        <w:autoSpaceDN w:val="0"/>
        <w:adjustRightInd w:val="0"/>
        <w:spacing w:after="0"/>
        <w:ind w:left="360"/>
        <w:jc w:val="both"/>
        <w:rPr>
          <w:rFonts w:ascii="Arial Narrow" w:hAnsi="Arial Narrow"/>
          <w:sz w:val="24"/>
          <w:szCs w:val="24"/>
          <w:lang w:val="id-ID"/>
        </w:rPr>
      </w:pPr>
      <w:r w:rsidRPr="00AA29AF">
        <w:rPr>
          <w:rFonts w:ascii="Arial Narrow" w:hAnsi="Arial Narrow"/>
          <w:sz w:val="24"/>
          <w:szCs w:val="24"/>
          <w:lang w:val="id-ID"/>
        </w:rPr>
        <w:t>Faktor ekonomi</w:t>
      </w:r>
      <w:r>
        <w:rPr>
          <w:rFonts w:ascii="Arial Narrow" w:hAnsi="Arial Narrow"/>
          <w:sz w:val="24"/>
          <w:szCs w:val="24"/>
        </w:rPr>
        <w:t xml:space="preserve">, </w:t>
      </w:r>
      <w:r w:rsidRPr="00AA29AF">
        <w:rPr>
          <w:rFonts w:ascii="Arial Narrow" w:hAnsi="Arial Narrow"/>
          <w:sz w:val="24"/>
          <w:szCs w:val="24"/>
          <w:lang w:val="id-ID"/>
        </w:rPr>
        <w:t>Lemahnya ekonomi keluarga juga bisa menjadi pendorong bagi pelaku untuk melakukan perbuatan pidana. Fenomena ini sering terjadi pada keluarga kelas menengah ke bawah yang pada umumnya hanya bisa memenuhi kebutuhan hidupnya dalam batas minimum. Bahkan kadang-kadang untuk memenuhi kebutuhan, pelaku harus ikut berpartisipasi dalam mencari nafkah demi mempertahankan hidup mereka. Dengan kondisi yang seperti ini orang tua secara otomatis kurang dapat mengawasi pelaku-pelakunya sehingga kadang untuk dapat memenuhi kebutuhanya sendiri seorang pelaku melakukan perbuatan yang tidak benar seperti menganiaya</w:t>
      </w:r>
      <w:r w:rsidR="004E29D7">
        <w:rPr>
          <w:rFonts w:ascii="Arial Narrow" w:hAnsi="Arial Narrow"/>
          <w:sz w:val="24"/>
          <w:szCs w:val="24"/>
        </w:rPr>
        <w:t xml:space="preserve"> </w:t>
      </w:r>
      <w:r w:rsidR="004E29D7" w:rsidRPr="004E29D7">
        <w:rPr>
          <w:rFonts w:ascii="Arial Narrow" w:hAnsi="Arial Narrow"/>
          <w:sz w:val="24"/>
          <w:szCs w:val="24"/>
        </w:rPr>
        <w:t>(</w:t>
      </w:r>
      <w:r w:rsidR="004E29D7" w:rsidRPr="004E29D7">
        <w:rPr>
          <w:rFonts w:ascii="Arial Narrow" w:hAnsi="Arial Narrow"/>
          <w:sz w:val="24"/>
          <w:szCs w:val="24"/>
        </w:rPr>
        <w:t>Soerjono Soekanto</w:t>
      </w:r>
      <w:r w:rsidR="004E29D7" w:rsidRPr="004E29D7">
        <w:rPr>
          <w:rFonts w:ascii="Arial Narrow" w:hAnsi="Arial Narrow"/>
          <w:sz w:val="24"/>
          <w:szCs w:val="24"/>
        </w:rPr>
        <w:t>, 2019)</w:t>
      </w:r>
      <w:r w:rsidRPr="004E29D7">
        <w:rPr>
          <w:rFonts w:ascii="Arial Narrow" w:hAnsi="Arial Narrow"/>
          <w:sz w:val="24"/>
          <w:szCs w:val="24"/>
          <w:lang w:val="id-ID"/>
        </w:rPr>
        <w:t>.</w:t>
      </w:r>
    </w:p>
    <w:p w:rsidR="00AA29AF" w:rsidRDefault="00AA29AF" w:rsidP="00AA29AF">
      <w:pPr>
        <w:numPr>
          <w:ilvl w:val="0"/>
          <w:numId w:val="38"/>
        </w:numPr>
        <w:tabs>
          <w:tab w:val="clear" w:pos="720"/>
          <w:tab w:val="num" w:pos="360"/>
        </w:tabs>
        <w:autoSpaceDE w:val="0"/>
        <w:autoSpaceDN w:val="0"/>
        <w:adjustRightInd w:val="0"/>
        <w:spacing w:after="0"/>
        <w:ind w:left="360"/>
        <w:jc w:val="both"/>
        <w:rPr>
          <w:rFonts w:ascii="Arial Narrow" w:hAnsi="Arial Narrow"/>
          <w:sz w:val="24"/>
          <w:szCs w:val="24"/>
          <w:lang w:val="id-ID"/>
        </w:rPr>
      </w:pPr>
      <w:r w:rsidRPr="00AA29AF">
        <w:rPr>
          <w:rFonts w:ascii="Arial Narrow" w:hAnsi="Arial Narrow"/>
          <w:bCs/>
          <w:sz w:val="24"/>
          <w:szCs w:val="24"/>
          <w:lang w:val="id-ID"/>
        </w:rPr>
        <w:t>Faktor Lingkungan</w:t>
      </w:r>
      <w:r>
        <w:rPr>
          <w:rFonts w:ascii="Arial Narrow" w:hAnsi="Arial Narrow"/>
          <w:sz w:val="24"/>
          <w:szCs w:val="24"/>
        </w:rPr>
        <w:t xml:space="preserve">, </w:t>
      </w:r>
      <w:r w:rsidRPr="00AA29AF">
        <w:rPr>
          <w:rFonts w:ascii="Arial Narrow" w:hAnsi="Arial Narrow"/>
          <w:sz w:val="24"/>
          <w:szCs w:val="24"/>
          <w:lang w:val="id-ID"/>
        </w:rPr>
        <w:t>Selain faktor ekonomi, faktor lingkungan merupakan salah satu faktor yang memiliki pengaruh atas terjadinya tindak pidana penganiayaan. Seseorang yang hidup/tinggal di dalam lingkungan yang mendukung untuk dilakukannya penganiayaan, maka di suatu waktu ia juga akan melakukan tindak pidana penganiayaan tersebut. Banyak hal yang membuat lingkungan menjadi faktor penyebab terjadinya suatu tindak penganiayaan. Misalnya kebutuhan dalam pergaulan dengan teman sebaya, kontrol dari lingkungan yang kurang dan pergaulan dengan seseorang yang memiliki perilaku yang tidak terpuji lainnya</w:t>
      </w:r>
      <w:r w:rsidR="004E29D7">
        <w:rPr>
          <w:rFonts w:ascii="Arial Narrow" w:hAnsi="Arial Narrow"/>
          <w:sz w:val="24"/>
          <w:szCs w:val="24"/>
        </w:rPr>
        <w:t xml:space="preserve"> </w:t>
      </w:r>
      <w:r w:rsidR="004E29D7" w:rsidRPr="004E29D7">
        <w:rPr>
          <w:rFonts w:ascii="Arial Narrow" w:hAnsi="Arial Narrow"/>
          <w:sz w:val="24"/>
          <w:szCs w:val="24"/>
        </w:rPr>
        <w:t>(</w:t>
      </w:r>
      <w:r w:rsidR="004E29D7" w:rsidRPr="004E29D7">
        <w:rPr>
          <w:rFonts w:ascii="Arial Narrow" w:hAnsi="Arial Narrow"/>
          <w:sz w:val="24"/>
          <w:szCs w:val="24"/>
        </w:rPr>
        <w:t>Topo Santoso</w:t>
      </w:r>
      <w:r w:rsidR="004E29D7" w:rsidRPr="004E29D7">
        <w:rPr>
          <w:rFonts w:ascii="Arial Narrow" w:hAnsi="Arial Narrow"/>
          <w:sz w:val="24"/>
          <w:szCs w:val="24"/>
        </w:rPr>
        <w:t>, 2017)</w:t>
      </w:r>
      <w:r w:rsidRPr="004E29D7">
        <w:rPr>
          <w:rFonts w:ascii="Arial Narrow" w:hAnsi="Arial Narrow"/>
          <w:sz w:val="24"/>
          <w:szCs w:val="24"/>
          <w:lang w:val="id-ID"/>
        </w:rPr>
        <w:t>.</w:t>
      </w:r>
    </w:p>
    <w:p w:rsidR="00AA29AF" w:rsidRDefault="00AA29AF" w:rsidP="00AA29AF">
      <w:pPr>
        <w:autoSpaceDE w:val="0"/>
        <w:autoSpaceDN w:val="0"/>
        <w:adjustRightInd w:val="0"/>
        <w:spacing w:after="0"/>
        <w:ind w:firstLine="360"/>
        <w:jc w:val="both"/>
        <w:rPr>
          <w:rFonts w:ascii="Arial Narrow" w:hAnsi="Arial Narrow"/>
          <w:sz w:val="24"/>
          <w:szCs w:val="24"/>
          <w:lang w:val="id-ID"/>
        </w:rPr>
      </w:pPr>
      <w:r w:rsidRPr="00AA29AF">
        <w:rPr>
          <w:rFonts w:ascii="Arial Narrow" w:hAnsi="Arial Narrow"/>
          <w:sz w:val="24"/>
          <w:szCs w:val="24"/>
          <w:lang w:val="id-ID"/>
        </w:rPr>
        <w:lastRenderedPageBreak/>
        <w:t>Masyarakat merupakan tempat pendidikan ketiga setelah lin</w:t>
      </w:r>
      <w:r w:rsidRPr="00AA29AF">
        <w:rPr>
          <w:rFonts w:ascii="Arial Narrow" w:hAnsi="Arial Narrow"/>
          <w:sz w:val="24"/>
          <w:szCs w:val="24"/>
          <w:lang w:val="id-ID"/>
        </w:rPr>
        <w:softHyphen/>
        <w:t>gkungan keluarga dan sekolah, karena pelaku di</w:t>
      </w:r>
      <w:r w:rsidRPr="00AA29AF">
        <w:rPr>
          <w:rFonts w:ascii="Arial Narrow" w:hAnsi="Arial Narrow"/>
          <w:sz w:val="24"/>
          <w:szCs w:val="24"/>
        </w:rPr>
        <w:t xml:space="preserve"> </w:t>
      </w:r>
      <w:r w:rsidRPr="00AA29AF">
        <w:rPr>
          <w:rFonts w:ascii="Arial Narrow" w:hAnsi="Arial Narrow"/>
          <w:sz w:val="24"/>
          <w:szCs w:val="24"/>
          <w:lang w:val="id-ID"/>
        </w:rPr>
        <w:t>samping berinteraksi dengan anggota keluarganya juga akan memasuki pergaulan yang lebih besar lagi yaitu lingkungan masyarakat di sekitarnya. Pengaruh yang diberikan lingkungan pergaulan besar sekali dan bahkan terkadang dapat membawa perubahan besar dalam kehidupan keluarga. Dari lingkungan keluarga ini seorang pelaku akan banyak menyerap hal-hal baru yang dapat mempengaruhinya, untuk bertingkah laku lebih baik atau sebaliknya menjadi buruk.</w:t>
      </w:r>
    </w:p>
    <w:p w:rsidR="00AA29AF" w:rsidRPr="00AA29AF" w:rsidRDefault="00AA29AF" w:rsidP="00AA29AF">
      <w:pPr>
        <w:autoSpaceDE w:val="0"/>
        <w:autoSpaceDN w:val="0"/>
        <w:adjustRightInd w:val="0"/>
        <w:spacing w:after="0"/>
        <w:ind w:firstLine="360"/>
        <w:jc w:val="both"/>
        <w:rPr>
          <w:rFonts w:ascii="Arial Narrow" w:hAnsi="Arial Narrow"/>
          <w:sz w:val="24"/>
          <w:szCs w:val="24"/>
          <w:lang w:val="id-ID"/>
        </w:rPr>
      </w:pPr>
      <w:r w:rsidRPr="00AA29AF">
        <w:rPr>
          <w:rFonts w:ascii="Arial Narrow" w:hAnsi="Arial Narrow"/>
          <w:sz w:val="24"/>
          <w:szCs w:val="24"/>
          <w:lang w:val="id-ID"/>
        </w:rPr>
        <w:t>Menurut Murdian</w:t>
      </w:r>
      <w:r w:rsidRPr="00AA29AF">
        <w:rPr>
          <w:rFonts w:ascii="Arial Narrow" w:hAnsi="Arial Narrow"/>
          <w:bCs/>
          <w:sz w:val="24"/>
          <w:szCs w:val="24"/>
          <w:lang w:val="id-ID"/>
        </w:rPr>
        <w:t xml:space="preserve"> selaku Hakim Pengadilan Negeri Kota Agung mengemukakan bahwa </w:t>
      </w:r>
      <w:r w:rsidRPr="00AA29AF">
        <w:rPr>
          <w:rFonts w:ascii="Arial Narrow" w:hAnsi="Arial Narrow"/>
          <w:sz w:val="24"/>
          <w:szCs w:val="24"/>
          <w:lang w:val="id-ID"/>
        </w:rPr>
        <w:t>faktor penyebab pelaku melakukan tindak pidana penganiayaan dengan rencana terlebih dahulu yang menyebabkan luka berat dan pencurian berdasarkan Putusan Nomor 425/Pid.B/2023/PN.Kot yaitu:</w:t>
      </w:r>
    </w:p>
    <w:p w:rsidR="00AA29AF" w:rsidRPr="00AA29AF" w:rsidRDefault="00AA29AF" w:rsidP="00AA29AF">
      <w:pPr>
        <w:numPr>
          <w:ilvl w:val="0"/>
          <w:numId w:val="39"/>
        </w:numPr>
        <w:tabs>
          <w:tab w:val="clear" w:pos="720"/>
          <w:tab w:val="num" w:pos="360"/>
        </w:tabs>
        <w:autoSpaceDE w:val="0"/>
        <w:autoSpaceDN w:val="0"/>
        <w:adjustRightInd w:val="0"/>
        <w:spacing w:after="0"/>
        <w:ind w:left="360"/>
        <w:jc w:val="both"/>
        <w:rPr>
          <w:rFonts w:ascii="Arial Narrow" w:hAnsi="Arial Narrow"/>
          <w:sz w:val="24"/>
          <w:szCs w:val="24"/>
          <w:lang w:val="id-ID"/>
        </w:rPr>
      </w:pPr>
      <w:r w:rsidRPr="00AA29AF">
        <w:rPr>
          <w:rFonts w:ascii="Arial Narrow" w:hAnsi="Arial Narrow"/>
          <w:sz w:val="24"/>
          <w:szCs w:val="24"/>
          <w:lang w:val="id-ID"/>
        </w:rPr>
        <w:t xml:space="preserve">Sakit hati </w:t>
      </w:r>
      <w:r>
        <w:rPr>
          <w:rFonts w:ascii="Arial Narrow" w:hAnsi="Arial Narrow"/>
          <w:sz w:val="24"/>
          <w:szCs w:val="24"/>
        </w:rPr>
        <w:t xml:space="preserve">, </w:t>
      </w:r>
      <w:r w:rsidRPr="00AA29AF">
        <w:rPr>
          <w:rFonts w:ascii="Arial Narrow" w:hAnsi="Arial Narrow"/>
          <w:sz w:val="24"/>
          <w:szCs w:val="24"/>
          <w:lang w:val="id-ID"/>
        </w:rPr>
        <w:t xml:space="preserve">Rasa sakit hati yang muncul dari dalam diri seseorang merupakan faktor dominan yang menjadi penyebab terjadinya tindak pidana penganiayaan. Rasa sakit hati dalam diri seseorang tidak mudah untuk dihilangkan sebelum rasa sakit hati tersebut terbalaskan dengan cara menganiaya dan memukul orang yang membuatnya sakit hati. </w:t>
      </w:r>
      <w:r w:rsidRPr="00AA29AF">
        <w:rPr>
          <w:rFonts w:ascii="Arial Narrow" w:hAnsi="Arial Narrow"/>
          <w:sz w:val="24"/>
          <w:szCs w:val="24"/>
        </w:rPr>
        <w:t>Rasa sakit hati terdakwa muncul ketika terdakwa pernah diberhentikan oleh korban untuk bekerja sebagai tukang sadap borong PTPN VII Tangkit Serdang, sehingga terdakwa kehilangan mata pencaharian dan mengalami masalah keuangan.</w:t>
      </w:r>
    </w:p>
    <w:p w:rsidR="00AA29AF" w:rsidRPr="00AA29AF" w:rsidRDefault="00AA29AF" w:rsidP="00AA29AF">
      <w:pPr>
        <w:numPr>
          <w:ilvl w:val="0"/>
          <w:numId w:val="39"/>
        </w:numPr>
        <w:tabs>
          <w:tab w:val="clear" w:pos="720"/>
          <w:tab w:val="num" w:pos="360"/>
        </w:tabs>
        <w:autoSpaceDE w:val="0"/>
        <w:autoSpaceDN w:val="0"/>
        <w:adjustRightInd w:val="0"/>
        <w:spacing w:after="0"/>
        <w:ind w:left="360"/>
        <w:jc w:val="both"/>
        <w:rPr>
          <w:rFonts w:ascii="Arial Narrow" w:hAnsi="Arial Narrow"/>
          <w:sz w:val="24"/>
          <w:szCs w:val="24"/>
          <w:lang w:val="id-ID"/>
        </w:rPr>
      </w:pPr>
      <w:r>
        <w:rPr>
          <w:rFonts w:ascii="Arial Narrow" w:hAnsi="Arial Narrow"/>
          <w:sz w:val="24"/>
          <w:szCs w:val="24"/>
          <w:lang w:val="id-ID"/>
        </w:rPr>
        <w:t xml:space="preserve">Lingkungan Pergaulan, </w:t>
      </w:r>
      <w:r w:rsidRPr="00AA29AF">
        <w:rPr>
          <w:rFonts w:ascii="Arial Narrow" w:hAnsi="Arial Narrow"/>
          <w:sz w:val="24"/>
          <w:szCs w:val="24"/>
          <w:lang w:val="id-ID"/>
        </w:rPr>
        <w:t xml:space="preserve">Pergaulan pelaku menjadi penting untuk membentuk karakter dan pertumbuhan mentalnya. Pelaku sering salah bergaul justru membuatnya semakin dekat dengan kejahatan. Pelaku yang sekolah bergaul dengan orang yang lebih dewasa yang justru mengajari pelaku tersebut hal-hal yang buruk seperti merokok, berkelahi/bertengkar, dan sebagainya. </w:t>
      </w:r>
    </w:p>
    <w:p w:rsidR="00AA29AF" w:rsidRPr="004E29D7" w:rsidRDefault="00AA29AF" w:rsidP="00AA29AF">
      <w:pPr>
        <w:numPr>
          <w:ilvl w:val="0"/>
          <w:numId w:val="39"/>
        </w:numPr>
        <w:tabs>
          <w:tab w:val="clear" w:pos="720"/>
          <w:tab w:val="num" w:pos="360"/>
        </w:tabs>
        <w:autoSpaceDE w:val="0"/>
        <w:autoSpaceDN w:val="0"/>
        <w:adjustRightInd w:val="0"/>
        <w:spacing w:after="0"/>
        <w:ind w:left="360"/>
        <w:jc w:val="both"/>
        <w:rPr>
          <w:rFonts w:ascii="Arial Narrow" w:hAnsi="Arial Narrow"/>
          <w:color w:val="000000"/>
          <w:sz w:val="24"/>
          <w:szCs w:val="24"/>
          <w:lang w:val="id-ID"/>
        </w:rPr>
      </w:pPr>
      <w:r w:rsidRPr="00AA29AF">
        <w:rPr>
          <w:rStyle w:val="IntenseEmphasis"/>
          <w:rFonts w:ascii="Arial Narrow" w:hAnsi="Arial Narrow"/>
          <w:b w:val="0"/>
          <w:i w:val="0"/>
          <w:color w:val="000000"/>
          <w:sz w:val="24"/>
          <w:szCs w:val="24"/>
          <w:lang w:val="id-ID"/>
        </w:rPr>
        <w:t xml:space="preserve">Faktor </w:t>
      </w:r>
      <w:r>
        <w:rPr>
          <w:rFonts w:ascii="Arial Narrow" w:hAnsi="Arial Narrow"/>
          <w:color w:val="000000"/>
          <w:sz w:val="24"/>
          <w:szCs w:val="24"/>
          <w:lang w:val="id-ID"/>
        </w:rPr>
        <w:t xml:space="preserve">keluarga, </w:t>
      </w:r>
      <w:r w:rsidRPr="00AA29AF">
        <w:rPr>
          <w:rFonts w:ascii="Arial Narrow" w:hAnsi="Arial Narrow"/>
          <w:sz w:val="24"/>
          <w:szCs w:val="24"/>
          <w:lang w:val="id-ID"/>
        </w:rPr>
        <w:t>Segala faktor-faktor seperti ekonomi, pergaulan, pendidikan, perkembangan teknologi dapat dicegah oleh keluarga agar pelaku tidak melakukan perbuatan pidana. Keluarga juga menjadi faktor penentu perkembangan Pelaku. Sejak mulai bayi hingga beranjak remaja, keluarga adalah tempat pertama pelaku belajar dari segala hal. Peran orangtua menjadi sangat penting untuk ikut sama-sama memperhatikan perkembangan pelaku. Orang tua sering lupa memperhatikan pelakunya karena tuntutan pemenuhan kebutuhan sehari-hari, kembali ekonomi keluarga menjadi faktor utama mengapa orangtua menjadi kurang mampu memperhatikan dan mengawasi perilaku pelakunya, pergaulan pelakunya baik di lingkungan tempat tinggalnya</w:t>
      </w:r>
      <w:r w:rsidR="004E29D7">
        <w:rPr>
          <w:rFonts w:ascii="Arial Narrow" w:hAnsi="Arial Narrow"/>
          <w:sz w:val="24"/>
          <w:szCs w:val="24"/>
        </w:rPr>
        <w:t xml:space="preserve"> </w:t>
      </w:r>
      <w:r w:rsidR="004E29D7" w:rsidRPr="004E29D7">
        <w:rPr>
          <w:rFonts w:ascii="Arial Narrow" w:hAnsi="Arial Narrow"/>
          <w:sz w:val="24"/>
          <w:szCs w:val="24"/>
        </w:rPr>
        <w:t>(</w:t>
      </w:r>
      <w:r w:rsidR="004E29D7" w:rsidRPr="004E29D7">
        <w:rPr>
          <w:rFonts w:ascii="Arial Narrow" w:hAnsi="Arial Narrow"/>
          <w:sz w:val="24"/>
          <w:szCs w:val="24"/>
        </w:rPr>
        <w:t>Kartini Kartono</w:t>
      </w:r>
      <w:r w:rsidR="004E29D7" w:rsidRPr="004E29D7">
        <w:rPr>
          <w:rFonts w:ascii="Arial Narrow" w:hAnsi="Arial Narrow"/>
          <w:sz w:val="24"/>
          <w:szCs w:val="24"/>
        </w:rPr>
        <w:t>, 2015)</w:t>
      </w:r>
      <w:r w:rsidRPr="004E29D7">
        <w:rPr>
          <w:rFonts w:ascii="Arial Narrow" w:hAnsi="Arial Narrow"/>
          <w:sz w:val="24"/>
          <w:szCs w:val="24"/>
          <w:lang w:val="id-ID"/>
        </w:rPr>
        <w:t>.</w:t>
      </w:r>
    </w:p>
    <w:p w:rsidR="00AA29AF" w:rsidRDefault="00AA29AF" w:rsidP="00AA29AF">
      <w:pPr>
        <w:autoSpaceDE w:val="0"/>
        <w:autoSpaceDN w:val="0"/>
        <w:adjustRightInd w:val="0"/>
        <w:spacing w:after="0"/>
        <w:ind w:firstLine="360"/>
        <w:jc w:val="both"/>
        <w:rPr>
          <w:rFonts w:ascii="Arial Narrow" w:hAnsi="Arial Narrow"/>
          <w:sz w:val="24"/>
          <w:szCs w:val="24"/>
          <w:lang w:val="id-ID"/>
        </w:rPr>
      </w:pPr>
      <w:r w:rsidRPr="00AA29AF">
        <w:rPr>
          <w:rFonts w:ascii="Arial Narrow" w:hAnsi="Arial Narrow"/>
          <w:sz w:val="24"/>
          <w:szCs w:val="24"/>
          <w:lang w:val="id-ID"/>
        </w:rPr>
        <w:t>Berdasarkan uraian tersebut di atas dapat dianalisis bahwa faktor penyebab pelaku melakukan tindak pidana penganiayaan dengan rencana terlebih dahulu yang menyebabkan luka berat dan pencurian berdasarkan Putusan Nomor 425/Pid.B/2023/PN.Kot antara lain</w:t>
      </w:r>
      <w:r w:rsidRPr="00AA29AF">
        <w:rPr>
          <w:rStyle w:val="IntenseEmphasis"/>
          <w:rFonts w:ascii="Arial Narrow" w:hAnsi="Arial Narrow"/>
          <w:sz w:val="24"/>
          <w:szCs w:val="24"/>
          <w:lang w:val="id-ID"/>
        </w:rPr>
        <w:t xml:space="preserve"> </w:t>
      </w:r>
      <w:r w:rsidRPr="00AA29AF">
        <w:rPr>
          <w:rFonts w:ascii="Arial Narrow" w:hAnsi="Arial Narrow"/>
          <w:sz w:val="24"/>
          <w:szCs w:val="24"/>
          <w:lang w:val="id-ID"/>
        </w:rPr>
        <w:t xml:space="preserve">faktor keluarga yaitu kurang mampu memperhatikan dan mengawasi perilaku pelakunya, pergaulan pelakunya baik di lingkungan tempat tinggalnya, rasa sakit hati karena </w:t>
      </w:r>
      <w:r w:rsidRPr="00AA29AF">
        <w:rPr>
          <w:rFonts w:ascii="Arial Narrow" w:hAnsi="Arial Narrow"/>
          <w:sz w:val="24"/>
          <w:szCs w:val="24"/>
        </w:rPr>
        <w:t>terdakwa pernah diberhentikan oleh korban untuk bekerja sebagai tukang sadap borong PTPN VII Tangkit Serdang, sehingga terdakwa kehilangan mata pencaharian dan mengalami masalah keuangan</w:t>
      </w:r>
      <w:r w:rsidRPr="00AA29AF">
        <w:rPr>
          <w:rFonts w:ascii="Arial Narrow" w:hAnsi="Arial Narrow"/>
          <w:sz w:val="24"/>
          <w:szCs w:val="24"/>
          <w:lang w:val="id-ID"/>
        </w:rPr>
        <w:t>, lingkungan pergaulan terdakwa yang kurang mendukung dalam bermasyarakat, tingkat pendidikan terdakwa yang cukup rendah dan hanya tamat Sekolah Dasar, dan faktor ekonomi terdakwa yang te</w:t>
      </w:r>
      <w:r>
        <w:rPr>
          <w:rFonts w:ascii="Arial Narrow" w:hAnsi="Arial Narrow"/>
          <w:sz w:val="24"/>
          <w:szCs w:val="24"/>
          <w:lang w:val="id-ID"/>
        </w:rPr>
        <w:t>rgolong dalam ekonomi ke bawah.</w:t>
      </w:r>
    </w:p>
    <w:p w:rsidR="00AA29AF" w:rsidRDefault="00AA29AF" w:rsidP="00AA29AF">
      <w:pPr>
        <w:autoSpaceDE w:val="0"/>
        <w:autoSpaceDN w:val="0"/>
        <w:adjustRightInd w:val="0"/>
        <w:spacing w:after="0"/>
        <w:ind w:firstLine="360"/>
        <w:jc w:val="both"/>
        <w:rPr>
          <w:rFonts w:ascii="Arial Narrow" w:hAnsi="Arial Narrow"/>
          <w:color w:val="000000"/>
          <w:sz w:val="24"/>
          <w:szCs w:val="24"/>
          <w:lang w:val="id-ID"/>
        </w:rPr>
      </w:pPr>
      <w:r w:rsidRPr="00AA29AF">
        <w:rPr>
          <w:rFonts w:ascii="Arial Narrow" w:hAnsi="Arial Narrow"/>
          <w:sz w:val="24"/>
          <w:szCs w:val="24"/>
          <w:lang w:val="id-ID"/>
        </w:rPr>
        <w:t>Rasa sakit hati yang muncul dari dalam diri seseorang merupakan faktor dominan yang menjadi penyebab terjadinya tindak pidana penganiayaan</w:t>
      </w:r>
      <w:r w:rsidRPr="00AA29AF">
        <w:rPr>
          <w:rFonts w:ascii="Arial Narrow" w:hAnsi="Arial Narrow"/>
          <w:sz w:val="24"/>
          <w:szCs w:val="24"/>
        </w:rPr>
        <w:t xml:space="preserve"> dan pencurian</w:t>
      </w:r>
      <w:r w:rsidRPr="00AA29AF">
        <w:rPr>
          <w:rFonts w:ascii="Arial Narrow" w:hAnsi="Arial Narrow"/>
          <w:sz w:val="24"/>
          <w:szCs w:val="24"/>
          <w:lang w:val="id-ID"/>
        </w:rPr>
        <w:t xml:space="preserve">. Rasa sakit hati dalam diri seseorang tidak mudah untuk dihilangkan sebelum rasa sakit hati tersebut terbalaskan dengan cara </w:t>
      </w:r>
      <w:r w:rsidRPr="00AA29AF">
        <w:rPr>
          <w:rFonts w:ascii="Arial Narrow" w:hAnsi="Arial Narrow"/>
          <w:sz w:val="24"/>
          <w:szCs w:val="24"/>
          <w:lang w:val="id-ID"/>
        </w:rPr>
        <w:lastRenderedPageBreak/>
        <w:t xml:space="preserve">menganiaya orang yang membuatnya sakit hati. Sakit hati pelaku terjadi karena pelaku tidak senang dengan tindakan </w:t>
      </w:r>
      <w:r w:rsidRPr="00AA29AF">
        <w:rPr>
          <w:rFonts w:ascii="Arial Narrow" w:hAnsi="Arial Narrow"/>
          <w:sz w:val="24"/>
          <w:szCs w:val="24"/>
        </w:rPr>
        <w:t>korban yang menghentikan pekerjaannya sebagai tukang buruh sadap borongan</w:t>
      </w:r>
      <w:r w:rsidRPr="00AA29AF">
        <w:rPr>
          <w:rFonts w:ascii="Arial Narrow" w:hAnsi="Arial Narrow"/>
          <w:sz w:val="24"/>
          <w:szCs w:val="24"/>
          <w:lang w:val="id-ID"/>
        </w:rPr>
        <w:t xml:space="preserve">. </w:t>
      </w:r>
    </w:p>
    <w:p w:rsidR="00AA29AF" w:rsidRPr="00AA29AF" w:rsidRDefault="00AA29AF" w:rsidP="00AA29AF">
      <w:pPr>
        <w:autoSpaceDE w:val="0"/>
        <w:autoSpaceDN w:val="0"/>
        <w:adjustRightInd w:val="0"/>
        <w:spacing w:after="0"/>
        <w:ind w:firstLine="360"/>
        <w:jc w:val="both"/>
        <w:rPr>
          <w:rStyle w:val="IntenseEmphasis"/>
          <w:rFonts w:ascii="Arial Narrow" w:hAnsi="Arial Narrow"/>
          <w:b w:val="0"/>
          <w:bCs w:val="0"/>
          <w:i w:val="0"/>
          <w:iCs w:val="0"/>
          <w:color w:val="000000"/>
          <w:sz w:val="24"/>
          <w:szCs w:val="24"/>
          <w:lang w:val="id-ID"/>
        </w:rPr>
      </w:pPr>
      <w:r w:rsidRPr="00AA29AF">
        <w:rPr>
          <w:rFonts w:ascii="Arial Narrow" w:hAnsi="Arial Narrow"/>
          <w:sz w:val="24"/>
          <w:szCs w:val="24"/>
          <w:lang w:val="id-ID"/>
        </w:rPr>
        <w:t>Selain faktor rasa sakit hati, faktor lingkungan merupakan salah satu faktor yang memiliki pengaruh atas terjadinya tindak pidana penganiayaan yang dilakukan oleh pelaku. Seseorang yang hidup/tinggal di dalam lingkungan yang mendukung untuk dilakukannya penganiayaan, maka di suatu waktu ia juga akan melakukan tindak pidana penganiayaan</w:t>
      </w:r>
      <w:r w:rsidRPr="00AA29AF">
        <w:rPr>
          <w:rFonts w:ascii="Arial Narrow" w:hAnsi="Arial Narrow"/>
          <w:sz w:val="24"/>
          <w:szCs w:val="24"/>
        </w:rPr>
        <w:t xml:space="preserve"> dan pencurian</w:t>
      </w:r>
      <w:r w:rsidRPr="00AA29AF">
        <w:rPr>
          <w:rFonts w:ascii="Arial Narrow" w:hAnsi="Arial Narrow"/>
          <w:sz w:val="24"/>
          <w:szCs w:val="24"/>
          <w:lang w:val="id-ID"/>
        </w:rPr>
        <w:t xml:space="preserve"> tersebut. Banyak hal yang membuat lingkungan menjadi faktor penyebab terjadinya suatu tindak kejahatan penganiayaan</w:t>
      </w:r>
      <w:r w:rsidRPr="00AA29AF">
        <w:rPr>
          <w:rFonts w:ascii="Arial Narrow" w:hAnsi="Arial Narrow"/>
          <w:sz w:val="24"/>
          <w:szCs w:val="24"/>
        </w:rPr>
        <w:t xml:space="preserve"> dan pencurian</w:t>
      </w:r>
      <w:r w:rsidRPr="00AA29AF">
        <w:rPr>
          <w:rFonts w:ascii="Arial Narrow" w:hAnsi="Arial Narrow"/>
          <w:sz w:val="24"/>
          <w:szCs w:val="24"/>
          <w:lang w:val="id-ID"/>
        </w:rPr>
        <w:t>.</w:t>
      </w:r>
    </w:p>
    <w:p w:rsidR="00AA29AF" w:rsidRDefault="00AA29AF" w:rsidP="00467B7C">
      <w:pPr>
        <w:spacing w:after="0"/>
        <w:ind w:firstLine="720"/>
        <w:jc w:val="both"/>
        <w:rPr>
          <w:rFonts w:ascii="Arial Narrow" w:hAnsi="Arial Narrow" w:cs="Times New Roman"/>
          <w:sz w:val="24"/>
          <w:szCs w:val="24"/>
        </w:rPr>
      </w:pPr>
    </w:p>
    <w:p w:rsidR="00E76F23" w:rsidRPr="004E7258" w:rsidRDefault="004E7258" w:rsidP="00E76F23">
      <w:pPr>
        <w:numPr>
          <w:ilvl w:val="0"/>
          <w:numId w:val="36"/>
        </w:numPr>
        <w:tabs>
          <w:tab w:val="clear" w:pos="720"/>
          <w:tab w:val="num" w:pos="360"/>
        </w:tabs>
        <w:spacing w:after="0" w:line="240" w:lineRule="auto"/>
        <w:ind w:left="360"/>
        <w:jc w:val="both"/>
        <w:rPr>
          <w:rFonts w:ascii="Arial Narrow" w:hAnsi="Arial Narrow"/>
          <w:b/>
          <w:i/>
          <w:color w:val="000000"/>
          <w:sz w:val="24"/>
          <w:szCs w:val="24"/>
          <w:lang w:val="id-ID"/>
        </w:rPr>
      </w:pPr>
      <w:r w:rsidRPr="004E7258">
        <w:rPr>
          <w:rStyle w:val="IntenseEmphasis"/>
          <w:rFonts w:ascii="Arial Narrow" w:hAnsi="Arial Narrow"/>
          <w:i w:val="0"/>
          <w:color w:val="000000"/>
          <w:sz w:val="24"/>
          <w:szCs w:val="24"/>
        </w:rPr>
        <w:t>Pertanggungjawaban Pelaku Tindak Pidana Penganiayaan dengan Rencana Terlebih Dahulu yang Menyebabkan Luka Berat dan Pencurian Berdasarkan Putusan Nomor 425/Pid.B/2023/PN.Kot</w:t>
      </w:r>
    </w:p>
    <w:p w:rsidR="00E76F23" w:rsidRDefault="00E76F23" w:rsidP="00E76F23">
      <w:pPr>
        <w:spacing w:after="0"/>
        <w:ind w:firstLine="720"/>
        <w:jc w:val="both"/>
        <w:rPr>
          <w:rFonts w:ascii="Arial Narrow" w:hAnsi="Arial Narrow"/>
          <w:sz w:val="24"/>
          <w:szCs w:val="24"/>
        </w:rPr>
      </w:pPr>
      <w:r w:rsidRPr="00E76F23">
        <w:rPr>
          <w:rFonts w:ascii="Arial Narrow" w:hAnsi="Arial Narrow"/>
          <w:sz w:val="24"/>
          <w:szCs w:val="24"/>
        </w:rPr>
        <w:t>Di bawah ini akan diuraikan mengenai tindakan yang akan dilakukan oleh aparat penegak hukum mulai dari Penyidik Pembantu pada Kepolisian Resor Tanggamus, Jaksa pada Kejaksaan Negeri Tanggamus dan Hakim pada Pengadilan Negeri Kota Agung dalam melakukan tindakan represif terutama untuk menjatuhkan putusan kepada terdakwa.</w:t>
      </w:r>
      <w:r>
        <w:rPr>
          <w:rFonts w:ascii="Arial Narrow" w:hAnsi="Arial Narrow"/>
          <w:sz w:val="24"/>
          <w:szCs w:val="24"/>
        </w:rPr>
        <w:t xml:space="preserve"> </w:t>
      </w:r>
      <w:r w:rsidRPr="00E76F23">
        <w:rPr>
          <w:rFonts w:ascii="Arial Narrow" w:hAnsi="Arial Narrow"/>
          <w:sz w:val="24"/>
          <w:szCs w:val="24"/>
        </w:rPr>
        <w:t>Berdasarkan hasil wawancara dengan Dwi Ariyanto selaku Penyidik Pembantu Kepolisian Resor Tanggamus mengemukakan bahwa berkaitan dengan dapat dipertanggungjawabkannya seseorang yang melakukan tindak pidana khususnya tindak pidana penganiayaan dengan rencana terlebih dahulu yang menyebabkan luka berat dan pencurian, bahwa di dalam KUHP, secara umum ditentukan dengan cara negatif, yaitu dalam ketentuan mengenai pengecualian hukuman. Pengecualian hukuman itu sendiri berarti bahwa orang yang melakukan tindak pidana, tidak dijatuhi hukuman atau dikecualikan dari hukuman</w:t>
      </w:r>
      <w:r w:rsidR="000F53DD">
        <w:rPr>
          <w:rFonts w:ascii="Arial Narrow" w:hAnsi="Arial Narrow"/>
          <w:sz w:val="24"/>
          <w:szCs w:val="24"/>
        </w:rPr>
        <w:t xml:space="preserve"> (Muljanto, 2008)</w:t>
      </w:r>
      <w:r w:rsidRPr="00E76F23">
        <w:rPr>
          <w:rFonts w:ascii="Arial Narrow" w:hAnsi="Arial Narrow"/>
          <w:sz w:val="24"/>
          <w:szCs w:val="24"/>
        </w:rPr>
        <w:t xml:space="preserve">. Untuk membuktikan terjadinya tindak pidana atau tidak maka dilakukan penyelidikan dan penyidikan berguna untuk mencari serta mengumpulkan bukti-bukti yang pada tahap pertama berdasarkan bukti permulaan yang cukup harus dapat memberikan keyakinan, walaupun sifatnya masih sementara kepada penuntut umum tentang apa yang sebenarnya terjadi atau tentang </w:t>
      </w:r>
      <w:r w:rsidRPr="00E76F23">
        <w:rPr>
          <w:rFonts w:ascii="Arial Narrow" w:hAnsi="Arial Narrow"/>
          <w:iCs/>
          <w:sz w:val="24"/>
          <w:szCs w:val="24"/>
        </w:rPr>
        <w:t>pertanggungjawaban pelaku tindak pidana penganiayaan dengan rencana terlebih dahulu yang menyebabkan luka berat dan pencurian</w:t>
      </w:r>
      <w:r w:rsidRPr="00E76F23">
        <w:rPr>
          <w:rFonts w:ascii="Arial Narrow" w:hAnsi="Arial Narrow"/>
          <w:sz w:val="24"/>
          <w:szCs w:val="24"/>
        </w:rPr>
        <w:t xml:space="preserve"> berdasarkan</w:t>
      </w:r>
      <w:r w:rsidRPr="00E76F23">
        <w:rPr>
          <w:rFonts w:ascii="Arial Narrow" w:hAnsi="Arial Narrow"/>
          <w:iCs/>
          <w:sz w:val="24"/>
          <w:szCs w:val="24"/>
        </w:rPr>
        <w:t xml:space="preserve"> Putusan Nomor 425/Pid.B/2023/PN.Kot</w:t>
      </w:r>
      <w:r w:rsidRPr="00E76F23">
        <w:rPr>
          <w:rFonts w:ascii="Arial Narrow" w:hAnsi="Arial Narrow"/>
          <w:sz w:val="24"/>
          <w:szCs w:val="24"/>
        </w:rPr>
        <w:t xml:space="preserve"> telah dilakukan serta menangkap tersangkanya</w:t>
      </w:r>
      <w:r w:rsidR="000F53DD">
        <w:rPr>
          <w:rFonts w:ascii="Arial Narrow" w:hAnsi="Arial Narrow"/>
          <w:sz w:val="24"/>
          <w:szCs w:val="24"/>
        </w:rPr>
        <w:t xml:space="preserve"> </w:t>
      </w:r>
      <w:r w:rsidR="000F53DD" w:rsidRPr="000F53DD">
        <w:rPr>
          <w:rFonts w:ascii="Arial Narrow" w:hAnsi="Arial Narrow"/>
          <w:sz w:val="24"/>
          <w:szCs w:val="24"/>
        </w:rPr>
        <w:t>(Andi Hamzah</w:t>
      </w:r>
      <w:r w:rsidR="000F53DD">
        <w:rPr>
          <w:rFonts w:ascii="Arial Narrow" w:hAnsi="Arial Narrow"/>
          <w:sz w:val="24"/>
          <w:szCs w:val="24"/>
        </w:rPr>
        <w:t>, 2016</w:t>
      </w:r>
      <w:r w:rsidR="000F53DD" w:rsidRPr="000F53DD">
        <w:rPr>
          <w:rFonts w:ascii="Arial Narrow" w:hAnsi="Arial Narrow"/>
          <w:sz w:val="24"/>
          <w:szCs w:val="24"/>
        </w:rPr>
        <w:t>)</w:t>
      </w:r>
      <w:r w:rsidRPr="000F53DD">
        <w:rPr>
          <w:rFonts w:ascii="Arial Narrow" w:hAnsi="Arial Narrow"/>
          <w:sz w:val="24"/>
          <w:szCs w:val="24"/>
        </w:rPr>
        <w:t>.</w:t>
      </w:r>
    </w:p>
    <w:p w:rsidR="00E76F23" w:rsidRDefault="00E76F23" w:rsidP="00E76F23">
      <w:pPr>
        <w:spacing w:after="0"/>
        <w:ind w:firstLine="720"/>
        <w:jc w:val="both"/>
        <w:rPr>
          <w:rFonts w:ascii="Arial Narrow" w:hAnsi="Arial Narrow"/>
          <w:sz w:val="24"/>
          <w:szCs w:val="24"/>
        </w:rPr>
      </w:pPr>
      <w:r w:rsidRPr="00E76F23">
        <w:rPr>
          <w:rFonts w:ascii="Arial Narrow" w:hAnsi="Arial Narrow"/>
          <w:sz w:val="24"/>
          <w:szCs w:val="24"/>
        </w:rPr>
        <w:t xml:space="preserve">Pada tahap penyidikan terhadap perkara pelaku tindak pidana penganiayaan yang dilakukan oleh pelaku. Apabila benar ada laporan dan pengaduan atau ditemukan indikasi pelaku tindak pidana penganiayaan dengan rencana terlebih dahulu yang menyebabkan luka berat, maka Penyidik Kepolisian </w:t>
      </w:r>
      <w:proofErr w:type="gramStart"/>
      <w:r w:rsidRPr="00E76F23">
        <w:rPr>
          <w:rFonts w:ascii="Arial Narrow" w:hAnsi="Arial Narrow"/>
          <w:sz w:val="24"/>
          <w:szCs w:val="24"/>
        </w:rPr>
        <w:t>akan</w:t>
      </w:r>
      <w:proofErr w:type="gramEnd"/>
      <w:r w:rsidRPr="00E76F23">
        <w:rPr>
          <w:rFonts w:ascii="Arial Narrow" w:hAnsi="Arial Narrow"/>
          <w:sz w:val="24"/>
          <w:szCs w:val="24"/>
        </w:rPr>
        <w:t xml:space="preserve"> mengambil langkah-langkah yang perlu untuk mengungkapkan tindak pidana yang terjadi</w:t>
      </w:r>
      <w:r w:rsidR="007F30DC">
        <w:rPr>
          <w:rFonts w:ascii="Arial Narrow" w:hAnsi="Arial Narrow"/>
          <w:sz w:val="24"/>
          <w:szCs w:val="24"/>
        </w:rPr>
        <w:t xml:space="preserve"> </w:t>
      </w:r>
      <w:r w:rsidR="007F30DC" w:rsidRPr="007F30DC">
        <w:rPr>
          <w:rFonts w:ascii="Arial Narrow" w:hAnsi="Arial Narrow"/>
          <w:sz w:val="24"/>
          <w:szCs w:val="24"/>
        </w:rPr>
        <w:t>(M. Yahya Harahap, 2015)</w:t>
      </w:r>
      <w:r w:rsidRPr="007F30DC">
        <w:rPr>
          <w:rFonts w:ascii="Arial Narrow" w:hAnsi="Arial Narrow"/>
          <w:sz w:val="24"/>
          <w:szCs w:val="24"/>
        </w:rPr>
        <w:t>.</w:t>
      </w:r>
      <w:r w:rsidRPr="00E76F23">
        <w:rPr>
          <w:rFonts w:ascii="Arial Narrow" w:hAnsi="Arial Narrow"/>
          <w:sz w:val="24"/>
          <w:szCs w:val="24"/>
        </w:rPr>
        <w:t xml:space="preserve"> Langkah-langkah tersebut yaitu Polisi setelah mendapatkan laporan terjadinya pelaku tindak pidana penganiayaan dengan rencana terlebih dahulu yang menyebabkan luka berat, langsung mengadakan penyelidikan dan penyidikan terhadap laporan tersebut. Apabila data-data dari laporan tentang adanya tindak pidana tersebut, maka pihak Kepolisian melakukan proses lanjutan. Proses lanjutan tersebut dengan meminta keterangan mengenai identitas tersangka dan data-data serta dokumen, kemudian melakukan penyelidikan lebih lanjut tentang modus yang digunakan pelaku. Setelah barang bukti dan saksi menunjukkan adanya indikasi tindak pidana, maka dilakukan penangkapan dan penahanan terhadap tersangka.</w:t>
      </w:r>
    </w:p>
    <w:p w:rsidR="00E76F23" w:rsidRPr="00E76F23" w:rsidRDefault="00E76F23" w:rsidP="00E76F23">
      <w:pPr>
        <w:spacing w:after="0"/>
        <w:ind w:firstLine="720"/>
        <w:jc w:val="both"/>
        <w:rPr>
          <w:rFonts w:ascii="Arial Narrow" w:hAnsi="Arial Narrow"/>
          <w:sz w:val="24"/>
          <w:szCs w:val="24"/>
          <w:lang w:val="id-ID"/>
        </w:rPr>
      </w:pPr>
      <w:r w:rsidRPr="00E76F23">
        <w:rPr>
          <w:rFonts w:ascii="Arial Narrow" w:hAnsi="Arial Narrow"/>
          <w:sz w:val="24"/>
          <w:szCs w:val="24"/>
        </w:rPr>
        <w:lastRenderedPageBreak/>
        <w:t xml:space="preserve">Selanjutnya pada tingkat penyidikan, </w:t>
      </w:r>
      <w:proofErr w:type="gramStart"/>
      <w:r w:rsidRPr="00E76F23">
        <w:rPr>
          <w:rFonts w:ascii="Arial Narrow" w:hAnsi="Arial Narrow"/>
          <w:sz w:val="24"/>
          <w:szCs w:val="24"/>
        </w:rPr>
        <w:t>Dwi</w:t>
      </w:r>
      <w:proofErr w:type="gramEnd"/>
      <w:r w:rsidRPr="00E76F23">
        <w:rPr>
          <w:rFonts w:ascii="Arial Narrow" w:hAnsi="Arial Narrow"/>
          <w:sz w:val="24"/>
          <w:szCs w:val="24"/>
        </w:rPr>
        <w:t xml:space="preserve"> Ariyanto menyatakan bahwa tugas dan wewenang Penyidik Polisi adalah sebagai berikut:</w:t>
      </w:r>
    </w:p>
    <w:p w:rsidR="00E76F23" w:rsidRPr="00E76F23" w:rsidRDefault="00E76F23" w:rsidP="00E76F23">
      <w:pPr>
        <w:numPr>
          <w:ilvl w:val="0"/>
          <w:numId w:val="40"/>
        </w:numPr>
        <w:tabs>
          <w:tab w:val="clear" w:pos="720"/>
          <w:tab w:val="num" w:pos="360"/>
        </w:tabs>
        <w:spacing w:after="0"/>
        <w:ind w:left="360"/>
        <w:jc w:val="both"/>
        <w:rPr>
          <w:rFonts w:ascii="Arial Narrow" w:hAnsi="Arial Narrow"/>
          <w:sz w:val="24"/>
          <w:szCs w:val="24"/>
          <w:lang w:val="id-ID"/>
        </w:rPr>
      </w:pPr>
      <w:r w:rsidRPr="00E76F23">
        <w:rPr>
          <w:rFonts w:ascii="Arial Narrow" w:hAnsi="Arial Narrow"/>
          <w:sz w:val="24"/>
          <w:szCs w:val="24"/>
          <w:lang w:val="id-ID"/>
        </w:rPr>
        <w:t>Melakukan penyelidikan dilakukan berdasarkan ketentuan Pasal 5 sampai dengan Pasal 9 Peraturan Kepala Kepolisian Republik Indonesia Nomor 6 Tahun 2019.</w:t>
      </w:r>
    </w:p>
    <w:p w:rsidR="00E76F23" w:rsidRPr="00E76F23" w:rsidRDefault="00E76F23" w:rsidP="00E76F23">
      <w:pPr>
        <w:numPr>
          <w:ilvl w:val="0"/>
          <w:numId w:val="40"/>
        </w:numPr>
        <w:tabs>
          <w:tab w:val="clear" w:pos="720"/>
          <w:tab w:val="num" w:pos="360"/>
        </w:tabs>
        <w:spacing w:after="0"/>
        <w:ind w:left="360"/>
        <w:jc w:val="both"/>
        <w:rPr>
          <w:rFonts w:ascii="Arial Narrow" w:hAnsi="Arial Narrow"/>
          <w:sz w:val="24"/>
          <w:szCs w:val="24"/>
          <w:lang w:val="id-ID"/>
        </w:rPr>
      </w:pPr>
      <w:r w:rsidRPr="00E76F23">
        <w:rPr>
          <w:rFonts w:ascii="Arial Narrow" w:hAnsi="Arial Narrow"/>
          <w:sz w:val="24"/>
          <w:szCs w:val="24"/>
          <w:lang w:val="id-ID"/>
        </w:rPr>
        <w:t>Melakukan penyidikan sebagaimana diatur dalam Pasal 10 sampai dengan Pasal 33 Perkapolri Nomor 6 Tahun 2019.</w:t>
      </w:r>
    </w:p>
    <w:p w:rsidR="00E76F23" w:rsidRPr="00E76F23" w:rsidRDefault="00E76F23" w:rsidP="00E76F23">
      <w:pPr>
        <w:numPr>
          <w:ilvl w:val="0"/>
          <w:numId w:val="40"/>
        </w:numPr>
        <w:tabs>
          <w:tab w:val="clear" w:pos="720"/>
          <w:tab w:val="num" w:pos="360"/>
        </w:tabs>
        <w:spacing w:after="0"/>
        <w:ind w:left="360"/>
        <w:jc w:val="both"/>
        <w:rPr>
          <w:rFonts w:ascii="Arial Narrow" w:hAnsi="Arial Narrow"/>
          <w:sz w:val="24"/>
          <w:szCs w:val="24"/>
          <w:lang w:val="id-ID"/>
        </w:rPr>
      </w:pPr>
      <w:r w:rsidRPr="00E76F23">
        <w:rPr>
          <w:rFonts w:ascii="Arial Narrow" w:hAnsi="Arial Narrow"/>
          <w:sz w:val="24"/>
          <w:szCs w:val="24"/>
          <w:lang w:val="id-ID"/>
        </w:rPr>
        <w:t xml:space="preserve">Membuat berita acara pemeriksaan (BAP) tentang hasil penyidikan. </w:t>
      </w:r>
    </w:p>
    <w:p w:rsidR="00E76F23" w:rsidRPr="00E76F23" w:rsidRDefault="00E76F23" w:rsidP="00E76F23">
      <w:pPr>
        <w:numPr>
          <w:ilvl w:val="0"/>
          <w:numId w:val="40"/>
        </w:numPr>
        <w:tabs>
          <w:tab w:val="clear" w:pos="720"/>
          <w:tab w:val="num" w:pos="360"/>
        </w:tabs>
        <w:spacing w:after="0"/>
        <w:ind w:left="360"/>
        <w:jc w:val="both"/>
        <w:rPr>
          <w:rFonts w:ascii="Arial Narrow" w:hAnsi="Arial Narrow"/>
          <w:sz w:val="24"/>
          <w:szCs w:val="24"/>
          <w:lang w:val="id-ID"/>
        </w:rPr>
      </w:pPr>
      <w:r w:rsidRPr="00E76F23">
        <w:rPr>
          <w:rFonts w:ascii="Arial Narrow" w:hAnsi="Arial Narrow"/>
          <w:sz w:val="24"/>
          <w:szCs w:val="24"/>
          <w:lang w:val="id-ID"/>
        </w:rPr>
        <w:t>Menurut Pasal 8 Undang-Undang Nomor 8 Tahun 1981 tentang Hukum Acara Pidana, apabila penyidikan telah selesai maka penyidik wajib segera menyerahkan berkas perkara tersebut kepada Penuntut Umum, penyerahan berkas perkara tersebut dilakukan melalui dua tahap yaitu:</w:t>
      </w:r>
    </w:p>
    <w:p w:rsidR="00E76F23" w:rsidRPr="00E76F23" w:rsidRDefault="00E76F23" w:rsidP="00E76F23">
      <w:pPr>
        <w:numPr>
          <w:ilvl w:val="1"/>
          <w:numId w:val="40"/>
        </w:numPr>
        <w:tabs>
          <w:tab w:val="clear" w:pos="1440"/>
          <w:tab w:val="num" w:pos="720"/>
        </w:tabs>
        <w:spacing w:after="0"/>
        <w:ind w:left="720"/>
        <w:jc w:val="both"/>
        <w:rPr>
          <w:rFonts w:ascii="Arial Narrow" w:hAnsi="Arial Narrow"/>
          <w:sz w:val="24"/>
          <w:szCs w:val="24"/>
          <w:lang w:val="id-ID"/>
        </w:rPr>
      </w:pPr>
      <w:r w:rsidRPr="00E76F23">
        <w:rPr>
          <w:rFonts w:ascii="Arial Narrow" w:hAnsi="Arial Narrow"/>
          <w:sz w:val="24"/>
          <w:szCs w:val="24"/>
          <w:lang w:val="id-ID"/>
        </w:rPr>
        <w:t>Penyidik hanya menyerahkan berkas perkara.</w:t>
      </w:r>
    </w:p>
    <w:p w:rsidR="00E76F23" w:rsidRDefault="00E76F23" w:rsidP="00E76F23">
      <w:pPr>
        <w:numPr>
          <w:ilvl w:val="1"/>
          <w:numId w:val="40"/>
        </w:numPr>
        <w:tabs>
          <w:tab w:val="clear" w:pos="1440"/>
          <w:tab w:val="num" w:pos="720"/>
        </w:tabs>
        <w:spacing w:after="0"/>
        <w:ind w:left="720"/>
        <w:jc w:val="both"/>
        <w:rPr>
          <w:rFonts w:ascii="Arial Narrow" w:hAnsi="Arial Narrow"/>
          <w:sz w:val="24"/>
          <w:szCs w:val="24"/>
          <w:lang w:val="id-ID"/>
        </w:rPr>
      </w:pPr>
      <w:r w:rsidRPr="00E76F23">
        <w:rPr>
          <w:rFonts w:ascii="Arial Narrow" w:hAnsi="Arial Narrow"/>
          <w:sz w:val="24"/>
          <w:szCs w:val="24"/>
          <w:lang w:val="id-ID"/>
        </w:rPr>
        <w:t>Jika tahap penyidikan dianggap selesai, Penyidik menyerahkan tanggung jawab atas tersangka dan barang bukti kepada Penuntut Umum.</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Berdasarkan hasil wawancara dengan M. Alif Ghifari selaku Jaksa Penuntut Umum pada Kejaksaan Negeri Tanggamus menyatakan bahwa pertanggungjawaban pelaku tindak pidana penganiayaan dengan rencana terlebih dahulu yang menyebabkan luka berat dan pencurian berdasarkan Putusan Nomor 425/Pid.B/2023/PN.Kot merupakan kemampuan bertanggung jawab pelaku terhadap kesalahannya telah melakukan perbuatannya yang dilarang undang-undang, secara melawan hukum dan tidak dibenarkan menurut pandangan masyarakat. Kesalahan adalah unsur peristiwa pidana atau perbuatan pidana dan antara keduanya terdapat hubungan yang erat. Setelah menerima hasil penyidikan tersebut berupa pelimpahan perkara yaitu Berita Acara Pemeriksaan, alat bukti dan tersangka, langkah-langkah yang ditempuh oleh Penuntut Umum adalah segera melakukan tindakan persiapan dalam rangka melakukan penuntutan dengan jalan mempelajari dan meneliti apakah orang atau benda yang tersebut dalam hasil penyidikan telah sesuai atau telah memenuhi syarat pembuktian.</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Ditambahkan oleh M. Alif Ghifari, bahwa dalam proses penuntutan terhadap tindak pidana terdapat dua asas yaitu asas legalitas, yaitu Penuntut Umum diwajibkan menuntut semua orang yang dianggap cukup alasan bahwa yang bersangkutan telah melakukan pelanggaran hukum dan asas oportunitas, yaitu Penuntut Umum tidak diharuskan menuntut seseorang meskipun yang bersangkutan sudah jelas melakukan tindak pidana yang dapat dihukum.</w:t>
      </w:r>
    </w:p>
    <w:p w:rsidR="00E76F23" w:rsidRDefault="00E76F23" w:rsidP="00E76F23">
      <w:pPr>
        <w:spacing w:after="0"/>
        <w:ind w:firstLine="360"/>
        <w:jc w:val="both"/>
        <w:rPr>
          <w:rFonts w:ascii="Arial Narrow" w:hAnsi="Arial Narrow"/>
          <w:sz w:val="24"/>
          <w:szCs w:val="24"/>
        </w:rPr>
      </w:pPr>
      <w:r w:rsidRPr="00E76F23">
        <w:rPr>
          <w:rFonts w:ascii="Arial Narrow" w:hAnsi="Arial Narrow"/>
          <w:sz w:val="24"/>
          <w:szCs w:val="24"/>
          <w:lang w:val="id-ID"/>
        </w:rPr>
        <w:t>Selanjutnya menurut M. Alif Ghifari menyatakan bahwa penuntutan adalah tindakan penuntut umum untuk melimpahkan perkara pidana ke pengadilan negeri yang berwenang dalam hal dan menurut cara yang diatur dalam undang-undang ini dengan permintaan supaya diperiksa dan diputus oleh hakim di sidang pengadilan. Tuntutan pidana yang diajukan oleh Jaksa Penuntut Umum dengan Armin Bin Mamat</w:t>
      </w:r>
      <w:r w:rsidRPr="00E76F23">
        <w:rPr>
          <w:rFonts w:ascii="Arial Narrow" w:hAnsi="Arial Narrow"/>
          <w:sz w:val="24"/>
          <w:szCs w:val="24"/>
        </w:rPr>
        <w:t xml:space="preserve"> sebagai terdakwa</w:t>
      </w:r>
      <w:r w:rsidRPr="00E76F23">
        <w:rPr>
          <w:rFonts w:ascii="Arial Narrow" w:hAnsi="Arial Narrow"/>
          <w:sz w:val="24"/>
          <w:szCs w:val="24"/>
          <w:lang w:val="id-ID"/>
        </w:rPr>
        <w:t xml:space="preserve"> sesuai dengan Putusan Nomor 425/Pid.B/2023/PN.Kot yaitu </w:t>
      </w:r>
      <w:r w:rsidRPr="00E76F23">
        <w:rPr>
          <w:rFonts w:ascii="Arial Narrow" w:hAnsi="Arial Narrow"/>
          <w:sz w:val="24"/>
          <w:szCs w:val="24"/>
        </w:rPr>
        <w:t xml:space="preserve">menyatakan Terdakwa Armin Bin Mamat terbukti bersalah secara sah dan meyakinkan bersalah melakukan tindak pidana penganiayaan dengan rencana terlebih dahulu yang menyebabkan luka berat dan pencurian sebagaimana dalam dalam Pasal 353 ayat (2) KUHP dan Pasal 362 KUHP dalam Dakwaan Pertama, Kesatu dan Kedua Penuntut Umum, menjatuhkan pidana terhadap Terdakwa Armin Bin Mamat dengan pidana penjara selama 2 (dua) tahun dikurangi seluruhnya dari masa tahanan yang telah dijalankan, dengan perintah agar Terdakwa Armin Bin Mamat tetap ditahan, menyatakan barang bukti berupa: 1 (satu) buah derigen warna merah; 1 (satu) </w:t>
      </w:r>
      <w:r w:rsidRPr="00E76F23">
        <w:rPr>
          <w:rFonts w:ascii="Arial Narrow" w:hAnsi="Arial Narrow"/>
          <w:sz w:val="24"/>
          <w:szCs w:val="24"/>
        </w:rPr>
        <w:lastRenderedPageBreak/>
        <w:t>bilah golok dengan bergagang kayu berwarna coklat (dirampas untuk dimusnahkan); 1 (satu) unit handphone Pocco X3 Pro warna phantom black dengan nomor Imei 1: 863779054670695 dan nomor Imei 2: 863779054670695 4); 1 (satu) buah kaus berwarna hijau; 1 (satu) buah box handphone Pocco X3 Pro warna phantom black dengan nomor Imei 1: 863779054670695 dan nomor Imei 2: 863779054670695 (dikembalikan kepada saksi koban Sudarmadi Bin Sutarman); 1 (satu) buah sweater warna abu-abu (dikembalikan kepada Terdakwa Armin Bin Mamat), serta menetapkan agar Terdakwa dibebani biaya perkara sebesar Rp. 2.000</w:t>
      </w:r>
      <w:proofErr w:type="gramStart"/>
      <w:r w:rsidRPr="00E76F23">
        <w:rPr>
          <w:rFonts w:ascii="Arial Narrow" w:hAnsi="Arial Narrow"/>
          <w:sz w:val="24"/>
          <w:szCs w:val="24"/>
        </w:rPr>
        <w:t>,-</w:t>
      </w:r>
      <w:proofErr w:type="gramEnd"/>
      <w:r w:rsidRPr="00E76F23">
        <w:rPr>
          <w:rFonts w:ascii="Arial Narrow" w:hAnsi="Arial Narrow"/>
          <w:sz w:val="24"/>
          <w:szCs w:val="24"/>
        </w:rPr>
        <w:t xml:space="preserve"> (dua ribu rupiah).</w:t>
      </w:r>
    </w:p>
    <w:p w:rsidR="00E76F23" w:rsidRPr="00C20159"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Berdasarkan hasil wawancara dengan Murdian selaku Hakim Pengadilan Negeri Kota Agung, menyatakan bahwa terkait dengan tindak pidana penganiayaan dengan rencana terlebih dahulu yang menyebabkan luka berat</w:t>
      </w:r>
      <w:r w:rsidRPr="00E76F23">
        <w:rPr>
          <w:rFonts w:ascii="Arial Narrow" w:hAnsi="Arial Narrow"/>
          <w:sz w:val="24"/>
          <w:szCs w:val="24"/>
        </w:rPr>
        <w:t xml:space="preserve"> dan pencurian</w:t>
      </w:r>
      <w:r w:rsidRPr="00E76F23">
        <w:rPr>
          <w:rFonts w:ascii="Arial Narrow" w:hAnsi="Arial Narrow"/>
          <w:sz w:val="24"/>
          <w:szCs w:val="24"/>
          <w:lang w:val="id-ID"/>
        </w:rPr>
        <w:t xml:space="preserve"> yang telah dilimpahkan oleh Jaksa Penuntut Umum, maka badan peradilan bertugas untuk menerima, memeriksa, mengadili serta menyelenggarakan setiap perkara yang diajukan padanya. Untuk menjamin terlaksananya maksud sampai mendapatkan hasil yang diharapkan perlu adanya penegakan hukum dan keadilan selaku badan pelaksana, yang melakukan tugasnya seadil-adilnya dan tidak memihak sehingga keadilan dapat dijalankan seobyektif mungkin</w:t>
      </w:r>
      <w:r w:rsidR="00C20159">
        <w:rPr>
          <w:rFonts w:ascii="Arial Narrow" w:hAnsi="Arial Narrow"/>
          <w:sz w:val="24"/>
          <w:szCs w:val="24"/>
        </w:rPr>
        <w:t xml:space="preserve"> </w:t>
      </w:r>
      <w:r w:rsidR="00C20159" w:rsidRPr="00C20159">
        <w:rPr>
          <w:rFonts w:ascii="Arial Narrow" w:hAnsi="Arial Narrow"/>
          <w:sz w:val="24"/>
          <w:szCs w:val="24"/>
        </w:rPr>
        <w:t>(Sudikno Mertokusumo, 2014)</w:t>
      </w:r>
      <w:r w:rsidRPr="00C20159">
        <w:rPr>
          <w:rFonts w:ascii="Arial Narrow" w:hAnsi="Arial Narrow"/>
          <w:sz w:val="24"/>
          <w:szCs w:val="24"/>
          <w:lang w:val="id-ID"/>
        </w:rPr>
        <w:t xml:space="preserve">. </w:t>
      </w:r>
    </w:p>
    <w:p w:rsidR="00E76F23" w:rsidRPr="00C20159"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 xml:space="preserve">Berkenaan pertanggungjawaban pidana dalam perkara ini, maka menurut Murdian selaku Hakim pada Pengadilan Negeri Kota Agung mengemukakan bahwa tindak pidana penganiayaan dengan rencana terlebih dahulu yang menyebabkan luka berat </w:t>
      </w:r>
      <w:r w:rsidRPr="00E76F23">
        <w:rPr>
          <w:rFonts w:ascii="Arial Narrow" w:hAnsi="Arial Narrow"/>
          <w:sz w:val="24"/>
          <w:szCs w:val="24"/>
        </w:rPr>
        <w:t xml:space="preserve">dan pencurian </w:t>
      </w:r>
      <w:r w:rsidRPr="00E76F23">
        <w:rPr>
          <w:rFonts w:ascii="Arial Narrow" w:hAnsi="Arial Narrow"/>
          <w:sz w:val="24"/>
          <w:szCs w:val="24"/>
          <w:lang w:val="id-ID"/>
        </w:rPr>
        <w:t>berdasarkan Putusan Nomor 425/Pid.B/2023/PN.Kot, merupakan bentuk penderitaan yang sengaja dibebankan oleh Negara kepada pelaku yang terbukti melakukan tindak pidana dan dapat dipersalahkan atau dapat dicela. Sehingga dijalaninya pidana oleh pelaku tindak pidana penganiayaan dengan rencana terlebih dahulu yang menyebabkan luka berat</w:t>
      </w:r>
      <w:r w:rsidRPr="00E76F23">
        <w:rPr>
          <w:rFonts w:ascii="Arial Narrow" w:hAnsi="Arial Narrow"/>
          <w:sz w:val="24"/>
          <w:szCs w:val="24"/>
        </w:rPr>
        <w:t xml:space="preserve"> dan pencurian</w:t>
      </w:r>
      <w:r w:rsidRPr="00E76F23">
        <w:rPr>
          <w:rFonts w:ascii="Arial Narrow" w:hAnsi="Arial Narrow"/>
          <w:sz w:val="24"/>
          <w:szCs w:val="24"/>
          <w:lang w:val="id-ID"/>
        </w:rPr>
        <w:t xml:space="preserve"> dalam Putusan Nomor 425/Pid.B/2023/PN.Kot yang bersalah karena telah melakukan tindak pidana merupakan wujud tanggung jawab pidana yang harus diterima oleh pelaku</w:t>
      </w:r>
      <w:r w:rsidR="00C20159">
        <w:rPr>
          <w:rFonts w:ascii="Arial Narrow" w:hAnsi="Arial Narrow"/>
          <w:sz w:val="24"/>
          <w:szCs w:val="24"/>
        </w:rPr>
        <w:t xml:space="preserve"> </w:t>
      </w:r>
      <w:r w:rsidR="00C20159" w:rsidRPr="00C20159">
        <w:rPr>
          <w:rFonts w:ascii="Arial Narrow" w:hAnsi="Arial Narrow"/>
          <w:sz w:val="24"/>
          <w:szCs w:val="24"/>
        </w:rPr>
        <w:t>(Muladi dan Barda Nawawi Arief, 2010)</w:t>
      </w:r>
      <w:r w:rsidRPr="00C20159">
        <w:rPr>
          <w:rFonts w:ascii="Arial Narrow" w:hAnsi="Arial Narrow"/>
          <w:sz w:val="24"/>
          <w:szCs w:val="24"/>
          <w:lang w:val="id-ID"/>
        </w:rPr>
        <w:t>.</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Murdian selaku Hakim pada Pengadilan Negeri Kota Agung, menambahkan bahwa karena perbuatan terdakwa telah terbukti secara sah dan meyakinkan maka terdakwa harus dinyatakan bersalah dan dijatuhi hukuman yang setimpal dengan kesalahannya. Setelah mendengar tuntutan Jaksa Penuntut Umum, maka memperhatikan, Pasal 35</w:t>
      </w:r>
      <w:r w:rsidRPr="00E76F23">
        <w:rPr>
          <w:rFonts w:ascii="Arial Narrow" w:hAnsi="Arial Narrow"/>
          <w:sz w:val="24"/>
          <w:szCs w:val="24"/>
        </w:rPr>
        <w:t>3</w:t>
      </w:r>
      <w:r w:rsidRPr="00E76F23">
        <w:rPr>
          <w:rFonts w:ascii="Arial Narrow" w:hAnsi="Arial Narrow"/>
          <w:sz w:val="24"/>
          <w:szCs w:val="24"/>
          <w:lang w:val="id-ID"/>
        </w:rPr>
        <w:t xml:space="preserve"> ayat (</w:t>
      </w:r>
      <w:r w:rsidRPr="00E76F23">
        <w:rPr>
          <w:rFonts w:ascii="Arial Narrow" w:hAnsi="Arial Narrow"/>
          <w:sz w:val="24"/>
          <w:szCs w:val="24"/>
        </w:rPr>
        <w:t>2</w:t>
      </w:r>
      <w:r w:rsidRPr="00E76F23">
        <w:rPr>
          <w:rFonts w:ascii="Arial Narrow" w:hAnsi="Arial Narrow"/>
          <w:sz w:val="24"/>
          <w:szCs w:val="24"/>
          <w:lang w:val="id-ID"/>
        </w:rPr>
        <w:t>) KUHP</w:t>
      </w:r>
      <w:r w:rsidRPr="00E76F23">
        <w:rPr>
          <w:rFonts w:ascii="Arial Narrow" w:hAnsi="Arial Narrow"/>
          <w:sz w:val="24"/>
          <w:szCs w:val="24"/>
        </w:rPr>
        <w:t>, Pasal 362 KUHP,</w:t>
      </w:r>
      <w:r w:rsidRPr="00E76F23">
        <w:rPr>
          <w:rFonts w:ascii="Arial Narrow" w:hAnsi="Arial Narrow"/>
          <w:sz w:val="24"/>
          <w:szCs w:val="24"/>
          <w:lang w:val="id-ID"/>
        </w:rPr>
        <w:t xml:space="preserve"> Undang-Undang Nomor 8 Tahun 1981 tentang Hukum Acara Pidana serta peraturan perundang-undangan lain yang bersangkutan, mengadili: </w:t>
      </w:r>
      <w:r w:rsidRPr="00E76F23">
        <w:rPr>
          <w:rFonts w:ascii="Arial Narrow" w:hAnsi="Arial Narrow"/>
          <w:sz w:val="24"/>
          <w:szCs w:val="24"/>
        </w:rPr>
        <w:t xml:space="preserve">menyatakan Terdakwa Armin bin Mamat telah terbukti secara sah dan meyakinkan bersalah melakukan tindak pidana penganiayaan dengan rencana terlebih dahulu yang menyebabkan luka berat dan pencurian sebagaimana dalam dakwaan alternatif Pertama Kesatu dan Kedua Penuntut Umum; menjatuhkan pidana terhadap Terdakwa tersebut oleh karena itu dengan pidana penjara selama 3 (tiga) tahun; menetapkan masa penangkapan dan penahanan yang telah dijalani oleh Terdakwa dikurangkan seluruhnya dari pidana yang dijatuhkan; menetapkan agar Terdakwa tetap ditahan; menetapkan barang bukti berupa: menyatakan barang bukti berupa: 1 (satu) buah derigen warna merah; 1 (satu) bilah golok dengan bergagang kayu berwarna coklat (dirampas untuk dimusnahkan); 1 (satu) unit handphone Pocco X3 Pro warna phantom black dengan nomor Imei 1: 863779054670695 dan nomor Imei 2: 863779054670695 4); 1 (satu) buah kaus berwarna hijau; 1 (satu) buah box handphone Pocco X3 Pro warna phantom black dengan nomor Imei 1: 863779054670695 dan nomor Imei 2: 863779054670695 (dikembalikan kepada saksi koban Sudarmadi Bin Sutarman); 1 (satu) buah sweater warna abu-abu (dikembalikan </w:t>
      </w:r>
      <w:r w:rsidRPr="00E76F23">
        <w:rPr>
          <w:rFonts w:ascii="Arial Narrow" w:hAnsi="Arial Narrow"/>
          <w:sz w:val="24"/>
          <w:szCs w:val="24"/>
        </w:rPr>
        <w:lastRenderedPageBreak/>
        <w:t>kepada Terdakwa Armin Bin Mamat); serta membebankan kepada Terdakwa untuk membayar biaya perkara sejumlah Rp2.000,00 (dua ribu rupiah).</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 xml:space="preserve">Perbuatan pidana yang dilakukan oleh terdakwa Armin Bin Mamat menurut penulis hanya menunjuk kepada dilarangnya perbuatan, apakah orang yang melakukan perbuatan itu kemudian juga dipidana, tergantung pada soal apakah dia dalam melakukan perbuatan itu mempunyai kesalahan atau tidak, sebab di dalam hukum pidana berlaku asas </w:t>
      </w:r>
      <w:r w:rsidRPr="00E76F23">
        <w:rPr>
          <w:rFonts w:ascii="Arial Narrow" w:hAnsi="Arial Narrow"/>
          <w:i/>
          <w:sz w:val="24"/>
          <w:szCs w:val="24"/>
          <w:lang w:val="id-ID"/>
        </w:rPr>
        <w:t>geen straf zoner schuld</w:t>
      </w:r>
      <w:r w:rsidRPr="00E76F23">
        <w:rPr>
          <w:rFonts w:ascii="Arial Narrow" w:hAnsi="Arial Narrow"/>
          <w:sz w:val="24"/>
          <w:szCs w:val="24"/>
          <w:lang w:val="id-ID"/>
        </w:rPr>
        <w:t xml:space="preserve"> yang berarti tiada pidana tanpa adanya kesalahan. Berdasarkan pada prinsip tersebut, maka penjatuhan pidana sebagai wujud kesalahan yang dilakukan oleh terdakwa sudah tepat, karena nyata-nyata terdakwa melakukan kesalahan dan dengan sengaja melakukan tindak pidana.</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 xml:space="preserve">Tindak pidana penganiayaan dengan rencana terlebih dahulu yang menyebabkan luka berat </w:t>
      </w:r>
      <w:r w:rsidRPr="00E76F23">
        <w:rPr>
          <w:rFonts w:ascii="Arial Narrow" w:hAnsi="Arial Narrow"/>
          <w:sz w:val="24"/>
          <w:szCs w:val="24"/>
        </w:rPr>
        <w:t xml:space="preserve">dan pencurian </w:t>
      </w:r>
      <w:r w:rsidRPr="00E76F23">
        <w:rPr>
          <w:rFonts w:ascii="Arial Narrow" w:hAnsi="Arial Narrow"/>
          <w:sz w:val="24"/>
          <w:szCs w:val="24"/>
          <w:lang w:val="id-ID"/>
        </w:rPr>
        <w:t xml:space="preserve">berdasarkan Putusan Nomor 425/Pid.B/2023/PN.Kot dinyatakan terbukti secara sah dan bersalah, karena perbuatan yang dilakukan oleh pelaku nyata-nyata bertentangan dan melanggar ketentuan hukum yang berlaku atau yang dikenal dengan istilah delik. Delik merupakan kelakuan yang diancam dengan pidana, yang bersifat melawan hukum yang berhubungan dengan kesalahan dan dilakukan oleh orang yang mampu bertanggung jawab. Hal ini mengandung arti bahwa adanya kaitan psikis antara pelaku dan perbuatan, yaitu adanya unsur kesalahan yang dilakukan oleh pelaku, di mana pelaku dengan sengaja melakukan tindak pidana penganiayaan dengan rencana terlebih dahulu yang menyebabkan luka berat </w:t>
      </w:r>
      <w:r w:rsidRPr="00E76F23">
        <w:rPr>
          <w:rFonts w:ascii="Arial Narrow" w:hAnsi="Arial Narrow"/>
          <w:sz w:val="24"/>
          <w:szCs w:val="24"/>
        </w:rPr>
        <w:t xml:space="preserve">dan pencurian berdasarkan </w:t>
      </w:r>
      <w:r w:rsidRPr="00E76F23">
        <w:rPr>
          <w:rFonts w:ascii="Arial Narrow" w:hAnsi="Arial Narrow"/>
          <w:sz w:val="24"/>
          <w:szCs w:val="24"/>
          <w:lang w:val="id-ID"/>
        </w:rPr>
        <w:t>Putusan Nomor 425/Pid.B/2023/PN.Kot dengan maksud melampiaskan rasa tidak senang dalam hatinya, sehingga menyebabkan korban mengalami luka</w:t>
      </w:r>
      <w:r w:rsidRPr="00E76F23">
        <w:rPr>
          <w:rFonts w:ascii="Arial Narrow" w:hAnsi="Arial Narrow"/>
          <w:sz w:val="24"/>
          <w:szCs w:val="24"/>
        </w:rPr>
        <w:t xml:space="preserve"> berat dan dengan sengaja mengambil barang yang bukan miliknya</w:t>
      </w:r>
      <w:r w:rsidRPr="00E76F23">
        <w:rPr>
          <w:rFonts w:ascii="Arial Narrow" w:hAnsi="Arial Narrow"/>
          <w:sz w:val="24"/>
          <w:szCs w:val="24"/>
          <w:lang w:val="id-ID"/>
        </w:rPr>
        <w:t>.</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 xml:space="preserve">Unsur kesalahan yang melekat pada diri pelaku tindak pidana penganiayaan yang menyebabkan luka </w:t>
      </w:r>
      <w:r w:rsidRPr="00E76F23">
        <w:rPr>
          <w:rFonts w:ascii="Arial Narrow" w:hAnsi="Arial Narrow"/>
          <w:sz w:val="24"/>
          <w:szCs w:val="24"/>
        </w:rPr>
        <w:t>dan pencurian dalam</w:t>
      </w:r>
      <w:r w:rsidRPr="00E76F23">
        <w:rPr>
          <w:rFonts w:ascii="Arial Narrow" w:hAnsi="Arial Narrow"/>
          <w:sz w:val="24"/>
          <w:szCs w:val="24"/>
          <w:lang w:val="id-ID"/>
        </w:rPr>
        <w:t xml:space="preserve"> Putusan Nomor 425/Pid.B/2023/PN.Kot yaitu dapat dipertanggungjawabkan oleh pembuatnya, adanya kaitan psikis antara pembuat dan perbuatan, yaitu adanya sengaja atau kesalahan, serta tidak adanya dasar peniadaan pidana yang menghapuskan dapatnya dipertanggungjawabkan sesuatu perbuatan kepada pembuat. Dapat dikatakan bahwa</w:t>
      </w:r>
      <w:r w:rsidRPr="00E76F23">
        <w:rPr>
          <w:rFonts w:ascii="Arial Narrow" w:hAnsi="Arial Narrow"/>
          <w:bCs/>
          <w:sz w:val="24"/>
          <w:szCs w:val="24"/>
          <w:lang w:val="id-ID"/>
        </w:rPr>
        <w:t xml:space="preserve"> kesalahan mempunyai tanda sebagai hal yang tercela yang pada hakikatnya tidak mencegah kelakuan yang bersifat melawan hukum. Kemudian dijelaskan pula tentang hakikat tidak mencegah kelakuan yang bersifat melawan hukum di dalam perumusan hukum positif, di sini berarti mempunyai kesengajaan dan kealpaan yang mengarah kepada sifat melawan hukum dan kemampuan bertanggung jawab.</w:t>
      </w:r>
      <w:r>
        <w:rPr>
          <w:rFonts w:ascii="Arial Narrow" w:hAnsi="Arial Narrow"/>
          <w:sz w:val="24"/>
          <w:szCs w:val="24"/>
        </w:rPr>
        <w:t xml:space="preserve"> </w:t>
      </w:r>
      <w:r w:rsidRPr="00E76F23">
        <w:rPr>
          <w:rFonts w:ascii="Arial Narrow" w:hAnsi="Arial Narrow"/>
          <w:bCs/>
          <w:sz w:val="24"/>
          <w:szCs w:val="24"/>
          <w:lang w:val="id-ID"/>
        </w:rPr>
        <w:t xml:space="preserve">Atas dasar kemampuan bertanggung jawab tersebut maka </w:t>
      </w:r>
      <w:r w:rsidRPr="00E76F23">
        <w:rPr>
          <w:rFonts w:ascii="Arial Narrow" w:hAnsi="Arial Narrow"/>
          <w:iCs/>
          <w:sz w:val="24"/>
          <w:szCs w:val="24"/>
          <w:lang w:val="id-ID"/>
        </w:rPr>
        <w:t xml:space="preserve">terdakwa terbukti bersalah dan dijatuhi hukuman, sedangkan di persidangan tidak terdapat adanya bukti-bukti yang dapat dijadikan sebagai alasan pemaaf dan pembenar atas perbuatan terdakwa yang dapat menghapuskan kesalahannya sebagaimana dimaksud dalam Pasal 44 sampai dengan Pasal 51 KUHP, maka terdakwa harus bertanggung jawab atas perbuatannya, dan menjalani hukuman yang akan dijatuhkan setimpal dengan perbautannya. </w:t>
      </w:r>
    </w:p>
    <w:p w:rsidR="00E76F23" w:rsidRDefault="00E76F23" w:rsidP="00E76F23">
      <w:pPr>
        <w:spacing w:after="0"/>
        <w:ind w:firstLine="360"/>
        <w:jc w:val="both"/>
        <w:rPr>
          <w:rFonts w:ascii="Arial Narrow" w:hAnsi="Arial Narrow"/>
          <w:sz w:val="24"/>
          <w:szCs w:val="24"/>
          <w:lang w:val="id-ID"/>
        </w:rPr>
      </w:pPr>
      <w:r w:rsidRPr="00E76F23">
        <w:rPr>
          <w:rFonts w:ascii="Arial Narrow" w:hAnsi="Arial Narrow"/>
          <w:sz w:val="24"/>
          <w:szCs w:val="24"/>
          <w:lang w:val="id-ID"/>
        </w:rPr>
        <w:t xml:space="preserve">Berdasarkan uraian tersebut di atas dapat dianalisis bahwa </w:t>
      </w:r>
      <w:r w:rsidRPr="00E76F23">
        <w:rPr>
          <w:rFonts w:ascii="Arial Narrow" w:hAnsi="Arial Narrow"/>
          <w:bCs/>
          <w:iCs/>
          <w:sz w:val="24"/>
          <w:szCs w:val="24"/>
          <w:lang w:val="id-ID"/>
        </w:rPr>
        <w:t>pertanggungjawaban pelaku tindak pidana penganiayaan dengan rencana terlebih dahulu yang menyebabkan luka berat dan pencurian berdasarkan Putusan Nomor 425/Pid.B/2023/PN.Kot</w:t>
      </w:r>
      <w:r w:rsidRPr="00E76F23">
        <w:rPr>
          <w:rFonts w:ascii="Arial Narrow" w:hAnsi="Arial Narrow"/>
          <w:sz w:val="24"/>
          <w:szCs w:val="24"/>
          <w:lang w:val="id-ID"/>
        </w:rPr>
        <w:t xml:space="preserve"> yaitu dengan terdakwa Armin Bin Mamat terbukti secara sah dan meyakinkan bersalah melakukan </w:t>
      </w:r>
      <w:r w:rsidRPr="00E76F23">
        <w:rPr>
          <w:rFonts w:ascii="Arial Narrow" w:hAnsi="Arial Narrow"/>
          <w:sz w:val="24"/>
          <w:szCs w:val="24"/>
        </w:rPr>
        <w:t>tindak pidana penganiayaan dengan rencana terlebih dahulu yang menyebabkan luka berat dan pencurian</w:t>
      </w:r>
      <w:r w:rsidRPr="00E76F23">
        <w:rPr>
          <w:rFonts w:ascii="Arial Narrow" w:hAnsi="Arial Narrow"/>
          <w:sz w:val="24"/>
          <w:szCs w:val="24"/>
          <w:lang w:val="id-ID"/>
        </w:rPr>
        <w:t xml:space="preserve"> dan unsur-unsur dalam Pasal 35</w:t>
      </w:r>
      <w:r w:rsidRPr="00E76F23">
        <w:rPr>
          <w:rFonts w:ascii="Arial Narrow" w:hAnsi="Arial Narrow"/>
          <w:sz w:val="24"/>
          <w:szCs w:val="24"/>
        </w:rPr>
        <w:t>3</w:t>
      </w:r>
      <w:r w:rsidRPr="00E76F23">
        <w:rPr>
          <w:rFonts w:ascii="Arial Narrow" w:hAnsi="Arial Narrow"/>
          <w:sz w:val="24"/>
          <w:szCs w:val="24"/>
          <w:lang w:val="id-ID"/>
        </w:rPr>
        <w:t xml:space="preserve"> ayat (</w:t>
      </w:r>
      <w:r w:rsidRPr="00E76F23">
        <w:rPr>
          <w:rFonts w:ascii="Arial Narrow" w:hAnsi="Arial Narrow"/>
          <w:sz w:val="24"/>
          <w:szCs w:val="24"/>
        </w:rPr>
        <w:t>2</w:t>
      </w:r>
      <w:r w:rsidRPr="00E76F23">
        <w:rPr>
          <w:rFonts w:ascii="Arial Narrow" w:hAnsi="Arial Narrow"/>
          <w:sz w:val="24"/>
          <w:szCs w:val="24"/>
          <w:lang w:val="id-ID"/>
        </w:rPr>
        <w:t>)</w:t>
      </w:r>
      <w:r w:rsidRPr="00E76F23">
        <w:rPr>
          <w:rFonts w:ascii="Arial Narrow" w:hAnsi="Arial Narrow"/>
          <w:sz w:val="24"/>
          <w:szCs w:val="24"/>
        </w:rPr>
        <w:t xml:space="preserve"> KUHP dan Pasal 362 KUHP</w:t>
      </w:r>
      <w:r w:rsidRPr="00E76F23">
        <w:rPr>
          <w:rFonts w:ascii="Arial Narrow" w:hAnsi="Arial Narrow"/>
          <w:sz w:val="24"/>
          <w:szCs w:val="24"/>
          <w:lang w:val="id-ID"/>
        </w:rPr>
        <w:t xml:space="preserve">, antara lain </w:t>
      </w:r>
      <w:r w:rsidRPr="00E76F23">
        <w:rPr>
          <w:rFonts w:ascii="Arial Narrow" w:hAnsi="Arial Narrow"/>
          <w:sz w:val="24"/>
          <w:szCs w:val="24"/>
        </w:rPr>
        <w:t xml:space="preserve">barang siapa, melakukan penganiayaan, </w:t>
      </w:r>
      <w:r w:rsidRPr="00E76F23">
        <w:rPr>
          <w:rFonts w:ascii="Arial Narrow" w:hAnsi="Arial Narrow"/>
          <w:sz w:val="24"/>
          <w:szCs w:val="24"/>
        </w:rPr>
        <w:lastRenderedPageBreak/>
        <w:t>dengan rencana terlebih dahulu, mengakibatkan luka berat dan mengambil sesuatu barang yang seluruhnya atau sebagian kepunyaan orang lain Dengan maksud untuk dimiliki secara melawan hukum</w:t>
      </w:r>
      <w:r w:rsidRPr="00E76F23">
        <w:rPr>
          <w:rFonts w:ascii="Arial Narrow" w:hAnsi="Arial Narrow"/>
          <w:sz w:val="24"/>
          <w:szCs w:val="24"/>
          <w:lang w:val="id-ID"/>
        </w:rPr>
        <w:t xml:space="preserve">. </w:t>
      </w:r>
    </w:p>
    <w:p w:rsidR="00E76F23" w:rsidRPr="00585373" w:rsidRDefault="00E76F23" w:rsidP="00585373">
      <w:pPr>
        <w:spacing w:after="0"/>
        <w:ind w:firstLine="360"/>
        <w:jc w:val="both"/>
        <w:rPr>
          <w:rFonts w:ascii="Arial Narrow" w:hAnsi="Arial Narrow"/>
          <w:sz w:val="24"/>
          <w:szCs w:val="24"/>
          <w:lang w:val="id-ID"/>
        </w:rPr>
      </w:pPr>
      <w:r w:rsidRPr="00E76F23">
        <w:rPr>
          <w:rFonts w:ascii="Arial Narrow" w:hAnsi="Arial Narrow"/>
          <w:sz w:val="24"/>
          <w:szCs w:val="24"/>
          <w:lang w:val="id-ID"/>
        </w:rPr>
        <w:t xml:space="preserve">Majelis hakim dalam putusannya juga menyatakan menghukum terdakwa oleh karena itu dengan menjatuhkan pidana terhadap terdakwa dengan pidana penjara selama 3 (tiga) tahun. Putusan pidana penjara tersebut dianggap sudah memenuhi rasa keadilan baik bagi korban maupun terdakwa, hal ini dapat dilihat dari putusan yang dijatuhkan oleh Majelis Hakim apabila dibandingkan dengan Tuntutan Penuntut Umum yaitu pidana penjara selama </w:t>
      </w:r>
      <w:r w:rsidRPr="00E76F23">
        <w:rPr>
          <w:rFonts w:ascii="Arial Narrow" w:hAnsi="Arial Narrow"/>
          <w:sz w:val="24"/>
          <w:szCs w:val="24"/>
        </w:rPr>
        <w:t>2</w:t>
      </w:r>
      <w:r w:rsidRPr="00E76F23">
        <w:rPr>
          <w:rFonts w:ascii="Arial Narrow" w:hAnsi="Arial Narrow"/>
          <w:sz w:val="24"/>
          <w:szCs w:val="24"/>
          <w:lang w:val="id-ID"/>
        </w:rPr>
        <w:t xml:space="preserve"> (</w:t>
      </w:r>
      <w:r w:rsidRPr="00E76F23">
        <w:rPr>
          <w:rFonts w:ascii="Arial Narrow" w:hAnsi="Arial Narrow"/>
          <w:sz w:val="24"/>
          <w:szCs w:val="24"/>
        </w:rPr>
        <w:t>dua</w:t>
      </w:r>
      <w:r w:rsidRPr="00E76F23">
        <w:rPr>
          <w:rFonts w:ascii="Arial Narrow" w:hAnsi="Arial Narrow"/>
          <w:sz w:val="24"/>
          <w:szCs w:val="24"/>
          <w:lang w:val="id-ID"/>
        </w:rPr>
        <w:t>) tahun, sehingga penjatuhan pidana bagi pelaku penganiayaan</w:t>
      </w:r>
      <w:r w:rsidRPr="00E76F23">
        <w:rPr>
          <w:rFonts w:ascii="Arial Narrow" w:hAnsi="Arial Narrow"/>
          <w:sz w:val="24"/>
          <w:szCs w:val="24"/>
        </w:rPr>
        <w:t xml:space="preserve"> dengan rencana terlebih dahulu yang menyebabkan luka berat dan pencurian</w:t>
      </w:r>
      <w:r w:rsidRPr="00E76F23">
        <w:rPr>
          <w:rFonts w:ascii="Arial Narrow" w:hAnsi="Arial Narrow"/>
          <w:sz w:val="24"/>
          <w:szCs w:val="24"/>
          <w:lang w:val="id-ID"/>
        </w:rPr>
        <w:t xml:space="preserve"> dianggap mampu memberikan efek jera bagi pelaku maupun masyarakat di masa yang akan datang.</w:t>
      </w:r>
    </w:p>
    <w:p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4.  Penutup</w:t>
      </w:r>
    </w:p>
    <w:p w:rsidR="00E76F23" w:rsidRPr="00E76F23" w:rsidRDefault="00E76F23" w:rsidP="00E76F23">
      <w:pPr>
        <w:ind w:firstLine="720"/>
        <w:jc w:val="both"/>
        <w:rPr>
          <w:rFonts w:ascii="Arial Narrow" w:hAnsi="Arial Narrow" w:cs="Times New Roman"/>
          <w:sz w:val="24"/>
          <w:szCs w:val="24"/>
        </w:rPr>
      </w:pPr>
      <w:r w:rsidRPr="00E76F23">
        <w:rPr>
          <w:rFonts w:ascii="Arial Narrow" w:hAnsi="Arial Narrow"/>
          <w:sz w:val="24"/>
        </w:rPr>
        <w:t>Berdasarkan hasil penelitian dan pembahasan pada Bab sebelumnya, maka dapat ditarik beberapa kesimpulan, yaitu: Faktor penyebab pelaku melakukan tindak pidana penganiayaan dengan rencana terlebih dahulu yang menyebabkan luka berat dan pencurian berdasarkan Putusan Nomor 425/Pid.B/2023/PN.Kot antara lain</w:t>
      </w:r>
      <w:r w:rsidRPr="00E76F23">
        <w:rPr>
          <w:rFonts w:ascii="Arial Narrow" w:hAnsi="Arial Narrow"/>
          <w:iCs/>
        </w:rPr>
        <w:t xml:space="preserve"> </w:t>
      </w:r>
      <w:r w:rsidRPr="00E76F23">
        <w:rPr>
          <w:rFonts w:ascii="Arial Narrow" w:hAnsi="Arial Narrow"/>
          <w:sz w:val="24"/>
        </w:rPr>
        <w:t>faktor keluarga, rasa sakit hati, lingkungan per</w:t>
      </w:r>
      <w:r>
        <w:rPr>
          <w:rFonts w:ascii="Arial Narrow" w:hAnsi="Arial Narrow"/>
          <w:sz w:val="24"/>
        </w:rPr>
        <w:t xml:space="preserve">gaulan, pendidikan, dan ekonomi dan </w:t>
      </w:r>
      <w:r w:rsidRPr="00E76F23">
        <w:rPr>
          <w:rFonts w:ascii="Arial Narrow" w:hAnsi="Arial Narrow"/>
          <w:iCs/>
          <w:sz w:val="24"/>
        </w:rPr>
        <w:t xml:space="preserve">Pertanggungjawaban pelaku tindak pidana penganiayaan dengan rencana terlebih dahulu yang menyebabkan luka berat dan pencurian berdasarkan Putusan Nomor </w:t>
      </w:r>
      <w:r w:rsidRPr="00E76F23">
        <w:rPr>
          <w:rFonts w:ascii="Arial Narrow" w:hAnsi="Arial Narrow"/>
          <w:sz w:val="24"/>
        </w:rPr>
        <w:t>425/Pid.B/2023/PN.Kot yaitu terbukti secara sah dan meyakinkan bersalah melakukan tindak pidana penganiayaan dengan rencana terlebih dahulu yang menyebabkan luka berat dan pencurian sebagaimana diancam dalam Pasal 353 ayat (2) KUHP dan Pasal 362 KUHP dan menghukum terdakwa oleh karena itu dengan menjatuhkan pidana terhadap terdakwa dengan pidana penjara selama 3 (tiga) tahun.</w:t>
      </w:r>
    </w:p>
    <w:p w:rsidR="002421A7" w:rsidRPr="00E57D8C" w:rsidRDefault="002421A7" w:rsidP="002421A7">
      <w:pPr>
        <w:widowControl w:val="0"/>
        <w:spacing w:after="0" w:line="240" w:lineRule="auto"/>
        <w:ind w:right="88" w:firstLine="720"/>
        <w:jc w:val="both"/>
        <w:rPr>
          <w:rFonts w:ascii="Arial Narrow" w:eastAsia="Book Antiqua" w:hAnsi="Arial Narrow" w:cs="Book Antiqua"/>
          <w:sz w:val="24"/>
          <w:szCs w:val="24"/>
        </w:rPr>
      </w:pPr>
    </w:p>
    <w:p w:rsidR="002421A7" w:rsidRPr="00E57D8C" w:rsidRDefault="002421A7" w:rsidP="00585373">
      <w:pPr>
        <w:pBdr>
          <w:top w:val="nil"/>
          <w:left w:val="nil"/>
          <w:bottom w:val="nil"/>
          <w:right w:val="nil"/>
          <w:between w:val="nil"/>
        </w:pBdr>
        <w:spacing w:before="120" w:after="0" w:line="240" w:lineRule="auto"/>
        <w:ind w:left="200" w:hanging="200"/>
        <w:jc w:val="center"/>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rsidR="00D148F3" w:rsidRDefault="00D148F3" w:rsidP="00D148F3">
      <w:pPr>
        <w:pBdr>
          <w:top w:val="nil"/>
          <w:left w:val="nil"/>
          <w:bottom w:val="nil"/>
          <w:right w:val="nil"/>
          <w:between w:val="nil"/>
        </w:pBdr>
        <w:spacing w:after="0"/>
        <w:ind w:left="720" w:hanging="720"/>
        <w:jc w:val="both"/>
        <w:rPr>
          <w:rFonts w:ascii="Arial Narrow" w:eastAsia="Book Antiqua" w:hAnsi="Arial Narrow" w:cs="Book Antiqua"/>
          <w:color w:val="000000"/>
          <w:sz w:val="24"/>
          <w:szCs w:val="24"/>
        </w:rPr>
      </w:pPr>
    </w:p>
    <w:p w:rsidR="00D51C85" w:rsidRDefault="00D51C85" w:rsidP="004E29D7">
      <w:pPr>
        <w:spacing w:line="240" w:lineRule="auto"/>
        <w:jc w:val="both"/>
        <w:rPr>
          <w:rFonts w:ascii="Arial Narrow" w:eastAsia="Times New Roman" w:hAnsi="Arial Narrow" w:cs="Times New Roman"/>
          <w:sz w:val="24"/>
          <w:szCs w:val="24"/>
          <w:lang w:eastAsia="en-US"/>
        </w:rPr>
      </w:pPr>
      <w:r w:rsidRPr="00D51C85">
        <w:rPr>
          <w:rFonts w:ascii="Arial Narrow" w:hAnsi="Arial Narrow"/>
          <w:sz w:val="24"/>
          <w:szCs w:val="24"/>
        </w:rPr>
        <w:t xml:space="preserve">Amin, R., Efrianto, G., Iskandar, O., &amp; Tama, A. P. (2023). Penyuluhan Hukum Tentang Peraturan Polri Nomor 8 Tahun 2021 Tentang Penanganan Tindak Pidana Berdasarkan Keadilan Restoratif. </w:t>
      </w:r>
      <w:r w:rsidRPr="00D51C85">
        <w:rPr>
          <w:rFonts w:ascii="Arial Narrow" w:hAnsi="Arial Narrow"/>
          <w:i/>
          <w:iCs/>
          <w:sz w:val="24"/>
          <w:szCs w:val="24"/>
        </w:rPr>
        <w:t>Abdi Bhara: Jurnal Pengabdian Kepada Masyarakat</w:t>
      </w:r>
      <w:r w:rsidRPr="00D51C85">
        <w:rPr>
          <w:rFonts w:ascii="Arial Narrow" w:hAnsi="Arial Narrow"/>
          <w:sz w:val="24"/>
          <w:szCs w:val="24"/>
        </w:rPr>
        <w:t xml:space="preserve">, </w:t>
      </w:r>
      <w:r w:rsidRPr="00D51C85">
        <w:rPr>
          <w:rFonts w:ascii="Arial Narrow" w:hAnsi="Arial Narrow"/>
          <w:i/>
          <w:iCs/>
          <w:sz w:val="24"/>
          <w:szCs w:val="24"/>
        </w:rPr>
        <w:t>2</w:t>
      </w:r>
      <w:r w:rsidRPr="00D51C85">
        <w:rPr>
          <w:rFonts w:ascii="Arial Narrow" w:hAnsi="Arial Narrow"/>
          <w:sz w:val="24"/>
          <w:szCs w:val="24"/>
        </w:rPr>
        <w:t>(1).</w:t>
      </w:r>
      <w:r w:rsidRPr="004E29D7">
        <w:rPr>
          <w:rFonts w:ascii="Arial Narrow" w:eastAsia="Times New Roman" w:hAnsi="Arial Narrow" w:cs="Times New Roman"/>
          <w:sz w:val="24"/>
          <w:szCs w:val="24"/>
          <w:lang w:eastAsia="en-US"/>
        </w:rPr>
        <w:t xml:space="preserve"> </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Andi Hamzah (2016), </w:t>
      </w:r>
      <w:r w:rsidRPr="00B006DD">
        <w:rPr>
          <w:rFonts w:ascii="Arial Narrow" w:eastAsia="Times New Roman" w:hAnsi="Arial Narrow" w:cs="Times New Roman"/>
          <w:i/>
          <w:iCs/>
          <w:sz w:val="24"/>
          <w:szCs w:val="24"/>
          <w:lang w:eastAsia="en-US"/>
        </w:rPr>
        <w:t>Hukum Acara Pidana Indonesia</w:t>
      </w:r>
      <w:r w:rsidRPr="00B006DD">
        <w:rPr>
          <w:rFonts w:ascii="Arial Narrow" w:eastAsia="Times New Roman" w:hAnsi="Arial Narrow" w:cs="Times New Roman"/>
          <w:sz w:val="24"/>
          <w:szCs w:val="24"/>
          <w:lang w:eastAsia="en-US"/>
        </w:rPr>
        <w:t>, Jakarta: Sinar Grafika</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Andi Hamzah</w:t>
      </w:r>
      <w:r>
        <w:rPr>
          <w:rFonts w:ascii="Arial Narrow" w:eastAsia="Times New Roman" w:hAnsi="Arial Narrow" w:cs="Times New Roman"/>
          <w:sz w:val="24"/>
          <w:szCs w:val="24"/>
          <w:lang w:eastAsia="en-US"/>
        </w:rPr>
        <w:t xml:space="preserve"> (2016)</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Hukum Pidana Indonesia</w:t>
      </w:r>
      <w:r w:rsidRPr="004E29D7">
        <w:rPr>
          <w:rFonts w:ascii="Arial Narrow" w:eastAsia="Times New Roman" w:hAnsi="Arial Narrow" w:cs="Times New Roman"/>
          <w:sz w:val="24"/>
          <w:szCs w:val="24"/>
          <w:lang w:eastAsia="en-US"/>
        </w:rPr>
        <w:t>, Jakarta</w:t>
      </w:r>
      <w:r>
        <w:rPr>
          <w:rFonts w:ascii="Arial Narrow" w:eastAsia="Times New Roman" w:hAnsi="Arial Narrow" w:cs="Times New Roman"/>
          <w:sz w:val="24"/>
          <w:szCs w:val="24"/>
          <w:lang w:eastAsia="en-US"/>
        </w:rPr>
        <w:t>: Sinar Grafika.</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Barda Nawawi Arief</w:t>
      </w:r>
      <w:r>
        <w:rPr>
          <w:rFonts w:ascii="Arial Narrow" w:eastAsia="Times New Roman" w:hAnsi="Arial Narrow" w:cs="Times New Roman"/>
          <w:sz w:val="24"/>
          <w:szCs w:val="24"/>
          <w:lang w:eastAsia="en-US"/>
        </w:rPr>
        <w:t xml:space="preserve"> (2014)</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Bunga Rampai Kebijakan Hukum Pidana</w:t>
      </w:r>
      <w:r w:rsidRPr="004E29D7">
        <w:rPr>
          <w:rFonts w:ascii="Arial Narrow" w:eastAsia="Times New Roman" w:hAnsi="Arial Narrow" w:cs="Times New Roman"/>
          <w:sz w:val="24"/>
          <w:szCs w:val="24"/>
          <w:lang w:eastAsia="en-US"/>
        </w:rPr>
        <w:t>, Bandung: Citra Aditya Bakti</w:t>
      </w:r>
      <w:proofErr w:type="gramStart"/>
      <w:r w:rsidRPr="004E29D7">
        <w:rPr>
          <w:rFonts w:ascii="Arial Narrow" w:eastAsia="Times New Roman" w:hAnsi="Arial Narrow" w:cs="Times New Roman"/>
          <w:sz w:val="24"/>
          <w:szCs w:val="24"/>
          <w:lang w:eastAsia="en-US"/>
        </w:rPr>
        <w:t>,</w:t>
      </w:r>
      <w:r>
        <w:rPr>
          <w:rFonts w:ascii="Arial Narrow" w:eastAsia="Times New Roman" w:hAnsi="Arial Narrow" w:cs="Times New Roman"/>
          <w:sz w:val="24"/>
          <w:szCs w:val="24"/>
          <w:lang w:eastAsia="en-US"/>
        </w:rPr>
        <w:t>.</w:t>
      </w:r>
      <w:proofErr w:type="gramEnd"/>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 xml:space="preserve">Hasil wawancara dengan </w:t>
      </w:r>
      <w:proofErr w:type="gramStart"/>
      <w:r w:rsidRPr="004E29D7">
        <w:rPr>
          <w:rFonts w:ascii="Arial Narrow" w:eastAsia="Times New Roman" w:hAnsi="Arial Narrow" w:cs="Times New Roman"/>
          <w:sz w:val="24"/>
          <w:szCs w:val="24"/>
          <w:lang w:eastAsia="en-US"/>
        </w:rPr>
        <w:t>Dwi</w:t>
      </w:r>
      <w:proofErr w:type="gramEnd"/>
      <w:r w:rsidRPr="004E29D7">
        <w:rPr>
          <w:rFonts w:ascii="Arial Narrow" w:eastAsia="Times New Roman" w:hAnsi="Arial Narrow" w:cs="Times New Roman"/>
          <w:sz w:val="24"/>
          <w:szCs w:val="24"/>
          <w:lang w:eastAsia="en-US"/>
        </w:rPr>
        <w:t xml:space="preserve"> Ariyanto, Penyidik Polres Tanggamus. </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 xml:space="preserve">Hasil wawancara dengan Murdian, Hakim Pengadilan Negeri Kota Agung. </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Kartini Kartono</w:t>
      </w:r>
      <w:r>
        <w:rPr>
          <w:rFonts w:ascii="Arial Narrow" w:eastAsia="Times New Roman" w:hAnsi="Arial Narrow" w:cs="Times New Roman"/>
          <w:sz w:val="24"/>
          <w:szCs w:val="24"/>
          <w:lang w:eastAsia="en-US"/>
        </w:rPr>
        <w:t xml:space="preserve"> (2015)</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Patologi Sosial</w:t>
      </w:r>
      <w:r w:rsidRPr="004E29D7">
        <w:rPr>
          <w:rFonts w:ascii="Arial Narrow" w:eastAsia="Times New Roman" w:hAnsi="Arial Narrow" w:cs="Times New Roman"/>
          <w:sz w:val="24"/>
          <w:szCs w:val="24"/>
          <w:lang w:eastAsia="en-US"/>
        </w:rPr>
        <w:t>, Jakarta: Raja Grafindo Persada</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Kitab Undang-Undang Hukum Pidana (KUHP). </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KUHP Pasal 44–51. </w:t>
      </w:r>
    </w:p>
    <w:p w:rsidR="00D51C85"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lastRenderedPageBreak/>
        <w:t xml:space="preserve">M. Yahya Harahap (2015), </w:t>
      </w:r>
      <w:r w:rsidRPr="00B006DD">
        <w:rPr>
          <w:rFonts w:ascii="Arial Narrow" w:eastAsia="Times New Roman" w:hAnsi="Arial Narrow" w:cs="Times New Roman"/>
          <w:i/>
          <w:iCs/>
          <w:sz w:val="24"/>
          <w:szCs w:val="24"/>
          <w:lang w:eastAsia="en-US"/>
        </w:rPr>
        <w:t>Pembahasan Permasalahan dan Penerapan KUHAP</w:t>
      </w:r>
      <w:r w:rsidRPr="00B006DD">
        <w:rPr>
          <w:rFonts w:ascii="Arial Narrow" w:eastAsia="Times New Roman" w:hAnsi="Arial Narrow" w:cs="Times New Roman"/>
          <w:sz w:val="24"/>
          <w:szCs w:val="24"/>
          <w:lang w:eastAsia="en-US"/>
        </w:rPr>
        <w:t>, Jakarta: Sinar Grafika.</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Moeljatno (2008), </w:t>
      </w:r>
      <w:r w:rsidRPr="00B006DD">
        <w:rPr>
          <w:rFonts w:ascii="Arial Narrow" w:eastAsia="Times New Roman" w:hAnsi="Arial Narrow" w:cs="Times New Roman"/>
          <w:i/>
          <w:iCs/>
          <w:sz w:val="24"/>
          <w:szCs w:val="24"/>
          <w:lang w:eastAsia="en-US"/>
        </w:rPr>
        <w:t>Asas-Asas Hukum Pidana</w:t>
      </w:r>
      <w:r w:rsidRPr="00B006DD">
        <w:rPr>
          <w:rFonts w:ascii="Arial Narrow" w:eastAsia="Times New Roman" w:hAnsi="Arial Narrow" w:cs="Times New Roman"/>
          <w:sz w:val="24"/>
          <w:szCs w:val="24"/>
          <w:lang w:eastAsia="en-US"/>
        </w:rPr>
        <w:t xml:space="preserve">, Jakarta: Rineka Cipta, </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Moeljatno</w:t>
      </w:r>
      <w:r>
        <w:rPr>
          <w:rFonts w:ascii="Arial Narrow" w:eastAsia="Times New Roman" w:hAnsi="Arial Narrow" w:cs="Times New Roman"/>
          <w:sz w:val="24"/>
          <w:szCs w:val="24"/>
          <w:lang w:eastAsia="en-US"/>
        </w:rPr>
        <w:t xml:space="preserve"> (2008)</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Asas-Asas Hukum Pidana</w:t>
      </w:r>
      <w:r w:rsidRPr="004E29D7">
        <w:rPr>
          <w:rFonts w:ascii="Arial Narrow" w:eastAsia="Times New Roman" w:hAnsi="Arial Narrow" w:cs="Times New Roman"/>
          <w:sz w:val="24"/>
          <w:szCs w:val="24"/>
          <w:lang w:eastAsia="en-US"/>
        </w:rPr>
        <w:t>, Jakarta</w:t>
      </w:r>
      <w:r>
        <w:rPr>
          <w:rFonts w:ascii="Arial Narrow" w:eastAsia="Times New Roman" w:hAnsi="Arial Narrow" w:cs="Times New Roman"/>
          <w:sz w:val="24"/>
          <w:szCs w:val="24"/>
          <w:lang w:eastAsia="en-US"/>
        </w:rPr>
        <w:t>: Rineka Cipta.</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Muladi dan Barda Nawawi Arief (2010), </w:t>
      </w:r>
      <w:r w:rsidRPr="00B006DD">
        <w:rPr>
          <w:rFonts w:ascii="Arial Narrow" w:eastAsia="Times New Roman" w:hAnsi="Arial Narrow" w:cs="Times New Roman"/>
          <w:i/>
          <w:iCs/>
          <w:sz w:val="24"/>
          <w:szCs w:val="24"/>
          <w:lang w:eastAsia="en-US"/>
        </w:rPr>
        <w:t>Teori-Teori dan Kebijakan Pidana</w:t>
      </w:r>
      <w:r w:rsidRPr="00B006DD">
        <w:rPr>
          <w:rFonts w:ascii="Arial Narrow" w:eastAsia="Times New Roman" w:hAnsi="Arial Narrow" w:cs="Times New Roman"/>
          <w:sz w:val="24"/>
          <w:szCs w:val="24"/>
          <w:lang w:eastAsia="en-US"/>
        </w:rPr>
        <w:t xml:space="preserve">, Bandung: Alumni </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Peraturan Kepala Kepolisian Republik Indonesia Nomor 6 Tahun 2019. </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Putusan Nomor 425/Pid.B/2023/PN.Kot.</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R. Soesilo (2018), </w:t>
      </w:r>
      <w:r w:rsidRPr="00B006DD">
        <w:rPr>
          <w:rFonts w:ascii="Arial Narrow" w:eastAsia="Times New Roman" w:hAnsi="Arial Narrow" w:cs="Times New Roman"/>
          <w:i/>
          <w:iCs/>
          <w:sz w:val="24"/>
          <w:szCs w:val="24"/>
          <w:lang w:eastAsia="en-US"/>
        </w:rPr>
        <w:t>Kitab Undang-Undang Hukum Pidana (KUHP) Serta Komentar</w:t>
      </w:r>
      <w:r w:rsidRPr="00B006DD">
        <w:rPr>
          <w:rFonts w:ascii="Arial Narrow" w:eastAsia="Times New Roman" w:hAnsi="Arial Narrow" w:cs="Times New Roman"/>
          <w:sz w:val="24"/>
          <w:szCs w:val="24"/>
          <w:lang w:eastAsia="en-US"/>
        </w:rPr>
        <w:t xml:space="preserve">, Bogor: Politeia </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R. Soesilo</w:t>
      </w:r>
      <w:r>
        <w:rPr>
          <w:rFonts w:ascii="Arial Narrow" w:eastAsia="Times New Roman" w:hAnsi="Arial Narrow" w:cs="Times New Roman"/>
          <w:sz w:val="24"/>
          <w:szCs w:val="24"/>
          <w:lang w:eastAsia="en-US"/>
        </w:rPr>
        <w:t xml:space="preserve"> (2018)</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KUHP Serta Komentar-Komentarnya</w:t>
      </w:r>
      <w:r w:rsidRPr="004E29D7">
        <w:rPr>
          <w:rFonts w:ascii="Arial Narrow" w:eastAsia="Times New Roman" w:hAnsi="Arial Narrow" w:cs="Times New Roman"/>
          <w:sz w:val="24"/>
          <w:szCs w:val="24"/>
          <w:lang w:eastAsia="en-US"/>
        </w:rPr>
        <w:t>, B</w:t>
      </w:r>
      <w:r>
        <w:rPr>
          <w:rFonts w:ascii="Arial Narrow" w:eastAsia="Times New Roman" w:hAnsi="Arial Narrow" w:cs="Times New Roman"/>
          <w:sz w:val="24"/>
          <w:szCs w:val="24"/>
          <w:lang w:eastAsia="en-US"/>
        </w:rPr>
        <w:t>ogor: Politeia.</w:t>
      </w:r>
    </w:p>
    <w:p w:rsidR="00D51C85" w:rsidRPr="004E29D7" w:rsidRDefault="00D51C85" w:rsidP="004E29D7">
      <w:pPr>
        <w:spacing w:line="240" w:lineRule="auto"/>
        <w:jc w:val="both"/>
        <w:rPr>
          <w:rFonts w:ascii="Arial Narrow" w:eastAsia="Times New Roman" w:hAnsi="Arial Narrow" w:cs="Times New Roman"/>
          <w:sz w:val="24"/>
          <w:szCs w:val="24"/>
          <w:lang w:eastAsia="en-US"/>
        </w:rPr>
      </w:pPr>
      <w:r w:rsidRPr="00D51C85">
        <w:rPr>
          <w:rFonts w:ascii="Arial Narrow" w:hAnsi="Arial Narrow"/>
          <w:sz w:val="24"/>
          <w:szCs w:val="24"/>
        </w:rPr>
        <w:t xml:space="preserve">Raflenchyo, M., Rifai, E., &amp; Raisa Monica, D. (2023). Pertanggungjawaban Pidana Pelaku TindakPidana Penganiayaan yang Mengakibatkan Kematian. </w:t>
      </w:r>
      <w:r w:rsidRPr="00D51C85">
        <w:rPr>
          <w:rFonts w:ascii="Arial Narrow" w:hAnsi="Arial Narrow"/>
          <w:i/>
          <w:iCs/>
          <w:sz w:val="24"/>
          <w:szCs w:val="24"/>
        </w:rPr>
        <w:t>ULIL ALBAB: Jurnal Ilmiah Multidisplin</w:t>
      </w:r>
      <w:r w:rsidRPr="00D51C85">
        <w:rPr>
          <w:rFonts w:ascii="Arial Narrow" w:hAnsi="Arial Narrow"/>
          <w:sz w:val="24"/>
          <w:szCs w:val="24"/>
        </w:rPr>
        <w:t xml:space="preserve">, </w:t>
      </w:r>
      <w:r w:rsidRPr="00D51C85">
        <w:rPr>
          <w:rFonts w:ascii="Arial Narrow" w:hAnsi="Arial Narrow"/>
          <w:i/>
          <w:iCs/>
          <w:sz w:val="24"/>
          <w:szCs w:val="24"/>
        </w:rPr>
        <w:t>2</w:t>
      </w:r>
      <w:r w:rsidRPr="00D51C85">
        <w:rPr>
          <w:rFonts w:ascii="Arial Narrow" w:hAnsi="Arial Narrow"/>
          <w:sz w:val="24"/>
          <w:szCs w:val="24"/>
        </w:rPr>
        <w:t>(2), 433-441.</w:t>
      </w:r>
    </w:p>
    <w:p w:rsidR="00D51C85" w:rsidRDefault="00D51C85" w:rsidP="004E29D7">
      <w:pPr>
        <w:spacing w:line="240" w:lineRule="auto"/>
        <w:jc w:val="both"/>
        <w:rPr>
          <w:rFonts w:ascii="Arial Narrow" w:hAnsi="Arial Narrow"/>
          <w:sz w:val="24"/>
          <w:szCs w:val="24"/>
        </w:rPr>
      </w:pPr>
      <w:r w:rsidRPr="00D51C85">
        <w:rPr>
          <w:rFonts w:ascii="Arial Narrow" w:hAnsi="Arial Narrow"/>
          <w:sz w:val="24"/>
          <w:szCs w:val="24"/>
        </w:rPr>
        <w:t>Sitompul, A. (2022). Metode Penelitian Hukum Normatif (Strategi Praktis Penulisan Skripsi, Tesis, Disertasi).</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Soerjono Soekanto</w:t>
      </w:r>
      <w:r>
        <w:rPr>
          <w:rFonts w:ascii="Arial Narrow" w:eastAsia="Times New Roman" w:hAnsi="Arial Narrow" w:cs="Times New Roman"/>
          <w:sz w:val="24"/>
          <w:szCs w:val="24"/>
          <w:lang w:eastAsia="en-US"/>
        </w:rPr>
        <w:t xml:space="preserve"> (2019)</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Faktor-Faktor yang Mempengaruhi Penegakan Hukum</w:t>
      </w:r>
      <w:r w:rsidRPr="004E29D7">
        <w:rPr>
          <w:rFonts w:ascii="Arial Narrow" w:eastAsia="Times New Roman" w:hAnsi="Arial Narrow" w:cs="Times New Roman"/>
          <w:sz w:val="24"/>
          <w:szCs w:val="24"/>
          <w:lang w:eastAsia="en-US"/>
        </w:rPr>
        <w:t>, Jakarta</w:t>
      </w:r>
      <w:r>
        <w:rPr>
          <w:rFonts w:ascii="Arial Narrow" w:eastAsia="Times New Roman" w:hAnsi="Arial Narrow" w:cs="Times New Roman"/>
          <w:sz w:val="24"/>
          <w:szCs w:val="24"/>
          <w:lang w:eastAsia="en-US"/>
        </w:rPr>
        <w:t>: Rajawali Pers.</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Sudarto (2013), </w:t>
      </w:r>
      <w:r w:rsidRPr="00B006DD">
        <w:rPr>
          <w:rFonts w:ascii="Arial Narrow" w:eastAsia="Times New Roman" w:hAnsi="Arial Narrow" w:cs="Times New Roman"/>
          <w:i/>
          <w:iCs/>
          <w:sz w:val="24"/>
          <w:szCs w:val="24"/>
          <w:lang w:eastAsia="en-US"/>
        </w:rPr>
        <w:t>Hukum dan Hukum Pidana</w:t>
      </w:r>
      <w:r w:rsidRPr="00B006DD">
        <w:rPr>
          <w:rFonts w:ascii="Arial Narrow" w:eastAsia="Times New Roman" w:hAnsi="Arial Narrow" w:cs="Times New Roman"/>
          <w:sz w:val="24"/>
          <w:szCs w:val="24"/>
          <w:lang w:eastAsia="en-US"/>
        </w:rPr>
        <w:t>, Bandung: Alumni.</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Sudarto</w:t>
      </w:r>
      <w:r>
        <w:rPr>
          <w:rFonts w:ascii="Arial Narrow" w:eastAsia="Times New Roman" w:hAnsi="Arial Narrow" w:cs="Times New Roman"/>
          <w:sz w:val="24"/>
          <w:szCs w:val="24"/>
          <w:lang w:eastAsia="en-US"/>
        </w:rPr>
        <w:t xml:space="preserve"> (2013)</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Hukum dan Hukum Pidana</w:t>
      </w:r>
      <w:r w:rsidRPr="004E29D7">
        <w:rPr>
          <w:rFonts w:ascii="Arial Narrow" w:eastAsia="Times New Roman" w:hAnsi="Arial Narrow" w:cs="Times New Roman"/>
          <w:sz w:val="24"/>
          <w:szCs w:val="24"/>
          <w:lang w:eastAsia="en-US"/>
        </w:rPr>
        <w:t xml:space="preserve">, </w:t>
      </w:r>
      <w:r>
        <w:rPr>
          <w:rFonts w:ascii="Arial Narrow" w:eastAsia="Times New Roman" w:hAnsi="Arial Narrow" w:cs="Times New Roman"/>
          <w:sz w:val="24"/>
          <w:szCs w:val="24"/>
          <w:lang w:eastAsia="en-US"/>
        </w:rPr>
        <w:t>Bandung: Alumni.</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Sudikno Mertokusumo (2014), </w:t>
      </w:r>
      <w:r w:rsidRPr="00B006DD">
        <w:rPr>
          <w:rFonts w:ascii="Arial Narrow" w:eastAsia="Times New Roman" w:hAnsi="Arial Narrow" w:cs="Times New Roman"/>
          <w:i/>
          <w:iCs/>
          <w:sz w:val="24"/>
          <w:szCs w:val="24"/>
          <w:lang w:eastAsia="en-US"/>
        </w:rPr>
        <w:t>Hukum Acara Perdata Indonesia</w:t>
      </w:r>
      <w:r w:rsidRPr="00B006DD">
        <w:rPr>
          <w:rFonts w:ascii="Arial Narrow" w:eastAsia="Times New Roman" w:hAnsi="Arial Narrow" w:cs="Times New Roman"/>
          <w:sz w:val="24"/>
          <w:szCs w:val="24"/>
          <w:lang w:eastAsia="en-US"/>
        </w:rPr>
        <w:t>, Yogyakarta: Liberty.</w:t>
      </w:r>
    </w:p>
    <w:p w:rsidR="00D51C85" w:rsidRDefault="00D51C85" w:rsidP="004E29D7">
      <w:pPr>
        <w:spacing w:line="240" w:lineRule="auto"/>
        <w:jc w:val="both"/>
        <w:rPr>
          <w:rFonts w:ascii="Arial Narrow" w:eastAsia="Times New Roman" w:hAnsi="Arial Narrow" w:cs="Times New Roman"/>
          <w:sz w:val="24"/>
          <w:szCs w:val="24"/>
          <w:lang w:eastAsia="en-US"/>
        </w:rPr>
      </w:pPr>
      <w:r w:rsidRPr="004E29D7">
        <w:rPr>
          <w:rFonts w:ascii="Arial Narrow" w:eastAsia="Times New Roman" w:hAnsi="Arial Narrow" w:cs="Times New Roman"/>
          <w:sz w:val="24"/>
          <w:szCs w:val="24"/>
          <w:lang w:eastAsia="en-US"/>
        </w:rPr>
        <w:t>Topo Santoso</w:t>
      </w:r>
      <w:r>
        <w:rPr>
          <w:rFonts w:ascii="Arial Narrow" w:eastAsia="Times New Roman" w:hAnsi="Arial Narrow" w:cs="Times New Roman"/>
          <w:sz w:val="24"/>
          <w:szCs w:val="24"/>
          <w:lang w:eastAsia="en-US"/>
        </w:rPr>
        <w:t xml:space="preserve"> (2017)</w:t>
      </w:r>
      <w:r w:rsidRPr="004E29D7">
        <w:rPr>
          <w:rFonts w:ascii="Arial Narrow" w:eastAsia="Times New Roman" w:hAnsi="Arial Narrow" w:cs="Times New Roman"/>
          <w:sz w:val="24"/>
          <w:szCs w:val="24"/>
          <w:lang w:eastAsia="en-US"/>
        </w:rPr>
        <w:t xml:space="preserve">, </w:t>
      </w:r>
      <w:r w:rsidRPr="004E29D7">
        <w:rPr>
          <w:rFonts w:ascii="Arial Narrow" w:eastAsia="Times New Roman" w:hAnsi="Arial Narrow" w:cs="Times New Roman"/>
          <w:i/>
          <w:iCs/>
          <w:sz w:val="24"/>
          <w:szCs w:val="24"/>
          <w:lang w:eastAsia="en-US"/>
        </w:rPr>
        <w:t>Kriminologi</w:t>
      </w:r>
      <w:r w:rsidRPr="004E29D7">
        <w:rPr>
          <w:rFonts w:ascii="Arial Narrow" w:eastAsia="Times New Roman" w:hAnsi="Arial Narrow" w:cs="Times New Roman"/>
          <w:sz w:val="24"/>
          <w:szCs w:val="24"/>
          <w:lang w:eastAsia="en-US"/>
        </w:rPr>
        <w:t>, Jakarta</w:t>
      </w:r>
      <w:r>
        <w:rPr>
          <w:rFonts w:ascii="Arial Narrow" w:eastAsia="Times New Roman" w:hAnsi="Arial Narrow" w:cs="Times New Roman"/>
          <w:sz w:val="24"/>
          <w:szCs w:val="24"/>
          <w:lang w:eastAsia="en-US"/>
        </w:rPr>
        <w:t>: Rajawali Pers.</w:t>
      </w:r>
    </w:p>
    <w:p w:rsidR="00D51C85" w:rsidRPr="00B006DD" w:rsidRDefault="00D51C85" w:rsidP="00B006DD">
      <w:pPr>
        <w:spacing w:line="240" w:lineRule="auto"/>
        <w:jc w:val="both"/>
        <w:rPr>
          <w:rFonts w:ascii="Arial Narrow" w:hAnsi="Arial Narrow" w:cs="Times New Roman"/>
          <w:sz w:val="24"/>
          <w:szCs w:val="24"/>
        </w:rPr>
      </w:pPr>
      <w:r w:rsidRPr="00B006DD">
        <w:rPr>
          <w:rFonts w:ascii="Arial Narrow" w:eastAsia="Times New Roman" w:hAnsi="Arial Narrow" w:cs="Times New Roman"/>
          <w:sz w:val="24"/>
          <w:szCs w:val="24"/>
          <w:lang w:eastAsia="en-US"/>
        </w:rPr>
        <w:t xml:space="preserve">Undang-Undang Nomor 8 Tahun 1981 tentang Hukum Acara Pidana. </w:t>
      </w:r>
    </w:p>
    <w:p w:rsidR="00D51C85" w:rsidRDefault="00D51C85" w:rsidP="004E29D7">
      <w:pPr>
        <w:spacing w:line="240" w:lineRule="auto"/>
        <w:jc w:val="both"/>
        <w:rPr>
          <w:rFonts w:ascii="Arial Narrow" w:eastAsia="Times New Roman" w:hAnsi="Arial Narrow" w:cs="Times New Roman"/>
          <w:sz w:val="24"/>
          <w:szCs w:val="24"/>
          <w:lang w:eastAsia="en-US"/>
        </w:rPr>
      </w:pPr>
      <w:r w:rsidRPr="00B006DD">
        <w:rPr>
          <w:rFonts w:ascii="Arial Narrow" w:eastAsia="Times New Roman" w:hAnsi="Arial Narrow" w:cs="Times New Roman"/>
          <w:sz w:val="24"/>
          <w:szCs w:val="24"/>
          <w:lang w:eastAsia="en-US"/>
        </w:rPr>
        <w:t>Undang-Undang Nomor 8 Tahun 1981 tentang Hukum Acara Pidana.</w:t>
      </w:r>
    </w:p>
    <w:p w:rsidR="00E03770" w:rsidRPr="004E29D7" w:rsidRDefault="00E03770" w:rsidP="00E03770">
      <w:pPr>
        <w:rPr>
          <w:rFonts w:ascii="Arial Narrow" w:hAnsi="Arial Narrow" w:cs="Times New Roman"/>
          <w:sz w:val="24"/>
          <w:szCs w:val="24"/>
        </w:rPr>
      </w:pPr>
    </w:p>
    <w:p w:rsidR="00C56CC3" w:rsidRPr="00E03770" w:rsidRDefault="00E03770" w:rsidP="00E03770">
      <w:pPr>
        <w:tabs>
          <w:tab w:val="left" w:pos="7995"/>
        </w:tabs>
        <w:rPr>
          <w:rFonts w:ascii="Arial Narrow" w:hAnsi="Arial Narrow" w:cs="Times New Roman"/>
          <w:sz w:val="24"/>
          <w:szCs w:val="24"/>
        </w:rPr>
      </w:pPr>
      <w:r>
        <w:rPr>
          <w:rFonts w:ascii="Arial Narrow" w:hAnsi="Arial Narrow" w:cs="Times New Roman"/>
          <w:sz w:val="24"/>
          <w:szCs w:val="24"/>
        </w:rPr>
        <w:tab/>
      </w:r>
    </w:p>
    <w:sectPr w:rsidR="00C56CC3" w:rsidRPr="00E03770" w:rsidSect="00D51C85">
      <w:headerReference w:type="even" r:id="rId10"/>
      <w:headerReference w:type="default" r:id="rId11"/>
      <w:footerReference w:type="even" r:id="rId12"/>
      <w:footerReference w:type="default" r:id="rId13"/>
      <w:headerReference w:type="first" r:id="rId14"/>
      <w:footerReference w:type="first" r:id="rId15"/>
      <w:pgSz w:w="11906" w:h="16838"/>
      <w:pgMar w:top="2022" w:right="1418" w:bottom="1418" w:left="1701" w:header="720" w:footer="720" w:gutter="0"/>
      <w:pgNumType w:start="50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98F" w:rsidRDefault="00EC298F" w:rsidP="00AA467B">
      <w:pPr>
        <w:spacing w:after="0" w:line="240" w:lineRule="auto"/>
      </w:pPr>
      <w:r>
        <w:separator/>
      </w:r>
    </w:p>
  </w:endnote>
  <w:endnote w:type="continuationSeparator" w:id="0">
    <w:p w:rsidR="00EC298F" w:rsidRDefault="00EC298F"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doni MT">
    <w:altName w:val="Bodoni Bk BT"/>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B7F" w:rsidRDefault="00EC298F">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rsidR="00946B7F" w:rsidRDefault="00EC298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228"/>
      <w:docPartObj>
        <w:docPartGallery w:val="Page Numbers (Bottom of Page)"/>
        <w:docPartUnique/>
      </w:docPartObj>
    </w:sdtPr>
    <w:sdtEndPr/>
    <w:sdtContent>
      <w:p w:rsidR="00BA20A0" w:rsidRDefault="00F214B7">
        <w:pPr>
          <w:pStyle w:val="Footer"/>
          <w:jc w:val="right"/>
        </w:pPr>
        <w:r>
          <w:fldChar w:fldCharType="begin"/>
        </w:r>
        <w:r w:rsidR="005D2BB4">
          <w:instrText xml:space="preserve"> PAGE   \* MERGEFORMAT </w:instrText>
        </w:r>
        <w:r>
          <w:fldChar w:fldCharType="separate"/>
        </w:r>
        <w:r w:rsidR="00E22AD3">
          <w:rPr>
            <w:noProof/>
          </w:rPr>
          <w:t>520</w:t>
        </w:r>
        <w:r>
          <w:rPr>
            <w:noProof/>
          </w:rPr>
          <w:fldChar w:fldCharType="end"/>
        </w:r>
      </w:p>
    </w:sdtContent>
  </w:sdt>
  <w:p w:rsidR="00946B7F" w:rsidRDefault="00EC298F">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888310"/>
      <w:docPartObj>
        <w:docPartGallery w:val="Page Numbers (Bottom of Page)"/>
        <w:docPartUnique/>
      </w:docPartObj>
    </w:sdtPr>
    <w:sdtEndPr>
      <w:rPr>
        <w:noProof/>
      </w:rPr>
    </w:sdtEndPr>
    <w:sdtContent>
      <w:p w:rsidR="004F32EE" w:rsidRDefault="004F32EE">
        <w:pPr>
          <w:pStyle w:val="Footer"/>
          <w:jc w:val="right"/>
        </w:pPr>
        <w:r>
          <w:fldChar w:fldCharType="begin"/>
        </w:r>
        <w:r>
          <w:instrText xml:space="preserve"> PAGE   \* MERGEFORMAT </w:instrText>
        </w:r>
        <w:r>
          <w:fldChar w:fldCharType="separate"/>
        </w:r>
        <w:r w:rsidR="00E22AD3">
          <w:rPr>
            <w:noProof/>
          </w:rPr>
          <w:t>509</w:t>
        </w:r>
        <w:r>
          <w:rPr>
            <w:noProof/>
          </w:rPr>
          <w:fldChar w:fldCharType="end"/>
        </w:r>
      </w:p>
    </w:sdtContent>
  </w:sdt>
  <w:p w:rsidR="004F32EE" w:rsidRDefault="004F3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98F" w:rsidRDefault="00EC298F" w:rsidP="00AA467B">
      <w:pPr>
        <w:spacing w:after="0" w:line="240" w:lineRule="auto"/>
      </w:pPr>
      <w:r>
        <w:separator/>
      </w:r>
    </w:p>
  </w:footnote>
  <w:footnote w:type="continuationSeparator" w:id="0">
    <w:p w:rsidR="00EC298F" w:rsidRDefault="00EC298F" w:rsidP="00AA46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5A" w:rsidRDefault="00EC298F">
    <w:pPr>
      <w:pStyle w:val="Header"/>
    </w:pPr>
    <w:r>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59264;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4865B0"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2096"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EC298F">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58240;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eastAsia="en-US"/>
      </w:rPr>
      <w:drawing>
        <wp:anchor distT="0" distB="0" distL="114300" distR="114300" simplePos="0" relativeHeight="251653120"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EC298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59.3pt;margin-top:4.3pt;width:147.25pt;height:9.1pt;z-index:-251653120;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51072"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EC298F" w:rsidP="004F32EE">
    <w:pPr>
      <w:spacing w:after="0" w:line="240" w:lineRule="auto"/>
      <w:contextualSpacing/>
      <w:jc w:val="center"/>
      <w:rPr>
        <w:rFonts w:ascii="Century Gothic" w:hAnsi="Century Gothic"/>
        <w:b/>
        <w:lang w:val="id-ID"/>
      </w:rPr>
    </w:pPr>
    <w:r>
      <w:rPr>
        <w:noProof/>
        <w:lang w:val="id-ID"/>
      </w:rPr>
      <w:pict>
        <v:shape id="_x0000_s2067" type="#_x0000_t136" style="position:absolute;left:0;text-align:left;margin-left:58.75pt;margin-top:4.2pt;width:210.75pt;height:14.6pt;z-index:-251652096" adj="10803" fillcolor="#92d050">
          <v:shadow color="#b2b2b2" opacity="52429f" offset="3pt"/>
          <v:textpath style="font-family:&quot;Times New Roman&quot;;font-size:20pt;v-text-kern:t" trim="t" fitpath="t" string="LAW_JURNAL&#10;"/>
        </v:shape>
      </w:pict>
    </w:r>
  </w:p>
  <w:p w:rsidR="004F32EE" w:rsidRDefault="00EC298F" w:rsidP="004F32EE">
    <w:pPr>
      <w:pStyle w:val="Header"/>
      <w:tabs>
        <w:tab w:val="clear" w:pos="4513"/>
        <w:tab w:val="clear" w:pos="9026"/>
        <w:tab w:val="left" w:pos="1977"/>
        <w:tab w:val="left" w:pos="4814"/>
      </w:tabs>
    </w:pPr>
    <w:r>
      <w:rPr>
        <w:noProof/>
        <w:lang w:val="id-ID"/>
      </w:rPr>
      <w:pict>
        <v:shape id="_x0000_s2069" type="#_x0000_t136" style="position:absolute;margin-left:56.45pt;margin-top:16.45pt;width:43.9pt;height:7.2pt;z-index:-251650048" fillcolor="black">
          <v:shadow color="#b2b2b2" opacity="52429f" offset="3pt"/>
          <v:textpath style="font-family:&quot;Times New Roman&quot;;font-size:16pt;v-text-kern:t" trim="t" fitpath="t" string="E-ISSN :&#10;"/>
        </v:shape>
      </w:pict>
    </w:r>
    <w:r>
      <w:rPr>
        <w:noProof/>
        <w:lang w:val="id-ID"/>
      </w:rPr>
      <w:pict>
        <v:shape id="_x0000_s2068" type="#_x0000_t136" style="position:absolute;margin-left:59.85pt;margin-top:6pt;width:40.5pt;height:6.45pt;z-index:-251651072" fillcolor="black">
          <v:shadow color="#b2b2b2" opacity="52429f" offset="3pt"/>
          <v:textpath style="font-family:&quot;Times New Roman&quot;;font-size:16pt;v-text-kern:t" trim="t" fitpath="t" string="ISSN :&#10;"/>
        </v:shape>
      </w:pict>
    </w:r>
    <w:r w:rsidR="004F32EE">
      <w:tab/>
    </w:r>
    <w:r w:rsidR="005A1FB5">
      <w:t xml:space="preserve">  </w:t>
    </w:r>
    <w:r w:rsidR="00AD429C">
      <w:t>2746-4571</w:t>
    </w:r>
  </w:p>
  <w:p w:rsidR="00946B7F" w:rsidRPr="00AD429C" w:rsidRDefault="00785D12" w:rsidP="004865B0">
    <w:pPr>
      <w:pBdr>
        <w:top w:val="nil"/>
        <w:left w:val="nil"/>
        <w:bottom w:val="nil"/>
        <w:right w:val="nil"/>
        <w:between w:val="nil"/>
      </w:pBdr>
      <w:tabs>
        <w:tab w:val="left" w:pos="843"/>
      </w:tabs>
      <w:spacing w:after="0" w:line="240" w:lineRule="auto"/>
      <w:rPr>
        <w:color w:val="000000"/>
      </w:rPr>
    </w:pPr>
    <w:r>
      <w:rPr>
        <w:noProof/>
        <w:lang w:eastAsia="en-US"/>
      </w:rPr>
      <mc:AlternateContent>
        <mc:Choice Requires="wps">
          <w:drawing>
            <wp:anchor distT="0" distB="0" distL="114300" distR="114300" simplePos="0" relativeHeight="251655168"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978741A" id="Straight Connector 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" strokecolor="black [3200]" strokeweight="2pt">
              <v:shadow on="t" color="black" opacity="24903f" origin=",.5" offset="0,.55556mm"/>
            </v:line>
          </w:pict>
        </mc:Fallback>
      </mc:AlternateContent>
    </w:r>
    <w:r w:rsidR="004865B0">
      <w:rPr>
        <w:color w:val="000000"/>
        <w:lang w:val="id-ID"/>
      </w:rPr>
      <w:tab/>
    </w:r>
    <w:r w:rsidR="00AD429C">
      <w:rPr>
        <w:color w:val="000000"/>
      </w:rPr>
      <w:t xml:space="preserve">                          2746-3966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080E2E"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0048" behindDoc="0" locked="0" layoutInCell="1" allowOverlap="1" wp14:anchorId="05458D90" wp14:editId="58547ACB">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w:t>
                          </w:r>
                          <w:r w:rsidR="00D51C85">
                            <w:rPr>
                              <w:rFonts w:ascii="Bodoni MT" w:hAnsi="Bodoni MT"/>
                              <w:b/>
                              <w:sz w:val="24"/>
                              <w:szCs w:val="24"/>
                            </w:rPr>
                            <w:t xml:space="preserve"> VI</w:t>
                          </w:r>
                          <w:r w:rsidR="00D51C85">
                            <w:rPr>
                              <w:rFonts w:ascii="Bodoni MT" w:hAnsi="Bodoni MT"/>
                              <w:b/>
                              <w:sz w:val="24"/>
                              <w:szCs w:val="24"/>
                              <w:lang w:val="id-ID"/>
                            </w:rPr>
                            <w:t xml:space="preserve"> , Nomor 2</w:t>
                          </w:r>
                        </w:p>
                        <w:p w:rsidR="004F32EE" w:rsidRPr="00D51C85" w:rsidRDefault="00D51C85" w:rsidP="004F32EE">
                          <w:pPr>
                            <w:spacing w:after="0" w:line="240" w:lineRule="auto"/>
                            <w:contextualSpacing/>
                            <w:jc w:val="right"/>
                            <w:rPr>
                              <w:rFonts w:ascii="Bodoni MT" w:hAnsi="Bodoni MT"/>
                              <w:b/>
                              <w:sz w:val="28"/>
                              <w:szCs w:val="28"/>
                            </w:rPr>
                          </w:pPr>
                          <w:r>
                            <w:rPr>
                              <w:rFonts w:ascii="Bodoni MT" w:hAnsi="Bodoni MT"/>
                              <w:b/>
                              <w:sz w:val="24"/>
                              <w:szCs w:val="24"/>
                            </w:rPr>
                            <w:t>Februari</w:t>
                          </w:r>
                          <w:r w:rsidR="004F32EE" w:rsidRPr="00DC1C52">
                            <w:rPr>
                              <w:rFonts w:ascii="Bodoni MT" w:hAnsi="Bodoni MT"/>
                              <w:b/>
                              <w:sz w:val="24"/>
                              <w:szCs w:val="24"/>
                              <w:lang w:val="id-ID"/>
                            </w:rPr>
                            <w:t xml:space="preserve">, </w:t>
                          </w:r>
                          <w:r>
                            <w:rPr>
                              <w:rFonts w:ascii="Bodoni MT" w:hAnsi="Bodoni MT"/>
                              <w:b/>
                              <w:sz w:val="24"/>
                              <w:szCs w:val="24"/>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58D90"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w:t>
                    </w:r>
                    <w:r w:rsidR="00D51C85">
                      <w:rPr>
                        <w:rFonts w:ascii="Bodoni MT" w:hAnsi="Bodoni MT"/>
                        <w:b/>
                        <w:sz w:val="24"/>
                        <w:szCs w:val="24"/>
                      </w:rPr>
                      <w:t xml:space="preserve"> VI</w:t>
                    </w:r>
                    <w:r w:rsidR="00D51C85">
                      <w:rPr>
                        <w:rFonts w:ascii="Bodoni MT" w:hAnsi="Bodoni MT"/>
                        <w:b/>
                        <w:sz w:val="24"/>
                        <w:szCs w:val="24"/>
                        <w:lang w:val="id-ID"/>
                      </w:rPr>
                      <w:t xml:space="preserve"> , Nomor 2</w:t>
                    </w:r>
                  </w:p>
                  <w:p w:rsidR="004F32EE" w:rsidRPr="00D51C85" w:rsidRDefault="00D51C85" w:rsidP="004F32EE">
                    <w:pPr>
                      <w:spacing w:after="0" w:line="240" w:lineRule="auto"/>
                      <w:contextualSpacing/>
                      <w:jc w:val="right"/>
                      <w:rPr>
                        <w:rFonts w:ascii="Bodoni MT" w:hAnsi="Bodoni MT"/>
                        <w:b/>
                        <w:sz w:val="28"/>
                        <w:szCs w:val="28"/>
                      </w:rPr>
                    </w:pPr>
                    <w:r>
                      <w:rPr>
                        <w:rFonts w:ascii="Bodoni MT" w:hAnsi="Bodoni MT"/>
                        <w:b/>
                        <w:sz w:val="24"/>
                        <w:szCs w:val="24"/>
                      </w:rPr>
                      <w:t>Februari</w:t>
                    </w:r>
                    <w:r w:rsidR="004F32EE" w:rsidRPr="00DC1C52">
                      <w:rPr>
                        <w:rFonts w:ascii="Bodoni MT" w:hAnsi="Bodoni MT"/>
                        <w:b/>
                        <w:sz w:val="24"/>
                        <w:szCs w:val="24"/>
                        <w:lang w:val="id-ID"/>
                      </w:rPr>
                      <w:t xml:space="preserve">, </w:t>
                    </w:r>
                    <w:r>
                      <w:rPr>
                        <w:rFonts w:ascii="Bodoni MT" w:hAnsi="Bodoni MT"/>
                        <w:b/>
                        <w:sz w:val="24"/>
                        <w:szCs w:val="24"/>
                      </w:rPr>
                      <w:t>2026</w:t>
                    </w:r>
                  </w:p>
                </w:txbxContent>
              </v:textbox>
            </v:shape>
          </w:pict>
        </mc:Fallback>
      </mc:AlternateContent>
    </w:r>
    <w:r w:rsidR="004F32EE">
      <w:rPr>
        <w:noProof/>
        <w:lang w:eastAsia="en-US"/>
      </w:rPr>
      <w:drawing>
        <wp:anchor distT="0" distB="0" distL="114300" distR="114300" simplePos="0" relativeHeight="251654144" behindDoc="1" locked="0" layoutInCell="0" allowOverlap="1" wp14:anchorId="3BF7A167" wp14:editId="25F7B639">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EC298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59.3pt;margin-top:4.3pt;width:147.25pt;height:9.1pt;z-index:-25165721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49024" behindDoc="1" locked="0" layoutInCell="1" allowOverlap="1" wp14:anchorId="2B167F53" wp14:editId="191F6C18">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EC298F" w:rsidP="004F32EE">
    <w:pPr>
      <w:spacing w:after="0" w:line="240" w:lineRule="auto"/>
      <w:contextualSpacing/>
      <w:jc w:val="center"/>
      <w:rPr>
        <w:rFonts w:ascii="Century Gothic" w:hAnsi="Century Gothic"/>
        <w:b/>
        <w:lang w:val="id-ID"/>
      </w:rPr>
    </w:pPr>
    <w:r>
      <w:rPr>
        <w:noProof/>
        <w:lang w:val="id-ID"/>
      </w:rPr>
      <w:pict>
        <v:shape id="_x0000_s2063" type="#_x0000_t136" style="position:absolute;left:0;text-align:left;margin-left:58.75pt;margin-top:4.2pt;width:210.75pt;height:14.6pt;z-index:-251656192" adj="10803" fillcolor="#92d050">
          <v:shadow color="#b2b2b2" opacity="52429f" offset="3pt"/>
          <v:textpath style="font-family:&quot;Times New Roman&quot;;font-size:20pt;v-text-kern:t" trim="t" fitpath="t" string="LAW_JURNAL&#10;"/>
        </v:shape>
      </w:pict>
    </w:r>
  </w:p>
  <w:p w:rsidR="004F32EE" w:rsidRPr="00D51C85" w:rsidRDefault="00EC298F" w:rsidP="004F32EE">
    <w:pPr>
      <w:pStyle w:val="Header"/>
      <w:tabs>
        <w:tab w:val="clear" w:pos="4513"/>
        <w:tab w:val="clear" w:pos="9026"/>
        <w:tab w:val="left" w:pos="1977"/>
        <w:tab w:val="left" w:pos="4814"/>
      </w:tabs>
      <w:rPr>
        <w:b/>
      </w:rPr>
    </w:pPr>
    <w:r>
      <w:rPr>
        <w:noProof/>
        <w:lang w:val="id-ID"/>
      </w:rPr>
      <w:pict>
        <v:shape id="_x0000_s2065" type="#_x0000_t136" style="position:absolute;margin-left:56.45pt;margin-top:16.45pt;width:43.9pt;height:7.2pt;z-index:-251654144" fillcolor="black">
          <v:shadow color="#b2b2b2" opacity="52429f" offset="3pt"/>
          <v:textpath style="font-family:&quot;Times New Roman&quot;;font-size:16pt;v-text-kern:t" trim="t" fitpath="t" string="E-ISSN :&#10;"/>
        </v:shape>
      </w:pict>
    </w:r>
    <w:r>
      <w:rPr>
        <w:noProof/>
        <w:lang w:val="id-ID"/>
      </w:rPr>
      <w:pict>
        <v:shape id="_x0000_s2064" type="#_x0000_t136" style="position:absolute;margin-left:59.85pt;margin-top:6pt;width:40.5pt;height:6.45pt;z-index:-251655168" fillcolor="black">
          <v:shadow color="#b2b2b2" opacity="52429f" offset="3pt"/>
          <v:textpath style="font-family:&quot;Times New Roman&quot;;font-size:16pt;v-text-kern:t" trim="t" fitpath="t" string="ISSN :&#10;"/>
        </v:shape>
      </w:pict>
    </w:r>
    <w:r w:rsidR="004F32EE">
      <w:tab/>
    </w:r>
    <w:r w:rsidR="00D51C85">
      <w:t xml:space="preserve"> </w:t>
    </w:r>
    <w:r w:rsidR="00D51C85" w:rsidRPr="00D51C85">
      <w:rPr>
        <w:b/>
      </w:rPr>
      <w:t>27464571</w:t>
    </w:r>
  </w:p>
  <w:p w:rsidR="009F2384" w:rsidRPr="00D51C85" w:rsidRDefault="00785D12" w:rsidP="009C0B64">
    <w:pPr>
      <w:pStyle w:val="Header"/>
      <w:tabs>
        <w:tab w:val="clear" w:pos="4513"/>
        <w:tab w:val="clear" w:pos="9026"/>
        <w:tab w:val="left" w:pos="5889"/>
      </w:tabs>
      <w:rPr>
        <w:b/>
      </w:rPr>
    </w:pPr>
    <w:r>
      <w:rPr>
        <w:noProof/>
        <w:lang w:eastAsia="en-US"/>
      </w:rPr>
      <mc:AlternateContent>
        <mc:Choice Requires="wps">
          <w:drawing>
            <wp:anchor distT="0" distB="0" distL="114300" distR="114300" simplePos="0" relativeHeight="251656192" behindDoc="0" locked="0" layoutInCell="1" allowOverlap="1" wp14:anchorId="65829F7F" wp14:editId="5F2DAF9D">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4692990"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" strokecolor="black [3200]" strokeweight="2pt">
              <v:shadow on="t" color="black" opacity="24903f" origin=",.5" offset="0,.55556mm"/>
            </v:line>
          </w:pict>
        </mc:Fallback>
      </mc:AlternateContent>
    </w:r>
    <w:r w:rsidR="00D51C85">
      <w:t xml:space="preserve">                                          </w:t>
    </w:r>
    <w:r w:rsidR="00D51C85" w:rsidRPr="00D51C85">
      <w:rPr>
        <w:b/>
      </w:rPr>
      <w:t>2746-3966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2267B0"/>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4961D16"/>
    <w:multiLevelType w:val="hybridMultilevel"/>
    <w:tmpl w:val="053AF188"/>
    <w:lvl w:ilvl="0" w:tplc="7CAC4D30">
      <w:start w:val="1"/>
      <w:numFmt w:val="decimal"/>
      <w:lvlText w:val="(%1)"/>
      <w:lvlJc w:val="left"/>
      <w:pPr>
        <w:tabs>
          <w:tab w:val="num" w:pos="2520"/>
        </w:tabs>
        <w:ind w:left="252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8">
    <w:nsid w:val="0F316CF0"/>
    <w:multiLevelType w:val="hybridMultilevel"/>
    <w:tmpl w:val="CF2A15AA"/>
    <w:lvl w:ilvl="0" w:tplc="79AAEBAE">
      <w:start w:val="1"/>
      <w:numFmt w:val="upperLetter"/>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18959C4"/>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77D90"/>
    <w:multiLevelType w:val="hybridMultilevel"/>
    <w:tmpl w:val="A4F84A70"/>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E60396"/>
    <w:multiLevelType w:val="hybridMultilevel"/>
    <w:tmpl w:val="9BF44BB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A460D7D"/>
    <w:multiLevelType w:val="hybridMultilevel"/>
    <w:tmpl w:val="52CCE7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5E41831"/>
    <w:multiLevelType w:val="hybridMultilevel"/>
    <w:tmpl w:val="76701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DA0403"/>
    <w:multiLevelType w:val="hybridMultilevel"/>
    <w:tmpl w:val="7360B8B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21">
    <w:nsid w:val="3FBE283A"/>
    <w:multiLevelType w:val="hybridMultilevel"/>
    <w:tmpl w:val="0A3AC9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DB6F27"/>
    <w:multiLevelType w:val="hybridMultilevel"/>
    <w:tmpl w:val="DAB8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B92FB6"/>
    <w:multiLevelType w:val="hybridMultilevel"/>
    <w:tmpl w:val="1304E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B4C45AC"/>
    <w:multiLevelType w:val="multilevel"/>
    <w:tmpl w:val="44F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BB0499A"/>
    <w:multiLevelType w:val="multilevel"/>
    <w:tmpl w:val="D332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724BFF"/>
    <w:multiLevelType w:val="multilevel"/>
    <w:tmpl w:val="7C5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FC66F1"/>
    <w:multiLevelType w:val="hybridMultilevel"/>
    <w:tmpl w:val="FE0C9E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nsid w:val="638123CC"/>
    <w:multiLevelType w:val="hybridMultilevel"/>
    <w:tmpl w:val="37E000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8090019">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6E417C06"/>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B771EB"/>
    <w:multiLevelType w:val="multilevel"/>
    <w:tmpl w:val="1D5E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765955"/>
    <w:multiLevelType w:val="hybridMultilevel"/>
    <w:tmpl w:val="9D649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235A6F"/>
    <w:multiLevelType w:val="hybridMultilevel"/>
    <w:tmpl w:val="36C0B7C4"/>
    <w:lvl w:ilvl="0" w:tplc="F964025C">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B094A64"/>
    <w:multiLevelType w:val="multilevel"/>
    <w:tmpl w:val="53ECF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6F5CAE"/>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2"/>
  </w:num>
  <w:num w:numId="3">
    <w:abstractNumId w:val="0"/>
  </w:num>
  <w:num w:numId="4">
    <w:abstractNumId w:val="7"/>
  </w:num>
  <w:num w:numId="5">
    <w:abstractNumId w:val="1"/>
  </w:num>
  <w:num w:numId="6">
    <w:abstractNumId w:val="20"/>
  </w:num>
  <w:num w:numId="7">
    <w:abstractNumId w:val="5"/>
  </w:num>
  <w:num w:numId="8">
    <w:abstractNumId w:val="23"/>
  </w:num>
  <w:num w:numId="9">
    <w:abstractNumId w:val="16"/>
  </w:num>
  <w:num w:numId="10">
    <w:abstractNumId w:val="14"/>
  </w:num>
  <w:num w:numId="11">
    <w:abstractNumId w:val="13"/>
  </w:num>
  <w:num w:numId="12">
    <w:abstractNumId w:val="28"/>
  </w:num>
  <w:num w:numId="13">
    <w:abstractNumId w:val="15"/>
  </w:num>
  <w:num w:numId="14">
    <w:abstractNumId w:val="3"/>
  </w:num>
  <w:num w:numId="15">
    <w:abstractNumId w:val="19"/>
  </w:num>
  <w:num w:numId="16">
    <w:abstractNumId w:val="6"/>
  </w:num>
  <w:num w:numId="17">
    <w:abstractNumId w:val="38"/>
  </w:num>
  <w:num w:numId="18">
    <w:abstractNumId w:val="33"/>
  </w:num>
  <w:num w:numId="19">
    <w:abstractNumId w:val="30"/>
  </w:num>
  <w:num w:numId="20">
    <w:abstractNumId w:val="39"/>
  </w:num>
  <w:num w:numId="21">
    <w:abstractNumId w:val="10"/>
  </w:num>
  <w:num w:numId="22">
    <w:abstractNumId w:val="27"/>
  </w:num>
  <w:num w:numId="23">
    <w:abstractNumId w:val="35"/>
  </w:num>
  <w:num w:numId="24">
    <w:abstractNumId w:val="12"/>
  </w:num>
  <w:num w:numId="25">
    <w:abstractNumId w:val="25"/>
  </w:num>
  <w:num w:numId="26">
    <w:abstractNumId w:val="21"/>
  </w:num>
  <w:num w:numId="27">
    <w:abstractNumId w:val="9"/>
  </w:num>
  <w:num w:numId="28">
    <w:abstractNumId w:val="34"/>
  </w:num>
  <w:num w:numId="29">
    <w:abstractNumId w:val="2"/>
  </w:num>
  <w:num w:numId="30">
    <w:abstractNumId w:val="40"/>
  </w:num>
  <w:num w:numId="31">
    <w:abstractNumId w:val="24"/>
  </w:num>
  <w:num w:numId="32">
    <w:abstractNumId w:val="36"/>
  </w:num>
  <w:num w:numId="33">
    <w:abstractNumId w:val="17"/>
  </w:num>
  <w:num w:numId="34">
    <w:abstractNumId w:val="29"/>
  </w:num>
  <w:num w:numId="35">
    <w:abstractNumId w:val="4"/>
  </w:num>
  <w:num w:numId="36">
    <w:abstractNumId w:val="8"/>
  </w:num>
  <w:num w:numId="37">
    <w:abstractNumId w:val="31"/>
  </w:num>
  <w:num w:numId="38">
    <w:abstractNumId w:val="37"/>
  </w:num>
  <w:num w:numId="39">
    <w:abstractNumId w:val="11"/>
  </w:num>
  <w:num w:numId="40">
    <w:abstractNumId w:val="1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hideSpellingErrors/>
  <w:proofState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203D2"/>
    <w:rsid w:val="00021F3A"/>
    <w:rsid w:val="000224E3"/>
    <w:rsid w:val="00022E43"/>
    <w:rsid w:val="000234E2"/>
    <w:rsid w:val="00023769"/>
    <w:rsid w:val="00024C32"/>
    <w:rsid w:val="00026788"/>
    <w:rsid w:val="000269A8"/>
    <w:rsid w:val="000278D2"/>
    <w:rsid w:val="0002798F"/>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97C"/>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6CF9"/>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3DD"/>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1A3"/>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6A09"/>
    <w:rsid w:val="00127070"/>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2E30"/>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1B1"/>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2CCA"/>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5DAA"/>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C772B"/>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0F4A"/>
    <w:rsid w:val="003A2069"/>
    <w:rsid w:val="003A23FE"/>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2179"/>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8C9"/>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67B7C"/>
    <w:rsid w:val="00467ECA"/>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8C4"/>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29D7"/>
    <w:rsid w:val="004E47A8"/>
    <w:rsid w:val="004E47EA"/>
    <w:rsid w:val="004E64CD"/>
    <w:rsid w:val="004E67BB"/>
    <w:rsid w:val="004E6D5A"/>
    <w:rsid w:val="004E6F9A"/>
    <w:rsid w:val="004E7258"/>
    <w:rsid w:val="004E7417"/>
    <w:rsid w:val="004E7CC4"/>
    <w:rsid w:val="004F00E7"/>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109"/>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5373"/>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1FB5"/>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756"/>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5DD0"/>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3FD0"/>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8A6"/>
    <w:rsid w:val="00746F7D"/>
    <w:rsid w:val="00746FF2"/>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12C"/>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0DC"/>
    <w:rsid w:val="007F3ABA"/>
    <w:rsid w:val="007F3B6E"/>
    <w:rsid w:val="007F3C5B"/>
    <w:rsid w:val="007F3D49"/>
    <w:rsid w:val="007F5226"/>
    <w:rsid w:val="007F6872"/>
    <w:rsid w:val="00800270"/>
    <w:rsid w:val="00800EEC"/>
    <w:rsid w:val="0080172B"/>
    <w:rsid w:val="00803568"/>
    <w:rsid w:val="00803FA7"/>
    <w:rsid w:val="00806137"/>
    <w:rsid w:val="00806E6C"/>
    <w:rsid w:val="008101B3"/>
    <w:rsid w:val="0081038E"/>
    <w:rsid w:val="00810C30"/>
    <w:rsid w:val="00810F2D"/>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3D55"/>
    <w:rsid w:val="00853E7A"/>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6A48"/>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5543"/>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21"/>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4786"/>
    <w:rsid w:val="00A263F5"/>
    <w:rsid w:val="00A26EC9"/>
    <w:rsid w:val="00A31F8E"/>
    <w:rsid w:val="00A3446C"/>
    <w:rsid w:val="00A34E68"/>
    <w:rsid w:val="00A34E6D"/>
    <w:rsid w:val="00A3707A"/>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29AF"/>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29C"/>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1C7"/>
    <w:rsid w:val="00AF0792"/>
    <w:rsid w:val="00AF17BC"/>
    <w:rsid w:val="00AF23E2"/>
    <w:rsid w:val="00AF4B29"/>
    <w:rsid w:val="00AF527C"/>
    <w:rsid w:val="00AF6E2B"/>
    <w:rsid w:val="00AF74A2"/>
    <w:rsid w:val="00B006DD"/>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2C04"/>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2AB"/>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D03AE"/>
    <w:rsid w:val="00BD532B"/>
    <w:rsid w:val="00BD7840"/>
    <w:rsid w:val="00BD7E52"/>
    <w:rsid w:val="00BE055B"/>
    <w:rsid w:val="00BE24EB"/>
    <w:rsid w:val="00BE257F"/>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159"/>
    <w:rsid w:val="00C202FB"/>
    <w:rsid w:val="00C20314"/>
    <w:rsid w:val="00C20BD2"/>
    <w:rsid w:val="00C20C90"/>
    <w:rsid w:val="00C21F72"/>
    <w:rsid w:val="00C223FE"/>
    <w:rsid w:val="00C22C41"/>
    <w:rsid w:val="00C22F38"/>
    <w:rsid w:val="00C23ABE"/>
    <w:rsid w:val="00C24D09"/>
    <w:rsid w:val="00C2673D"/>
    <w:rsid w:val="00C26822"/>
    <w:rsid w:val="00C268CE"/>
    <w:rsid w:val="00C277A9"/>
    <w:rsid w:val="00C30ABB"/>
    <w:rsid w:val="00C3196E"/>
    <w:rsid w:val="00C32A02"/>
    <w:rsid w:val="00C32F56"/>
    <w:rsid w:val="00C33358"/>
    <w:rsid w:val="00C3375C"/>
    <w:rsid w:val="00C34DD3"/>
    <w:rsid w:val="00C351F7"/>
    <w:rsid w:val="00C3680F"/>
    <w:rsid w:val="00C415E2"/>
    <w:rsid w:val="00C419EC"/>
    <w:rsid w:val="00C44DED"/>
    <w:rsid w:val="00C45777"/>
    <w:rsid w:val="00C46A7B"/>
    <w:rsid w:val="00C47B87"/>
    <w:rsid w:val="00C50D42"/>
    <w:rsid w:val="00C51581"/>
    <w:rsid w:val="00C51E1E"/>
    <w:rsid w:val="00C521C2"/>
    <w:rsid w:val="00C5439B"/>
    <w:rsid w:val="00C55817"/>
    <w:rsid w:val="00C567D3"/>
    <w:rsid w:val="00C569BE"/>
    <w:rsid w:val="00C56CC3"/>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6301"/>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CF7FDC"/>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48F3"/>
    <w:rsid w:val="00D1649D"/>
    <w:rsid w:val="00D16EF3"/>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C85"/>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9DD"/>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062"/>
    <w:rsid w:val="00DF5303"/>
    <w:rsid w:val="00DF5B8A"/>
    <w:rsid w:val="00DF7437"/>
    <w:rsid w:val="00DF759A"/>
    <w:rsid w:val="00DF7718"/>
    <w:rsid w:val="00DF7FF3"/>
    <w:rsid w:val="00E01ACE"/>
    <w:rsid w:val="00E01FED"/>
    <w:rsid w:val="00E03770"/>
    <w:rsid w:val="00E037AE"/>
    <w:rsid w:val="00E03C23"/>
    <w:rsid w:val="00E03F1F"/>
    <w:rsid w:val="00E04FAA"/>
    <w:rsid w:val="00E05656"/>
    <w:rsid w:val="00E058B3"/>
    <w:rsid w:val="00E06886"/>
    <w:rsid w:val="00E06A7D"/>
    <w:rsid w:val="00E06CC2"/>
    <w:rsid w:val="00E073E0"/>
    <w:rsid w:val="00E1084E"/>
    <w:rsid w:val="00E108B7"/>
    <w:rsid w:val="00E108FC"/>
    <w:rsid w:val="00E14B04"/>
    <w:rsid w:val="00E15C8C"/>
    <w:rsid w:val="00E15D9E"/>
    <w:rsid w:val="00E16601"/>
    <w:rsid w:val="00E16BCD"/>
    <w:rsid w:val="00E171D3"/>
    <w:rsid w:val="00E17C68"/>
    <w:rsid w:val="00E204D1"/>
    <w:rsid w:val="00E210E8"/>
    <w:rsid w:val="00E21678"/>
    <w:rsid w:val="00E21848"/>
    <w:rsid w:val="00E2186B"/>
    <w:rsid w:val="00E22321"/>
    <w:rsid w:val="00E22AD3"/>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6F2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49FF"/>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98F"/>
    <w:rsid w:val="00EC2CD4"/>
    <w:rsid w:val="00EC4245"/>
    <w:rsid w:val="00EC4474"/>
    <w:rsid w:val="00EC61D4"/>
    <w:rsid w:val="00EC682C"/>
    <w:rsid w:val="00EC6B69"/>
    <w:rsid w:val="00EC6CCF"/>
    <w:rsid w:val="00EC7877"/>
    <w:rsid w:val="00EC7CE2"/>
    <w:rsid w:val="00ED0D12"/>
    <w:rsid w:val="00ED2D20"/>
    <w:rsid w:val="00ED456C"/>
    <w:rsid w:val="00ED4590"/>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BCA"/>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6D4F"/>
    <w:rsid w:val="00F27F99"/>
    <w:rsid w:val="00F307CC"/>
    <w:rsid w:val="00F319E8"/>
    <w:rsid w:val="00F31FBF"/>
    <w:rsid w:val="00F32309"/>
    <w:rsid w:val="00F32E5F"/>
    <w:rsid w:val="00F32EFC"/>
    <w:rsid w:val="00F34365"/>
    <w:rsid w:val="00F345DE"/>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466A"/>
    <w:rsid w:val="00F55B3D"/>
    <w:rsid w:val="00F55BB2"/>
    <w:rsid w:val="00F56FC7"/>
    <w:rsid w:val="00F57478"/>
    <w:rsid w:val="00F619E3"/>
    <w:rsid w:val="00F622DC"/>
    <w:rsid w:val="00F62CEB"/>
    <w:rsid w:val="00F6389A"/>
    <w:rsid w:val="00F640D8"/>
    <w:rsid w:val="00F64A01"/>
    <w:rsid w:val="00F6562A"/>
    <w:rsid w:val="00F67147"/>
    <w:rsid w:val="00F67313"/>
    <w:rsid w:val="00F676BE"/>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24C"/>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1704E0AF-0343-4C13-9C7C-1726D486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6F23"/>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semiHidden/>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paragraph" w:styleId="NormalWeb">
    <w:name w:val="Normal (Web)"/>
    <w:basedOn w:val="Normal"/>
    <w:uiPriority w:val="99"/>
    <w:semiHidden/>
    <w:unhideWhenUsed/>
    <w:rsid w:val="00126A0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126A09"/>
    <w:rPr>
      <w:b/>
      <w:bCs/>
    </w:rPr>
  </w:style>
  <w:style w:type="character" w:styleId="Emphasis">
    <w:name w:val="Emphasis"/>
    <w:basedOn w:val="DefaultParagraphFont"/>
    <w:uiPriority w:val="20"/>
    <w:qFormat/>
    <w:rsid w:val="00126A09"/>
    <w:rPr>
      <w:i/>
      <w:iCs/>
    </w:rPr>
  </w:style>
  <w:style w:type="character" w:styleId="IntenseEmphasis">
    <w:name w:val="Intense Emphasis"/>
    <w:qFormat/>
    <w:rsid w:val="000C6CF9"/>
    <w:rPr>
      <w:b/>
      <w:bCs/>
      <w:i/>
      <w:iCs/>
      <w:color w:val="DDDDDD"/>
    </w:rPr>
  </w:style>
  <w:style w:type="paragraph" w:styleId="BodyText">
    <w:name w:val="Body Text"/>
    <w:basedOn w:val="Normal"/>
    <w:link w:val="BodyTextChar"/>
    <w:rsid w:val="00E76F23"/>
    <w:pPr>
      <w:spacing w:after="0" w:line="240" w:lineRule="auto"/>
      <w:jc w:val="center"/>
    </w:pPr>
    <w:rPr>
      <w:rFonts w:ascii="Trebuchet MS" w:eastAsia="Times New Roman" w:hAnsi="Trebuchet MS" w:cs="Times New Roman"/>
      <w:b/>
      <w:bCs/>
      <w:sz w:val="28"/>
      <w:szCs w:val="24"/>
      <w:lang w:val="id-ID" w:eastAsia="en-US"/>
    </w:rPr>
  </w:style>
  <w:style w:type="character" w:customStyle="1" w:styleId="BodyTextChar">
    <w:name w:val="Body Text Char"/>
    <w:basedOn w:val="DefaultParagraphFont"/>
    <w:link w:val="BodyText"/>
    <w:rsid w:val="00E76F23"/>
    <w:rPr>
      <w:rFonts w:ascii="Trebuchet MS" w:eastAsia="Times New Roman" w:hAnsi="Trebuchet MS" w:cs="Times New Roman"/>
      <w:b/>
      <w:bCs/>
      <w:sz w:val="28"/>
      <w:szCs w:val="24"/>
    </w:rPr>
  </w:style>
  <w:style w:type="paragraph" w:styleId="BodyTextIndent2">
    <w:name w:val="Body Text Indent 2"/>
    <w:basedOn w:val="Normal"/>
    <w:link w:val="BodyTextIndent2Char"/>
    <w:rsid w:val="00E76F23"/>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E76F2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457">
      <w:bodyDiv w:val="1"/>
      <w:marLeft w:val="0"/>
      <w:marRight w:val="0"/>
      <w:marTop w:val="0"/>
      <w:marBottom w:val="0"/>
      <w:divBdr>
        <w:top w:val="none" w:sz="0" w:space="0" w:color="auto"/>
        <w:left w:val="none" w:sz="0" w:space="0" w:color="auto"/>
        <w:bottom w:val="none" w:sz="0" w:space="0" w:color="auto"/>
        <w:right w:val="none" w:sz="0" w:space="0" w:color="auto"/>
      </w:divBdr>
    </w:div>
    <w:div w:id="507520982">
      <w:bodyDiv w:val="1"/>
      <w:marLeft w:val="0"/>
      <w:marRight w:val="0"/>
      <w:marTop w:val="0"/>
      <w:marBottom w:val="0"/>
      <w:divBdr>
        <w:top w:val="none" w:sz="0" w:space="0" w:color="auto"/>
        <w:left w:val="none" w:sz="0" w:space="0" w:color="auto"/>
        <w:bottom w:val="none" w:sz="0" w:space="0" w:color="auto"/>
        <w:right w:val="none" w:sz="0" w:space="0" w:color="auto"/>
      </w:divBdr>
    </w:div>
    <w:div w:id="559902201">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1024750111">
      <w:bodyDiv w:val="1"/>
      <w:marLeft w:val="0"/>
      <w:marRight w:val="0"/>
      <w:marTop w:val="0"/>
      <w:marBottom w:val="0"/>
      <w:divBdr>
        <w:top w:val="none" w:sz="0" w:space="0" w:color="auto"/>
        <w:left w:val="none" w:sz="0" w:space="0" w:color="auto"/>
        <w:bottom w:val="none" w:sz="0" w:space="0" w:color="auto"/>
        <w:right w:val="none" w:sz="0" w:space="0" w:color="auto"/>
      </w:divBdr>
    </w:div>
    <w:div w:id="1166748797">
      <w:bodyDiv w:val="1"/>
      <w:marLeft w:val="0"/>
      <w:marRight w:val="0"/>
      <w:marTop w:val="0"/>
      <w:marBottom w:val="0"/>
      <w:divBdr>
        <w:top w:val="none" w:sz="0" w:space="0" w:color="auto"/>
        <w:left w:val="none" w:sz="0" w:space="0" w:color="auto"/>
        <w:bottom w:val="none" w:sz="0" w:space="0" w:color="auto"/>
        <w:right w:val="none" w:sz="0" w:space="0" w:color="auto"/>
      </w:divBdr>
    </w:div>
    <w:div w:id="1197737450">
      <w:bodyDiv w:val="1"/>
      <w:marLeft w:val="0"/>
      <w:marRight w:val="0"/>
      <w:marTop w:val="0"/>
      <w:marBottom w:val="0"/>
      <w:divBdr>
        <w:top w:val="none" w:sz="0" w:space="0" w:color="auto"/>
        <w:left w:val="none" w:sz="0" w:space="0" w:color="auto"/>
        <w:bottom w:val="none" w:sz="0" w:space="0" w:color="auto"/>
        <w:right w:val="none" w:sz="0" w:space="0" w:color="auto"/>
      </w:divBdr>
    </w:div>
    <w:div w:id="1465924573">
      <w:bodyDiv w:val="1"/>
      <w:marLeft w:val="0"/>
      <w:marRight w:val="0"/>
      <w:marTop w:val="0"/>
      <w:marBottom w:val="0"/>
      <w:divBdr>
        <w:top w:val="none" w:sz="0" w:space="0" w:color="auto"/>
        <w:left w:val="none" w:sz="0" w:space="0" w:color="auto"/>
        <w:bottom w:val="none" w:sz="0" w:space="0" w:color="auto"/>
        <w:right w:val="none" w:sz="0" w:space="0" w:color="auto"/>
      </w:divBdr>
    </w:div>
    <w:div w:id="1495103894">
      <w:bodyDiv w:val="1"/>
      <w:marLeft w:val="0"/>
      <w:marRight w:val="0"/>
      <w:marTop w:val="0"/>
      <w:marBottom w:val="0"/>
      <w:divBdr>
        <w:top w:val="none" w:sz="0" w:space="0" w:color="auto"/>
        <w:left w:val="none" w:sz="0" w:space="0" w:color="auto"/>
        <w:bottom w:val="none" w:sz="0" w:space="0" w:color="auto"/>
        <w:right w:val="none" w:sz="0" w:space="0" w:color="auto"/>
      </w:divBdr>
    </w:div>
    <w:div w:id="1948927052">
      <w:bodyDiv w:val="1"/>
      <w:marLeft w:val="0"/>
      <w:marRight w:val="0"/>
      <w:marTop w:val="0"/>
      <w:marBottom w:val="0"/>
      <w:divBdr>
        <w:top w:val="none" w:sz="0" w:space="0" w:color="auto"/>
        <w:left w:val="none" w:sz="0" w:space="0" w:color="auto"/>
        <w:bottom w:val="none" w:sz="0" w:space="0" w:color="auto"/>
        <w:right w:val="none" w:sz="0" w:space="0" w:color="auto"/>
      </w:divBdr>
    </w:div>
    <w:div w:id="206694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dakaryono@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atot.efrianto@dsn.ubharajay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D59F5-A46A-42EA-867A-19213BD9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12</Pages>
  <Words>5864</Words>
  <Characters>33429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user</cp:lastModifiedBy>
  <cp:revision>57</cp:revision>
  <cp:lastPrinted>2020-07-13T09:32:00Z</cp:lastPrinted>
  <dcterms:created xsi:type="dcterms:W3CDTF">2020-07-13T08:54:00Z</dcterms:created>
  <dcterms:modified xsi:type="dcterms:W3CDTF">2026-04-07T10:26:00Z</dcterms:modified>
</cp:coreProperties>
</file>