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ECD88" w14:textId="77777777"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14:paraId="700FD609" w14:textId="77777777" w:rsidR="002421A7" w:rsidRDefault="002421A7" w:rsidP="002421A7">
      <w:pPr>
        <w:pStyle w:val="Heading3"/>
        <w:spacing w:before="0" w:after="0" w:line="240" w:lineRule="auto"/>
        <w:jc w:val="center"/>
        <w:rPr>
          <w:rFonts w:ascii="Arial Narrow" w:eastAsia="Cambria" w:hAnsi="Arial Narrow" w:cs="Arial"/>
          <w:b/>
          <w:sz w:val="28"/>
          <w:szCs w:val="28"/>
          <w:lang w:val="id-ID"/>
        </w:rPr>
      </w:pPr>
    </w:p>
    <w:p w14:paraId="2A930C62" w14:textId="16B6ABDA" w:rsidR="00D84B80" w:rsidRPr="00D84B80" w:rsidRDefault="00D84B80" w:rsidP="00D84B80">
      <w:pPr>
        <w:jc w:val="center"/>
        <w:rPr>
          <w:rFonts w:ascii="Arial Narrow" w:hAnsi="Arial Narrow" w:cs="Times New Roman"/>
          <w:b/>
          <w:bCs/>
          <w:sz w:val="28"/>
          <w:szCs w:val="28"/>
        </w:rPr>
      </w:pPr>
      <w:r w:rsidRPr="00D84B80">
        <w:rPr>
          <w:rFonts w:ascii="Arial Narrow" w:hAnsi="Arial Narrow" w:cs="Times New Roman"/>
          <w:b/>
          <w:bCs/>
          <w:sz w:val="28"/>
          <w:szCs w:val="28"/>
        </w:rPr>
        <w:t>JOKI ANAK DI</w:t>
      </w:r>
      <w:r w:rsidR="00586593">
        <w:rPr>
          <w:rFonts w:ascii="Arial Narrow" w:hAnsi="Arial Narrow" w:cs="Times New Roman"/>
          <w:b/>
          <w:bCs/>
          <w:sz w:val="28"/>
          <w:szCs w:val="28"/>
        </w:rPr>
        <w:t xml:space="preserve"> </w:t>
      </w:r>
      <w:r w:rsidRPr="00D84B80">
        <w:rPr>
          <w:rFonts w:ascii="Arial Narrow" w:hAnsi="Arial Narrow" w:cs="Times New Roman"/>
          <w:b/>
          <w:bCs/>
          <w:sz w:val="28"/>
          <w:szCs w:val="28"/>
        </w:rPr>
        <w:t xml:space="preserve">BAWAH UMUR DALAM TRADISI PACUAN KUDA DI SUMBA TIMUR PERSPEKTIF TEORI </w:t>
      </w:r>
      <w:r w:rsidRPr="00D84B80">
        <w:rPr>
          <w:rFonts w:ascii="Arial Narrow" w:hAnsi="Arial Narrow" w:cs="Times New Roman"/>
          <w:b/>
          <w:i/>
          <w:sz w:val="28"/>
          <w:szCs w:val="28"/>
        </w:rPr>
        <w:t>LAW AS A TOOL OF SOCIAL ENGINEERING</w:t>
      </w:r>
      <w:r w:rsidRPr="00D84B80">
        <w:rPr>
          <w:rFonts w:ascii="Arial Narrow" w:hAnsi="Arial Narrow" w:cs="Times New Roman"/>
          <w:b/>
          <w:bCs/>
          <w:sz w:val="28"/>
          <w:szCs w:val="28"/>
        </w:rPr>
        <w:t xml:space="preserve"> </w:t>
      </w:r>
    </w:p>
    <w:p w14:paraId="664EE1D8" w14:textId="533AEDAF" w:rsidR="002421A7" w:rsidRPr="00D84B80" w:rsidRDefault="002421A7" w:rsidP="00D84B80">
      <w:pPr>
        <w:tabs>
          <w:tab w:val="left" w:pos="1560"/>
        </w:tabs>
        <w:spacing w:after="0" w:line="240" w:lineRule="auto"/>
        <w:jc w:val="center"/>
        <w:rPr>
          <w:rFonts w:ascii="Arial Narrow" w:hAnsi="Arial Narrow"/>
          <w:sz w:val="20"/>
          <w:szCs w:val="20"/>
          <w:lang w:val="id-ID"/>
        </w:rPr>
      </w:pPr>
    </w:p>
    <w:p w14:paraId="2DFC3DB6" w14:textId="6A868131" w:rsidR="003F72BA" w:rsidRPr="001C735F" w:rsidRDefault="00D84B80" w:rsidP="003F72BA">
      <w:pPr>
        <w:spacing w:line="240" w:lineRule="auto"/>
        <w:jc w:val="center"/>
        <w:rPr>
          <w:rFonts w:ascii="Arial Narrow" w:hAnsi="Arial Narrow" w:cs="Times New Roman"/>
          <w:sz w:val="24"/>
          <w:szCs w:val="24"/>
        </w:rPr>
      </w:pPr>
      <w:r w:rsidRPr="001C735F">
        <w:rPr>
          <w:rFonts w:ascii="Arial Narrow" w:hAnsi="Arial Narrow" w:cs="Times New Roman"/>
          <w:sz w:val="24"/>
          <w:szCs w:val="24"/>
        </w:rPr>
        <w:t>Delvis Tamu Boku</w:t>
      </w:r>
      <w:r w:rsidR="003F72BA" w:rsidRPr="001C735F">
        <w:rPr>
          <w:rFonts w:ascii="Arial Narrow" w:hAnsi="Arial Narrow" w:cs="Times New Roman"/>
          <w:sz w:val="24"/>
          <w:szCs w:val="24"/>
        </w:rPr>
        <w:t xml:space="preserve">* </w:t>
      </w:r>
      <w:r w:rsidR="00623EA5" w:rsidRPr="001C735F">
        <w:rPr>
          <w:rFonts w:ascii="Arial Narrow" w:hAnsi="Arial Narrow" w:cs="Times New Roman"/>
          <w:sz w:val="24"/>
          <w:szCs w:val="24"/>
        </w:rPr>
        <w:t xml:space="preserve">Fransiskus </w:t>
      </w:r>
      <w:r w:rsidR="003F72BA" w:rsidRPr="001C735F">
        <w:rPr>
          <w:rFonts w:ascii="Arial Narrow" w:hAnsi="Arial Narrow" w:cs="Times New Roman"/>
          <w:sz w:val="24"/>
          <w:szCs w:val="24"/>
        </w:rPr>
        <w:t>Sverius Nurdin** Maure</w:t>
      </w:r>
      <w:r w:rsidR="00146D88">
        <w:rPr>
          <w:rFonts w:ascii="Arial Narrow" w:hAnsi="Arial Narrow" w:cs="Times New Roman"/>
          <w:sz w:val="24"/>
          <w:szCs w:val="24"/>
        </w:rPr>
        <w:t>e</w:t>
      </w:r>
      <w:r w:rsidR="003F72BA" w:rsidRPr="001C735F">
        <w:rPr>
          <w:rFonts w:ascii="Arial Narrow" w:hAnsi="Arial Narrow" w:cs="Times New Roman"/>
          <w:sz w:val="24"/>
          <w:szCs w:val="24"/>
        </w:rPr>
        <w:t>n V.</w:t>
      </w:r>
      <w:r w:rsidR="00B31FC8" w:rsidRPr="001C735F">
        <w:rPr>
          <w:rFonts w:ascii="Arial Narrow" w:hAnsi="Arial Narrow" w:cs="Times New Roman"/>
          <w:sz w:val="24"/>
          <w:szCs w:val="24"/>
        </w:rPr>
        <w:t xml:space="preserve"> </w:t>
      </w:r>
      <w:r w:rsidR="003F72BA" w:rsidRPr="001C735F">
        <w:rPr>
          <w:rFonts w:ascii="Arial Narrow" w:hAnsi="Arial Narrow" w:cs="Times New Roman"/>
          <w:sz w:val="24"/>
          <w:szCs w:val="24"/>
        </w:rPr>
        <w:t>Plaikoil</w:t>
      </w:r>
      <w:r w:rsidR="00B31FC8" w:rsidRPr="001C735F">
        <w:rPr>
          <w:rFonts w:ascii="Arial Narrow" w:hAnsi="Arial Narrow" w:cs="Times New Roman"/>
          <w:sz w:val="24"/>
          <w:szCs w:val="24"/>
        </w:rPr>
        <w:t>***</w:t>
      </w:r>
      <w:r w:rsidRPr="001C735F">
        <w:rPr>
          <w:rFonts w:ascii="Arial Narrow" w:hAnsi="Arial Narrow" w:cs="Times New Roman"/>
          <w:sz w:val="24"/>
          <w:szCs w:val="24"/>
        </w:rPr>
        <w:br/>
        <w:t>Program Studi Hukum, Universitas Kristen Wira Wacana Sumba</w:t>
      </w:r>
    </w:p>
    <w:p w14:paraId="7B3AF7ED" w14:textId="1849F112" w:rsidR="00D84B80" w:rsidRPr="003F232C" w:rsidRDefault="003F72BA" w:rsidP="003F232C">
      <w:pPr>
        <w:spacing w:line="240" w:lineRule="auto"/>
        <w:jc w:val="center"/>
        <w:rPr>
          <w:sz w:val="18"/>
          <w:szCs w:val="18"/>
        </w:rPr>
      </w:pPr>
      <w:r w:rsidRPr="003F232C">
        <w:rPr>
          <w:rFonts w:ascii="Arial Narrow" w:hAnsi="Arial Narrow" w:cs="Times New Roman"/>
          <w:sz w:val="18"/>
          <w:szCs w:val="18"/>
        </w:rPr>
        <w:t>Jalan R.</w:t>
      </w:r>
      <w:r w:rsidR="00B31FC8" w:rsidRPr="003F232C">
        <w:rPr>
          <w:rFonts w:ascii="Arial Narrow" w:hAnsi="Arial Narrow" w:cs="Times New Roman"/>
          <w:sz w:val="18"/>
          <w:szCs w:val="18"/>
        </w:rPr>
        <w:t xml:space="preserve"> </w:t>
      </w:r>
      <w:r w:rsidRPr="003F232C">
        <w:rPr>
          <w:rFonts w:ascii="Arial Narrow" w:hAnsi="Arial Narrow" w:cs="Times New Roman"/>
          <w:sz w:val="18"/>
          <w:szCs w:val="18"/>
        </w:rPr>
        <w:t>S</w:t>
      </w:r>
      <w:r w:rsidR="00672E0C" w:rsidRPr="003F232C">
        <w:rPr>
          <w:rFonts w:ascii="Arial Narrow" w:hAnsi="Arial Narrow" w:cs="Times New Roman"/>
          <w:sz w:val="18"/>
          <w:szCs w:val="18"/>
        </w:rPr>
        <w:t>oeprapto No.35 Waingapu Sumba Ti</w:t>
      </w:r>
      <w:r w:rsidRPr="003F232C">
        <w:rPr>
          <w:rFonts w:ascii="Arial Narrow" w:hAnsi="Arial Narrow" w:cs="Times New Roman"/>
          <w:sz w:val="18"/>
          <w:szCs w:val="18"/>
        </w:rPr>
        <w:t>mur-NTT Indonesia</w:t>
      </w:r>
      <w:r w:rsidR="00D84B80" w:rsidRPr="003F232C">
        <w:rPr>
          <w:rFonts w:ascii="Arial Narrow" w:hAnsi="Arial Narrow" w:cs="Times New Roman"/>
          <w:sz w:val="18"/>
          <w:szCs w:val="18"/>
        </w:rPr>
        <w:br/>
      </w:r>
      <w:r w:rsidR="00B31FC8" w:rsidRPr="003F232C">
        <w:rPr>
          <w:rFonts w:ascii="Arial Narrow" w:hAnsi="Arial Narrow" w:cs="Times New Roman"/>
          <w:sz w:val="18"/>
          <w:szCs w:val="18"/>
        </w:rPr>
        <w:t xml:space="preserve"> </w:t>
      </w:r>
      <w:r w:rsidR="00D84B80" w:rsidRPr="003F232C">
        <w:rPr>
          <w:rFonts w:ascii="Arial Narrow" w:hAnsi="Arial Narrow" w:cs="Times New Roman"/>
          <w:sz w:val="18"/>
          <w:szCs w:val="18"/>
        </w:rPr>
        <w:t xml:space="preserve">Email: </w:t>
      </w:r>
      <w:hyperlink r:id="rId8" w:history="1">
        <w:r w:rsidR="00D84B80" w:rsidRPr="003F232C">
          <w:rPr>
            <w:rStyle w:val="Hyperlink"/>
            <w:rFonts w:ascii="Arial Narrow" w:hAnsi="Arial Narrow" w:cs="Times New Roman"/>
            <w:sz w:val="18"/>
            <w:szCs w:val="18"/>
          </w:rPr>
          <w:t>delvistamuboku@gmail.com</w:t>
        </w:r>
      </w:hyperlink>
      <w:r w:rsidR="003F232C" w:rsidRPr="003F232C">
        <w:rPr>
          <w:sz w:val="18"/>
          <w:szCs w:val="18"/>
        </w:rPr>
        <w:t xml:space="preserve">, </w:t>
      </w:r>
      <w:hyperlink r:id="rId9" w:history="1">
        <w:r w:rsidR="003F232C" w:rsidRPr="003F232C">
          <w:rPr>
            <w:rStyle w:val="Hyperlink"/>
            <w:rFonts w:ascii="Arial Narrow" w:hAnsi="Arial Narrow"/>
            <w:sz w:val="18"/>
            <w:szCs w:val="18"/>
          </w:rPr>
          <w:t>fransiskus@unkriswina.ac.id</w:t>
        </w:r>
      </w:hyperlink>
      <w:r w:rsidR="003F232C" w:rsidRPr="003F232C">
        <w:rPr>
          <w:rFonts w:ascii="Arial Narrow" w:hAnsi="Arial Narrow"/>
          <w:sz w:val="18"/>
          <w:szCs w:val="18"/>
        </w:rPr>
        <w:t xml:space="preserve">, </w:t>
      </w:r>
      <w:hyperlink r:id="rId10" w:history="1">
        <w:r w:rsidR="003F232C" w:rsidRPr="003F232C">
          <w:rPr>
            <w:rStyle w:val="Hyperlink"/>
            <w:rFonts w:ascii="Arial Narrow" w:hAnsi="Arial Narrow"/>
            <w:sz w:val="18"/>
            <w:szCs w:val="18"/>
          </w:rPr>
          <w:t>maureenplaikoil@unkriswina.ac.id</w:t>
        </w:r>
      </w:hyperlink>
    </w:p>
    <w:p w14:paraId="204644D9" w14:textId="77777777"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14:paraId="2588951D" w14:textId="77777777" w:rsidTr="00565EE0">
        <w:tc>
          <w:tcPr>
            <w:tcW w:w="8364" w:type="dxa"/>
          </w:tcPr>
          <w:p w14:paraId="42CBF526" w14:textId="77777777"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bl>
    <w:p w14:paraId="03CD3901" w14:textId="64368673" w:rsidR="00770033" w:rsidRDefault="00770033" w:rsidP="003F232C">
      <w:pPr>
        <w:pStyle w:val="ListParagraph"/>
        <w:spacing w:after="0" w:line="240" w:lineRule="auto"/>
        <w:ind w:left="360"/>
        <w:jc w:val="both"/>
        <w:rPr>
          <w:rFonts w:ascii="Arial Narrow" w:hAnsi="Arial Narrow" w:cs="Times New Roman"/>
        </w:rPr>
      </w:pPr>
      <w:r w:rsidRPr="00770033">
        <w:rPr>
          <w:rFonts w:ascii="Arial Narrow" w:hAnsi="Arial Narrow" w:cs="Times New Roman"/>
        </w:rPr>
        <w:t xml:space="preserve">Penelitian ini </w:t>
      </w:r>
      <w:r w:rsidR="00E80223">
        <w:rPr>
          <w:rFonts w:ascii="Arial Narrow" w:hAnsi="Arial Narrow" w:cs="Times New Roman"/>
        </w:rPr>
        <w:t xml:space="preserve">bertujuan menganalisis fenomena penggunaan </w:t>
      </w:r>
      <w:r w:rsidRPr="00770033">
        <w:rPr>
          <w:rFonts w:ascii="Arial Narrow" w:hAnsi="Arial Narrow" w:cs="Times New Roman"/>
        </w:rPr>
        <w:t>anak di bawah umur sebagai joki dalam tradisi pacuan kuda di Kabupaten Sumba Timur</w:t>
      </w:r>
      <w:r w:rsidR="00E80223">
        <w:rPr>
          <w:rFonts w:ascii="Arial Narrow" w:hAnsi="Arial Narrow" w:cs="Times New Roman"/>
        </w:rPr>
        <w:t>, dengan menggunakan</w:t>
      </w:r>
      <w:r w:rsidRPr="00770033">
        <w:rPr>
          <w:rFonts w:ascii="Arial Narrow" w:hAnsi="Arial Narrow" w:cs="Times New Roman"/>
        </w:rPr>
        <w:t xml:space="preserve"> </w:t>
      </w:r>
      <w:r w:rsidR="00E80223">
        <w:rPr>
          <w:rFonts w:ascii="Arial Narrow" w:hAnsi="Arial Narrow" w:cs="Times New Roman"/>
        </w:rPr>
        <w:t>teori</w:t>
      </w:r>
      <w:r w:rsidRPr="00770033">
        <w:rPr>
          <w:rFonts w:ascii="Arial Narrow" w:hAnsi="Arial Narrow" w:cs="Times New Roman"/>
        </w:rPr>
        <w:t xml:space="preserve"> </w:t>
      </w:r>
      <w:r w:rsidRPr="000F4A6B">
        <w:rPr>
          <w:rFonts w:ascii="Arial Narrow" w:hAnsi="Arial Narrow" w:cs="Times New Roman"/>
          <w:i/>
        </w:rPr>
        <w:t>law as a tool of social engineering</w:t>
      </w:r>
      <w:r w:rsidR="00E80223">
        <w:rPr>
          <w:rFonts w:ascii="Arial Narrow" w:hAnsi="Arial Narrow" w:cs="Times New Roman"/>
          <w:i/>
        </w:rPr>
        <w:t xml:space="preserve"> </w:t>
      </w:r>
      <w:r w:rsidR="00E80223" w:rsidRPr="00E80223">
        <w:rPr>
          <w:rFonts w:ascii="Arial Narrow" w:hAnsi="Arial Narrow" w:cs="Times New Roman"/>
          <w:iCs/>
        </w:rPr>
        <w:t>sebagai basis pijakan analisis</w:t>
      </w:r>
      <w:r w:rsidRPr="00770033">
        <w:rPr>
          <w:rFonts w:ascii="Arial Narrow" w:hAnsi="Arial Narrow" w:cs="Times New Roman"/>
        </w:rPr>
        <w:t xml:space="preserve">. Praktik </w:t>
      </w:r>
      <w:r w:rsidR="001C735F">
        <w:rPr>
          <w:rFonts w:ascii="Arial Narrow" w:hAnsi="Arial Narrow" w:cs="Times New Roman"/>
        </w:rPr>
        <w:t xml:space="preserve">penggunaan joki anak </w:t>
      </w:r>
      <w:r w:rsidRPr="00770033">
        <w:rPr>
          <w:rFonts w:ascii="Arial Narrow" w:hAnsi="Arial Narrow" w:cs="Times New Roman"/>
        </w:rPr>
        <w:t xml:space="preserve">tersebut merupakan tradisi </w:t>
      </w:r>
      <w:r w:rsidR="00586593">
        <w:rPr>
          <w:rFonts w:ascii="Arial Narrow" w:hAnsi="Arial Narrow" w:cs="Times New Roman"/>
        </w:rPr>
        <w:t xml:space="preserve">yang sudah dianggap </w:t>
      </w:r>
      <w:r w:rsidRPr="00770033">
        <w:rPr>
          <w:rFonts w:ascii="Arial Narrow" w:hAnsi="Arial Narrow" w:cs="Times New Roman"/>
        </w:rPr>
        <w:t>budaya yang telah berlangsung lama, namun menimbulkan persoalan hukum terkait perlindungan</w:t>
      </w:r>
      <w:r w:rsidR="001C735F">
        <w:rPr>
          <w:rFonts w:ascii="Arial Narrow" w:hAnsi="Arial Narrow" w:cs="Times New Roman"/>
        </w:rPr>
        <w:t xml:space="preserve"> anak</w:t>
      </w:r>
      <w:r w:rsidR="00586593">
        <w:rPr>
          <w:rFonts w:ascii="Arial Narrow" w:hAnsi="Arial Narrow" w:cs="Times New Roman"/>
        </w:rPr>
        <w:t>.</w:t>
      </w:r>
      <w:r w:rsidR="00C82483">
        <w:rPr>
          <w:rFonts w:ascii="Arial Narrow" w:hAnsi="Arial Narrow" w:cs="Times New Roman"/>
        </w:rPr>
        <w:t xml:space="preserve"> Hal ini menunjukkan adanya ketegang</w:t>
      </w:r>
      <w:r w:rsidR="00C46070">
        <w:rPr>
          <w:rFonts w:ascii="Arial Narrow" w:hAnsi="Arial Narrow" w:cs="Times New Roman"/>
        </w:rPr>
        <w:t>an</w:t>
      </w:r>
      <w:r w:rsidR="00C82483">
        <w:rPr>
          <w:rFonts w:ascii="Arial Narrow" w:hAnsi="Arial Narrow" w:cs="Times New Roman"/>
        </w:rPr>
        <w:t xml:space="preserve"> antara praktik budaya dan norma hukum posistif</w:t>
      </w:r>
      <w:r w:rsidR="00C46070">
        <w:rPr>
          <w:rFonts w:ascii="Arial Narrow" w:hAnsi="Arial Narrow" w:cs="Times New Roman"/>
        </w:rPr>
        <w:t xml:space="preserve"> yang menu</w:t>
      </w:r>
      <w:r w:rsidR="008A040C">
        <w:rPr>
          <w:rFonts w:ascii="Arial Narrow" w:hAnsi="Arial Narrow" w:cs="Times New Roman"/>
        </w:rPr>
        <w:t>n</w:t>
      </w:r>
      <w:r w:rsidR="00C46070">
        <w:rPr>
          <w:rFonts w:ascii="Arial Narrow" w:hAnsi="Arial Narrow" w:cs="Times New Roman"/>
        </w:rPr>
        <w:t>tut perlindugan terhadap anak.</w:t>
      </w:r>
      <w:r w:rsidR="00C82483">
        <w:rPr>
          <w:rFonts w:ascii="Arial Narrow" w:hAnsi="Arial Narrow" w:cs="Times New Roman"/>
        </w:rPr>
        <w:t xml:space="preserve"> </w:t>
      </w:r>
      <w:r w:rsidR="00E80223">
        <w:rPr>
          <w:rFonts w:ascii="Arial Narrow" w:hAnsi="Arial Narrow" w:cs="Times New Roman"/>
        </w:rPr>
        <w:t>Untuk mengantar analisis sampai kilimaks maka p</w:t>
      </w:r>
      <w:r w:rsidRPr="00770033">
        <w:rPr>
          <w:rFonts w:ascii="Arial Narrow" w:hAnsi="Arial Narrow" w:cs="Times New Roman"/>
        </w:rPr>
        <w:t>enelitian ini menggunakan metode penelitian hukum dengan pendekatan perundang-undangan dan filsafat</w:t>
      </w:r>
      <w:r w:rsidR="001C735F">
        <w:rPr>
          <w:rFonts w:ascii="Arial Narrow" w:hAnsi="Arial Narrow" w:cs="Times New Roman"/>
        </w:rPr>
        <w:t xml:space="preserve"> hukum</w:t>
      </w:r>
      <w:r w:rsidRPr="00770033">
        <w:rPr>
          <w:rFonts w:ascii="Arial Narrow" w:hAnsi="Arial Narrow" w:cs="Times New Roman"/>
        </w:rPr>
        <w:t>.</w:t>
      </w:r>
      <w:r w:rsidR="00586593">
        <w:rPr>
          <w:rFonts w:ascii="Arial Narrow" w:hAnsi="Arial Narrow" w:cs="Times New Roman"/>
        </w:rPr>
        <w:t xml:space="preserve"> Penelitian ini menyimpulkan bahwa d</w:t>
      </w:r>
      <w:r w:rsidRPr="00453C33">
        <w:rPr>
          <w:rFonts w:ascii="Arial Narrow" w:hAnsi="Arial Narrow" w:cs="Times New Roman"/>
        </w:rPr>
        <w:t xml:space="preserve">alam perspektif </w:t>
      </w:r>
      <w:r w:rsidR="00586593">
        <w:rPr>
          <w:rFonts w:ascii="Arial Narrow" w:hAnsi="Arial Narrow" w:cs="Times New Roman"/>
        </w:rPr>
        <w:t>hukum sebagai</w:t>
      </w:r>
      <w:r w:rsidR="00D5384F">
        <w:rPr>
          <w:rFonts w:ascii="Arial Narrow" w:hAnsi="Arial Narrow" w:cs="Times New Roman"/>
        </w:rPr>
        <w:t xml:space="preserve"> alat</w:t>
      </w:r>
      <w:r w:rsidR="00586593">
        <w:rPr>
          <w:rFonts w:ascii="Arial Narrow" w:hAnsi="Arial Narrow" w:cs="Times New Roman"/>
        </w:rPr>
        <w:t xml:space="preserve"> </w:t>
      </w:r>
      <w:r w:rsidRPr="00453C33">
        <w:rPr>
          <w:rFonts w:ascii="Arial Narrow" w:hAnsi="Arial Narrow" w:cs="Times New Roman"/>
        </w:rPr>
        <w:t xml:space="preserve">rekayasa sosial </w:t>
      </w:r>
      <w:r w:rsidR="00586593">
        <w:rPr>
          <w:rFonts w:ascii="Arial Narrow" w:hAnsi="Arial Narrow" w:cs="Times New Roman"/>
        </w:rPr>
        <w:t>(</w:t>
      </w:r>
      <w:r w:rsidR="00586593" w:rsidRPr="000F4A6B">
        <w:rPr>
          <w:rFonts w:ascii="Arial Narrow" w:hAnsi="Arial Narrow" w:cs="Times New Roman"/>
          <w:i/>
        </w:rPr>
        <w:t>law as a tool of socia</w:t>
      </w:r>
      <w:r w:rsidR="006F5788">
        <w:rPr>
          <w:rFonts w:ascii="Arial Narrow" w:hAnsi="Arial Narrow" w:cs="Times New Roman"/>
          <w:i/>
        </w:rPr>
        <w:t>l engineering</w:t>
      </w:r>
      <w:r w:rsidR="00586593">
        <w:rPr>
          <w:rFonts w:ascii="Arial Narrow" w:hAnsi="Arial Narrow" w:cs="Times New Roman"/>
          <w:i/>
        </w:rPr>
        <w:t>)</w:t>
      </w:r>
      <w:r w:rsidRPr="00453C33">
        <w:rPr>
          <w:rFonts w:ascii="Arial Narrow" w:hAnsi="Arial Narrow" w:cs="Times New Roman"/>
        </w:rPr>
        <w:t>, hukum harus mampu menyeimbangkan antara pelestarian budaya dan perlindungan anak melalui regulasi yang adaptif serta peningkatan kesadaran masyarakat</w:t>
      </w:r>
      <w:r w:rsidR="001C735F">
        <w:rPr>
          <w:rFonts w:ascii="Arial Narrow" w:hAnsi="Arial Narrow" w:cs="Times New Roman"/>
        </w:rPr>
        <w:t xml:space="preserve"> pentingnya ketaatan terhadap hukum</w:t>
      </w:r>
      <w:r w:rsidR="003F232C">
        <w:rPr>
          <w:rFonts w:ascii="Arial Narrow" w:hAnsi="Arial Narrow" w:cs="Times New Roman"/>
        </w:rPr>
        <w:t xml:space="preserve"> atau hukum </w:t>
      </w:r>
      <w:r w:rsidR="00373F14">
        <w:rPr>
          <w:rFonts w:ascii="Arial Narrow" w:hAnsi="Arial Narrow" w:cs="Times New Roman"/>
        </w:rPr>
        <w:t>a</w:t>
      </w:r>
      <w:r w:rsidR="003F232C">
        <w:rPr>
          <w:rFonts w:ascii="Arial Narrow" w:hAnsi="Arial Narrow" w:cs="Times New Roman"/>
        </w:rPr>
        <w:t>dalah sarana yang dapat digunakan untuk membentuk masyarakat dan mengatur tingkah laku manusia</w:t>
      </w:r>
    </w:p>
    <w:p w14:paraId="04B5A0DC" w14:textId="19A18B75" w:rsidR="001C735F" w:rsidRDefault="001C735F" w:rsidP="001C735F">
      <w:pPr>
        <w:pStyle w:val="ListParagraph"/>
        <w:spacing w:after="0" w:line="360" w:lineRule="auto"/>
        <w:ind w:left="360"/>
        <w:jc w:val="both"/>
        <w:rPr>
          <w:rFonts w:ascii="Arial Narrow" w:hAnsi="Arial Narrow" w:cs="Times New Roman"/>
        </w:rPr>
      </w:pPr>
      <w:r w:rsidRPr="00770033">
        <w:rPr>
          <w:rFonts w:ascii="Arial Narrow" w:hAnsi="Arial Narrow" w:cs="Times New Roman"/>
          <w:b/>
        </w:rPr>
        <w:t>Kata kunci</w:t>
      </w:r>
      <w:r w:rsidRPr="00770033">
        <w:rPr>
          <w:rFonts w:ascii="Arial Narrow" w:hAnsi="Arial Narrow" w:cs="Times New Roman"/>
        </w:rPr>
        <w:t xml:space="preserve">: </w:t>
      </w:r>
      <w:r w:rsidRPr="00586593">
        <w:rPr>
          <w:rFonts w:ascii="Arial Narrow" w:hAnsi="Arial Narrow" w:cs="Times New Roman"/>
          <w:i/>
          <w:iCs/>
        </w:rPr>
        <w:t>Pacuan Kuda, Anak Di Bawah Umur, Huku</w:t>
      </w:r>
      <w:r w:rsidR="00DA0680">
        <w:rPr>
          <w:rFonts w:ascii="Arial Narrow" w:hAnsi="Arial Narrow" w:cs="Times New Roman"/>
          <w:i/>
          <w:iCs/>
        </w:rPr>
        <w:t>m Sebagai Rekayasa Social, Rosco</w:t>
      </w:r>
      <w:r w:rsidRPr="00586593">
        <w:rPr>
          <w:rFonts w:ascii="Arial Narrow" w:hAnsi="Arial Narrow" w:cs="Times New Roman"/>
          <w:i/>
          <w:iCs/>
        </w:rPr>
        <w:t>e Pound</w:t>
      </w:r>
    </w:p>
    <w:p w14:paraId="03D3AA6B" w14:textId="77777777" w:rsidR="001C735F" w:rsidRDefault="001C735F" w:rsidP="00453C33">
      <w:pPr>
        <w:pStyle w:val="ListParagraph"/>
        <w:spacing w:after="0" w:line="360" w:lineRule="auto"/>
        <w:ind w:left="360"/>
        <w:jc w:val="both"/>
        <w:rPr>
          <w:rFonts w:ascii="Arial Narrow" w:hAnsi="Arial Narrow" w:cs="Times New Roman"/>
        </w:rPr>
      </w:pPr>
    </w:p>
    <w:p w14:paraId="79A1D435" w14:textId="140D2EAE" w:rsidR="001C735F" w:rsidRPr="003F232C" w:rsidRDefault="001C735F" w:rsidP="001C735F">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i/>
          <w:iCs/>
        </w:rPr>
      </w:pPr>
      <w:r w:rsidRPr="003F232C">
        <w:rPr>
          <w:rFonts w:ascii="Arial Narrow" w:eastAsia="Book Antiqua" w:hAnsi="Arial Narrow" w:cs="Book Antiqua"/>
          <w:b/>
          <w:i/>
          <w:iCs/>
          <w:sz w:val="22"/>
          <w:szCs w:val="22"/>
        </w:rPr>
        <w:t>ABSTRACT</w:t>
      </w:r>
      <w:r w:rsidRPr="003F232C">
        <w:rPr>
          <w:rFonts w:ascii="Arial Narrow" w:hAnsi="Arial Narrow"/>
          <w:i/>
          <w:iCs/>
        </w:rPr>
        <w:t xml:space="preserve"> </w:t>
      </w:r>
    </w:p>
    <w:p w14:paraId="5B2B5E0B" w14:textId="2877E218" w:rsidR="001C735F" w:rsidRPr="00453C33" w:rsidRDefault="003F232C" w:rsidP="003F232C">
      <w:pPr>
        <w:pStyle w:val="ListParagraph"/>
        <w:spacing w:after="0" w:line="240" w:lineRule="auto"/>
        <w:ind w:left="360"/>
        <w:jc w:val="both"/>
        <w:rPr>
          <w:rFonts w:ascii="Arial Narrow" w:hAnsi="Arial Narrow" w:cs="Times New Roman"/>
        </w:rPr>
      </w:pPr>
      <w:r w:rsidRPr="003F232C">
        <w:rPr>
          <w:rFonts w:ascii="Arial Narrow" w:hAnsi="Arial Narrow" w:cs="Times New Roman"/>
        </w:rPr>
        <w:t>This study aims to analyze the phenomenon of the use of minors as jockeys in horse racing traditions in East Sumba Regency, using the theory of law as a tool of social engineering as the basis for analysis. The practice of using child jockeys is a tradition that has been considered a long-standing culture, but it raises legal issues related to child protection. This indicates a tension between cultural practices and positive legal norms that demand the protection of children. To bring the analysis to its climax, this study uses a legal research method with a legislative approach and legal philosophy. This study concludes that from the perspective of law as a tool of social engineering, the law must be able to balance between cultural preservation and child protection through adaptive regulations and increasing public awareness of the importance of obedience to the law or law is a tool that can be used to shape society and regulate human behavior.</w:t>
      </w:r>
    </w:p>
    <w:p w14:paraId="51FA26F7" w14:textId="09624C80" w:rsidR="001C735F" w:rsidRDefault="001C735F" w:rsidP="001C735F">
      <w:pPr>
        <w:pStyle w:val="ListParagraph"/>
        <w:spacing w:after="0" w:line="360" w:lineRule="auto"/>
        <w:ind w:left="360"/>
        <w:jc w:val="both"/>
        <w:rPr>
          <w:rFonts w:ascii="Arial Narrow" w:hAnsi="Arial Narrow" w:cs="Times New Roman"/>
        </w:rPr>
      </w:pPr>
      <w:r>
        <w:rPr>
          <w:rFonts w:ascii="Arial Narrow" w:hAnsi="Arial Narrow" w:cs="Times New Roman"/>
          <w:b/>
        </w:rPr>
        <w:t>Key Words</w:t>
      </w:r>
      <w:r w:rsidRPr="00770033">
        <w:rPr>
          <w:rFonts w:ascii="Arial Narrow" w:hAnsi="Arial Narrow" w:cs="Times New Roman"/>
        </w:rPr>
        <w:t xml:space="preserve">: </w:t>
      </w:r>
      <w:r w:rsidR="00586B96" w:rsidRPr="00586B96">
        <w:rPr>
          <w:rFonts w:ascii="Arial Narrow" w:hAnsi="Arial Narrow" w:cs="Times New Roman"/>
          <w:i/>
          <w:iCs/>
        </w:rPr>
        <w:t xml:space="preserve">Horse Racing, Minors, </w:t>
      </w:r>
      <w:r w:rsidR="00DA0680">
        <w:rPr>
          <w:rFonts w:ascii="Arial Narrow" w:hAnsi="Arial Narrow" w:cs="Times New Roman"/>
          <w:i/>
          <w:iCs/>
        </w:rPr>
        <w:t>Law as Social Engineering, Rosco</w:t>
      </w:r>
      <w:r w:rsidR="00586B96" w:rsidRPr="00586B96">
        <w:rPr>
          <w:rFonts w:ascii="Arial Narrow" w:hAnsi="Arial Narrow" w:cs="Times New Roman"/>
          <w:i/>
          <w:iCs/>
        </w:rPr>
        <w:t>e Pound</w:t>
      </w:r>
    </w:p>
    <w:p w14:paraId="73108911" w14:textId="77777777" w:rsidR="00770033" w:rsidRDefault="00770033" w:rsidP="00770033">
      <w:pPr>
        <w:pStyle w:val="ListParagraph"/>
        <w:spacing w:after="0" w:line="360" w:lineRule="auto"/>
        <w:ind w:left="360"/>
        <w:jc w:val="both"/>
        <w:rPr>
          <w:rFonts w:ascii="Arial Narrow" w:hAnsi="Arial Narrow" w:cs="Times New Roman"/>
        </w:rPr>
      </w:pPr>
    </w:p>
    <w:p w14:paraId="0C72EDEE" w14:textId="77777777" w:rsidR="00FB5202" w:rsidRPr="00770033" w:rsidRDefault="00FB5202" w:rsidP="00770033">
      <w:pPr>
        <w:pStyle w:val="ListParagraph"/>
        <w:spacing w:after="0" w:line="360" w:lineRule="auto"/>
        <w:ind w:left="360"/>
        <w:jc w:val="both"/>
        <w:rPr>
          <w:rFonts w:ascii="Arial Narrow" w:hAnsi="Arial Narrow" w:cs="Times New Roman"/>
        </w:rPr>
      </w:pPr>
    </w:p>
    <w:p w14:paraId="0184952E" w14:textId="31A4D027" w:rsidR="00E7058E" w:rsidRPr="00586B96" w:rsidRDefault="00E7058E" w:rsidP="006502E8">
      <w:pPr>
        <w:pStyle w:val="ListParagraph"/>
        <w:numPr>
          <w:ilvl w:val="0"/>
          <w:numId w:val="21"/>
        </w:numPr>
        <w:spacing w:after="0" w:line="360" w:lineRule="auto"/>
        <w:jc w:val="both"/>
        <w:rPr>
          <w:rFonts w:ascii="Arial Narrow" w:eastAsia="Times New Roman" w:hAnsi="Arial Narrow"/>
          <w:b/>
          <w:bCs/>
          <w:sz w:val="24"/>
          <w:szCs w:val="24"/>
          <w:lang w:val="id-ID"/>
        </w:rPr>
      </w:pPr>
      <w:r w:rsidRPr="00586B96">
        <w:rPr>
          <w:rFonts w:ascii="Arial Narrow" w:eastAsia="Times New Roman" w:hAnsi="Arial Narrow"/>
          <w:b/>
          <w:bCs/>
          <w:sz w:val="24"/>
          <w:szCs w:val="24"/>
          <w:lang w:val="id-ID"/>
        </w:rPr>
        <w:t>Pendahuluan</w:t>
      </w:r>
    </w:p>
    <w:p w14:paraId="565BBE0E" w14:textId="5DD71E29" w:rsidR="00173F7B" w:rsidRPr="00F44262"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Kebudayaan Indonesia merupakan keseluruhan kebudayaan lokal yang berkembang di berbagai daerah. Menurut Ki Hajar Dewantara, kebudayaan nasional adalah puncak dari kebudayaan daerah yang mencerminkan penguatan persatuan bangsa dalam berbagai aspek, seperti negara kesatuan, ekonomi nasional, hukum nasional, dan bahasa nasional.</w:t>
      </w:r>
      <w:r w:rsidR="00C55D19">
        <w:rPr>
          <w:rFonts w:ascii="Arial Narrow" w:hAnsi="Arial Narrow" w:cs="Times New Roman"/>
          <w:sz w:val="24"/>
          <w:szCs w:val="24"/>
        </w:rPr>
        <w:t xml:space="preserve"> </w:t>
      </w:r>
      <w:r w:rsidR="00C55D19">
        <w:rPr>
          <w:rFonts w:ascii="Arial Narrow" w:hAnsi="Arial Narrow" w:cs="Times New Roman"/>
          <w:sz w:val="24"/>
          <w:szCs w:val="24"/>
        </w:rPr>
        <w:fldChar w:fldCharType="begin" w:fldLock="1"/>
      </w:r>
      <w:r w:rsidR="00C55D19">
        <w:rPr>
          <w:rFonts w:ascii="Arial Narrow" w:hAnsi="Arial Narrow" w:cs="Times New Roman"/>
          <w:sz w:val="24"/>
          <w:szCs w:val="24"/>
        </w:rPr>
        <w:instrText>ADDIN CSL_CITATION {"citationItems":[{"id":"ITEM-1","itemData":{"abstract":"Era globalisasi dapat menimbulkan perubahan pola hidup masyarakat yang lebih modern. Akibatnya masyarakat cenderung untuk memilih kebudayaan baru yang dinilai lebih praktis dibandingkan dengan budaya lokal. Salah satu faktor yang menyebabkan budaya lokal dilupakan dimasa sekarang adalah; kurangnya generasi penerus yang memiliki minat untuk belajar dan mewarisi kebudayaannya sendiri.Oleh karena itu, penulisan artikel ini bertujuan untuk memaparkan tentang upaya melestarikan budaya Indoesia di era globalisasi.Metode yang digunakan dalam tulisan ini adalah kualitatif dengan teknik studi pustaka dalam mengumpulkan data. Menurut Malinowski, Budaya yang lebih tinggi dan aktif akan mempengaruhi budaya yang lebih rendah dan pasif melalui kontak budaya. Teori Malinowski ini sangat nampak dalam pergeseran nilai- nilai budaya kita yang condong ke Barat. Dalam era globalisasi informasi menjadi kekuatan yang sangat dahsyat dalam mempengaruhi pola pikir manusia.Untuk mengatasi hal ini, perlu kesadaran akan pentingnya budaya lokal sebagai jati diri bangsa. Kewajiban bagi setiap lapisan masyarakat untuk mempertahankannya, dimana peran generasi muda sangat diharapkan untuk terus berusaha mewarisi budaya lokal dan akan menjadi kekuatan bagi eksistensi budaya lokal itu sendiri walaupun diterpa arus globalisasi. Upaya dalam Menjaga dan melestarikan budaya Indonesia dapatdilakukan dengan dua cara. yaitu; Culture Experiencedan Culture Knowledge.","author":[{"dropping-particle":"","family":"Nahak","given":"Hildigardis M I","non-dropping-particle":"","parse-names":false,"suffix":""}],"container-title":"Jurnal Sosiologi Nusantara","id":"ITEM-1","issue":"1","issued":{"date-parts":[["2019"]]},"page":"65-76","title":"Upaya melestarikan budaya indonesia di era globalisasi (Effort To Preserve Inddonesian Culture In The Era Of Globalization)","type":"article-journal","volume":"5"},"uris":["http://www.mendeley.com/documents/?uuid=f1875490-5583-4bd2-973b-c9b5602d1a86"]}],"mendeley":{"formattedCitation":"(Nahak, 2019)","plainTextFormattedCitation":"(Nahak, 2019)","previouslyFormattedCitation":"(Nahak, 2019)"},"properties":{"noteIndex":0},"schema":"https://github.com/citation-style-language/schema/raw/master/csl-citation.json"}</w:instrText>
      </w:r>
      <w:r w:rsidR="00C55D19">
        <w:rPr>
          <w:rFonts w:ascii="Arial Narrow" w:hAnsi="Arial Narrow" w:cs="Times New Roman"/>
          <w:sz w:val="24"/>
          <w:szCs w:val="24"/>
        </w:rPr>
        <w:fldChar w:fldCharType="separate"/>
      </w:r>
      <w:r w:rsidR="00C55D19" w:rsidRPr="00C55D19">
        <w:rPr>
          <w:rFonts w:ascii="Arial Narrow" w:hAnsi="Arial Narrow" w:cs="Times New Roman"/>
          <w:noProof/>
          <w:sz w:val="24"/>
          <w:szCs w:val="24"/>
        </w:rPr>
        <w:t xml:space="preserve">(Nahak, </w:t>
      </w:r>
      <w:r w:rsidR="00C55D19" w:rsidRPr="00C55D19">
        <w:rPr>
          <w:rFonts w:ascii="Arial Narrow" w:hAnsi="Arial Narrow" w:cs="Times New Roman"/>
          <w:noProof/>
          <w:sz w:val="24"/>
          <w:szCs w:val="24"/>
        </w:rPr>
        <w:lastRenderedPageBreak/>
        <w:t>2019)</w:t>
      </w:r>
      <w:r w:rsidR="00C55D19">
        <w:rPr>
          <w:rFonts w:ascii="Arial Narrow" w:hAnsi="Arial Narrow" w:cs="Times New Roman"/>
          <w:sz w:val="24"/>
          <w:szCs w:val="24"/>
        </w:rPr>
        <w:fldChar w:fldCharType="end"/>
      </w:r>
      <w:r w:rsidR="00C55D19">
        <w:rPr>
          <w:rFonts w:ascii="Arial Narrow" w:hAnsi="Arial Narrow" w:cs="Times New Roman"/>
          <w:sz w:val="24"/>
          <w:szCs w:val="24"/>
        </w:rPr>
        <w:t xml:space="preserve">. </w:t>
      </w:r>
      <w:r w:rsidRPr="00F44262">
        <w:rPr>
          <w:rFonts w:ascii="Arial Narrow" w:hAnsi="Arial Narrow" w:cs="Times New Roman"/>
          <w:sz w:val="24"/>
          <w:szCs w:val="24"/>
        </w:rPr>
        <w:t>Kebudayaan Indonesia juga terus mengalami perubahan seiring dengan dinamika masyarakat serta pengaruh globalisasi yang masuk ke dalam kehidupan budaya nasional. Dalam konteks keragaman budaya nasional tersebut, setiap daerah memiliki praktik budaya yang khas dan mencerminkan identitas lokalnya. Salah satu bentuk ekspresi budaya yang berkembang di tingkat lokal dapat ditemukan dalam tradisi masyarakat Sumba Timur, yaitu pacuan kuda yang bertujuan untuk mempertahankan nilai-nilai sosial dan budaya serta kearifan lokal masyarakat Sumba Timur.</w:t>
      </w:r>
    </w:p>
    <w:p w14:paraId="18970FB5" w14:textId="31746497" w:rsidR="00173F7B" w:rsidRPr="00F44262"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Menurut KBBI Lomba ketangkasan atau lomba kuda pacu (P</w:t>
      </w:r>
      <w:r w:rsidRPr="00F44262">
        <w:rPr>
          <w:rFonts w:ascii="Arial Narrow" w:hAnsi="Arial Narrow" w:cs="Times New Roman"/>
          <w:i/>
          <w:sz w:val="24"/>
          <w:szCs w:val="24"/>
        </w:rPr>
        <w:t>alapang Njara</w:t>
      </w:r>
      <w:r w:rsidRPr="00F44262">
        <w:rPr>
          <w:rFonts w:ascii="Arial Narrow" w:hAnsi="Arial Narrow" w:cs="Times New Roman"/>
          <w:sz w:val="24"/>
          <w:szCs w:val="24"/>
        </w:rPr>
        <w:t xml:space="preserve">), artinya pacuan kuda adalah balapan kuda. Dalam hal ini kuda pacu menjadi salah satu simbol khas masyarakat Sumba Timur yang di pertahankan secara turun temurun. Sejatinya ajang pacuan kuda adalah ajang pesta rakyat yang menguji kecepatan kuda secara maksimal, bukan sekadar kegiatan olahraga atau hiburan semata, tetapi memiliki makna sosial dan budaya yang mendalam. Tradisi ini sering dilaksanakan disetiap acara adat maupun perayaan daerah dan menjadi simbol </w:t>
      </w:r>
      <w:r w:rsidRPr="00F44262">
        <w:rPr>
          <w:rFonts w:ascii="Arial Narrow" w:hAnsi="Arial Narrow" w:cs="Times New Roman"/>
          <w:i/>
          <w:sz w:val="24"/>
          <w:szCs w:val="24"/>
        </w:rPr>
        <w:t>prestise</w:t>
      </w:r>
      <w:r w:rsidRPr="00F44262">
        <w:rPr>
          <w:rFonts w:ascii="Arial Narrow" w:hAnsi="Arial Narrow" w:cs="Times New Roman"/>
          <w:sz w:val="24"/>
          <w:szCs w:val="24"/>
        </w:rPr>
        <w:t xml:space="preserve"> serta kebanggaan bagi pemilik kuda. Dalam praktiknya, terdapat fenomena yang cukup unik sekaligus kontroversial, yaitu penggunaan anak di bawah umur sebagai joki pacuan kuda. Anak dibawah umur dipercaya memiliki bobot tubuh yang ringan sehingga dianggap lebih menguntungkan dalam perlombaan pacuan kuda</w:t>
      </w:r>
      <w:r w:rsidR="00C55D19">
        <w:rPr>
          <w:rFonts w:ascii="Arial Narrow" w:hAnsi="Arial Narrow" w:cs="Times New Roman"/>
          <w:sz w:val="24"/>
          <w:szCs w:val="24"/>
        </w:rPr>
        <w:t xml:space="preserve">. </w:t>
      </w:r>
      <w:r w:rsidR="00C55D19">
        <w:rPr>
          <w:rFonts w:ascii="Arial Narrow" w:hAnsi="Arial Narrow" w:cs="Times New Roman"/>
          <w:sz w:val="24"/>
          <w:szCs w:val="24"/>
        </w:rPr>
        <w:fldChar w:fldCharType="begin" w:fldLock="1"/>
      </w:r>
      <w:r w:rsidR="00C55D19">
        <w:rPr>
          <w:rFonts w:ascii="Arial Narrow" w:hAnsi="Arial Narrow" w:cs="Times New Roman"/>
          <w:sz w:val="24"/>
          <w:szCs w:val="24"/>
        </w:rPr>
        <w:instrText>ADDIN CSL_CITATION {"citationItems":[{"id":"ITEM-1","itemData":{"DOI":"10.55606/khatulistiwa.v5i2.5847","ISSN":"2962-4452","abstract":"Horse racing is a tradition that is still ongoing and is favored by the people of Sumbawa Island in general, one of which is the Bima community who knows this tradition as a jara pacoa which is ridden by children aged 5 (five) to 12 (twelve years), known as the little jockey. These young jockeys have become part of the ongoing tradition since before the regulation regarding the provisions of the age of children regulated in the law and is still undergoing the same tradition when the laws and regulations have regulated the provisions of the age of children and their rights and obligations in Indonesia. The study was conducted by doctrinal method with literature study. Writing data uses secondary data derived from written legal material, books and scientific work, which then the authors complete with observations, and interview results. The right of the community to maintain the tradition and its cultural values is protected by the law, as well as the rights of children, in the tradition of jara Pacoa can be a forum for children to excel, not exploited if the government makes regulations and more serious regulations both for protection of children and the Pacuan arena.","author":[{"dropping-particle":"","family":"Dian Rizky Rahmawati","given":"","non-dropping-particle":"","parse-names":false,"suffix":""}],"container-title":"Khatulistiwa: Jurnal Pendidikan dan Sosial Humaniora","id":"ITEM-1","issue":"2","issued":{"date-parts":[["2025"]]},"page":"326-340","title":"Joki cilik pacoa jara: berpacu dalam tradisi dan hukum perlindungan anak","type":"article-journal","volume":"5"},"uris":["http://www.mendeley.com/documents/?uuid=c2fb70c8-8ca9-4db9-8b96-ca647b55fbf6"]}],"mendeley":{"formattedCitation":"(Dian Rizky Rahmawati, 2025)","plainTextFormattedCitation":"(Dian Rizky Rahmawati, 2025)","previouslyFormattedCitation":"(Dian Rizky Rahmawati, 2025)"},"properties":{"noteIndex":0},"schema":"https://github.com/citation-style-language/schema/raw/master/csl-citation.json"}</w:instrText>
      </w:r>
      <w:r w:rsidR="00C55D19">
        <w:rPr>
          <w:rFonts w:ascii="Arial Narrow" w:hAnsi="Arial Narrow" w:cs="Times New Roman"/>
          <w:sz w:val="24"/>
          <w:szCs w:val="24"/>
        </w:rPr>
        <w:fldChar w:fldCharType="separate"/>
      </w:r>
      <w:r w:rsidR="00C55D19" w:rsidRPr="00C55D19">
        <w:rPr>
          <w:rFonts w:ascii="Arial Narrow" w:hAnsi="Arial Narrow" w:cs="Times New Roman"/>
          <w:noProof/>
          <w:sz w:val="24"/>
          <w:szCs w:val="24"/>
        </w:rPr>
        <w:t>(Dian Rizky Rahmawati, 2025)</w:t>
      </w:r>
      <w:r w:rsidR="00C55D19">
        <w:rPr>
          <w:rFonts w:ascii="Arial Narrow" w:hAnsi="Arial Narrow" w:cs="Times New Roman"/>
          <w:sz w:val="24"/>
          <w:szCs w:val="24"/>
        </w:rPr>
        <w:fldChar w:fldCharType="end"/>
      </w:r>
      <w:r w:rsidR="00C55D19">
        <w:rPr>
          <w:rFonts w:ascii="Arial Narrow" w:hAnsi="Arial Narrow" w:cs="Times New Roman"/>
          <w:sz w:val="24"/>
          <w:szCs w:val="24"/>
        </w:rPr>
        <w:t>. Akan tetapi</w:t>
      </w:r>
      <w:r w:rsidR="00C55D19" w:rsidRPr="00F44262">
        <w:rPr>
          <w:rFonts w:ascii="Arial Narrow" w:hAnsi="Arial Narrow" w:cs="Times New Roman"/>
          <w:sz w:val="24"/>
          <w:szCs w:val="24"/>
        </w:rPr>
        <w:t xml:space="preserve"> </w:t>
      </w:r>
      <w:r w:rsidRPr="00F44262">
        <w:rPr>
          <w:rFonts w:ascii="Arial Narrow" w:hAnsi="Arial Narrow" w:cs="Times New Roman"/>
          <w:sz w:val="24"/>
          <w:szCs w:val="24"/>
        </w:rPr>
        <w:t>penggunaan anak di bawah umur sebagai joki dalam pacuan kuda menimbulkan masalah, terutama jika dilihat dari perspektif perlindungan anak. Aktivitas tersebut berpotensi menimbulkan resiko keselamatan yang tinggi bagi anak-anak karena mereka harus mengendalikan kuda dengan kecepatan tinggi tanpa perlindungan keselamatan yang memadai.</w:t>
      </w:r>
      <w:r w:rsidR="00C55D19">
        <w:rPr>
          <w:rFonts w:ascii="Arial Narrow" w:hAnsi="Arial Narrow" w:cs="Times New Roman"/>
          <w:sz w:val="24"/>
          <w:szCs w:val="24"/>
        </w:rPr>
        <w:fldChar w:fldCharType="begin" w:fldLock="1"/>
      </w:r>
      <w:r w:rsidR="00C55D19">
        <w:rPr>
          <w:rFonts w:ascii="Arial Narrow" w:hAnsi="Arial Narrow" w:cs="Times New Roman"/>
          <w:sz w:val="24"/>
          <w:szCs w:val="24"/>
        </w:rPr>
        <w:instrText>ADDIN CSL_CITATION {"citationItems":[{"id":"ITEM-1","itemData":{"DOI":"10.34304/jf.v12i1.102","ISSN":"1978-9076","abstract":"Penelitian ini tentang tradisi pacuan kuda yang menggunakan anak sebagai joki (joki cilik) di Bima Nusa Tenggara Barat. Tujuan penelitian ini untuk menganalisis tentang ekploitasi anak yang terjadi pada tradisi pacuan kuda. Jenis penelitian kualitatif dengan menggunakan metode yuridis empiris atau sosiological. Pendekatan yang dipakai dalam penelitian ini adalah pendekatan undang-undang dan pendekatan fenomenologi. Hasil penelitian menunjukkan bahwa aktivitas pacuan kuda yang melibatkan anak sebagai joki adalah adanya ekploitasi ekonomi. Dimana anak-anak diarahkan untuk menjadi joki dengan harapan mendapatkan imbalan/upah. Anak-anak melakukan aktivitas sebagai joki menggadaikan nyawa karena hal tersebut sangat berbahaya baik secara fisik maupun psikis anak. Dalam perspektif sejarah, pacuan kuda di Bima tidak menggunakan anak-anak sebagai joki. Namun seiring waktu karena dipengaruhi oleh aktivitas perjudian, anak-anak menjadi pilihan terbaik agar kuda dapat berlari kencang. Keterlibatan anak menjadi joki menyebabkan permasalahan laten di masyarakat. Seperti adanya eksploitasi anak untuk meningkatkan ekonomi keluarga, sehingga hak dasar anak yang lain terabaikan. Berdasarkan analisis perspektif hukum Islam dan Hukum positif diketahui bahwa hak-hak anak yang lalai dalam pemenuhannya adalah: (1) Pendidikan formal yang terbengkalai; (2) rentan mengalami kecelakaan/luka fisik. Orang tua yang seharusnya memiliki kewajiban untuk memenuhi kebutuhan anak, bukan sebaliknya. Menempatkan anak sebagai pekerja sama halnya dengan mengabaikan kewajiban orang tua, serta mendzolimi anak karena memberikan beban berlebihan yang tidak sesuai dengan usianya. Kata Kunci: Eksploitasi, Anak, Joki, Pacuan Kuda","author":[{"dropping-particle":"","family":"Nurfitriani","given":"","non-dropping-particle":"","parse-names":false,"suffix":""},{"dropping-particle":"","family":"Hidayatullah","given":"Syarif","non-dropping-particle":"","parse-names":false,"suffix":""},{"dropping-particle":"","family":"Mahmudah","given":"Husnatul","non-dropping-particle":"","parse-names":false,"suffix":""},{"dropping-particle":"","family":"Zuhrah","given":"","non-dropping-particle":"","parse-names":false,"suffix":""},{"dropping-particle":"","family":"Sanusi","given":"Gufran","non-dropping-particle":"","parse-names":false,"suffix":""}],"container-title":"Fundamental: Jurnal Ilmiah Hukum","id":"ITEM-1","issue":"1","issued":{"date-parts":[["2023"]]},"page":"153-181","title":"Eksploitasi anak pada tradisi pacuan kuda perspektif hukum islam dan hukum positif","type":"article-journal","volume":"12"},"uris":["http://www.mendeley.com/documents/?uuid=8c29d93e-8f18-40de-a555-78d1527a2325"]}],"mendeley":{"formattedCitation":"(Nurfitriani et al., 2023)","plainTextFormattedCitation":"(Nurfitriani et al., 2023)","previouslyFormattedCitation":"(Nurfitriani et al., 2023)"},"properties":{"noteIndex":0},"schema":"https://github.com/citation-style-language/schema/raw/master/csl-citation.json"}</w:instrText>
      </w:r>
      <w:r w:rsidR="00C55D19">
        <w:rPr>
          <w:rFonts w:ascii="Arial Narrow" w:hAnsi="Arial Narrow" w:cs="Times New Roman"/>
          <w:sz w:val="24"/>
          <w:szCs w:val="24"/>
        </w:rPr>
        <w:fldChar w:fldCharType="separate"/>
      </w:r>
      <w:r w:rsidR="00C55D19" w:rsidRPr="00C55D19">
        <w:rPr>
          <w:rFonts w:ascii="Arial Narrow" w:hAnsi="Arial Narrow" w:cs="Times New Roman"/>
          <w:noProof/>
          <w:sz w:val="24"/>
          <w:szCs w:val="24"/>
        </w:rPr>
        <w:t>(Nurfitriani et al., 2023)</w:t>
      </w:r>
      <w:r w:rsidR="00C55D19">
        <w:rPr>
          <w:rFonts w:ascii="Arial Narrow" w:hAnsi="Arial Narrow" w:cs="Times New Roman"/>
          <w:sz w:val="24"/>
          <w:szCs w:val="24"/>
        </w:rPr>
        <w:fldChar w:fldCharType="end"/>
      </w:r>
      <w:r w:rsidRPr="00F44262">
        <w:rPr>
          <w:rFonts w:ascii="Arial Narrow" w:hAnsi="Arial Narrow" w:cs="Times New Roman"/>
          <w:sz w:val="24"/>
          <w:szCs w:val="24"/>
        </w:rPr>
        <w:t xml:space="preserve"> Di sisi lain, praktik ini telah menjadi bagian dari tradisi yang diterima dan dianggap wajar oleh sebagian masyarakat Sumba Timur. Kondisi ini kemudian memunculkan dilema antara pelestarian budaya lokal dan perlindungan hukum terhadap hak-hak anak.</w:t>
      </w:r>
    </w:p>
    <w:p w14:paraId="764251EA" w14:textId="30BE97CA" w:rsidR="00173F7B" w:rsidRPr="00F44262"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Dalam sistem hukum Indonesia, perlindungan terhadap anak telah diatur secara tegas dalam berbagai peraturan perundang-undangan, seperti Undang-Undang Nomor 35 Tahun 2014 tentang Perlindungan Anak yang merupakan perubahan atas Undang-Undang Nomor 23 Tahun 2002 tentang Perlindungan Anak. Undang-undang tersebut menegaskan bahwa setiap anak berhak memperoleh perlindungan dari segala bentuk eksploitasi, kekerasan, maupun pekerjaan yang membahayakan keselamatan dan perkembangan mereka. Dengan demikian, praktik penggunaan anak sebagai joki pacuan kuda dapat dipandang sebagai persoalan hukum yang memerlukan perhatian khusus. Meskipun secara normatif perlindungan terhadap anak telah diatur dalam berbagai peraturan perundang-undangan,</w:t>
      </w:r>
      <w:r w:rsidR="00C55D19">
        <w:rPr>
          <w:rFonts w:ascii="Arial Narrow" w:hAnsi="Arial Narrow" w:cs="Times New Roman"/>
          <w:sz w:val="24"/>
          <w:szCs w:val="24"/>
        </w:rPr>
        <w:fldChar w:fldCharType="begin" w:fldLock="1"/>
      </w:r>
      <w:r w:rsidR="0043010A">
        <w:rPr>
          <w:rFonts w:ascii="Arial Narrow" w:hAnsi="Arial Narrow" w:cs="Times New Roman"/>
          <w:sz w:val="24"/>
          <w:szCs w:val="24"/>
        </w:rPr>
        <w:instrText>ADDIN CSL_CITATION {"citationItems":[{"id":"ITEM-1","itemData":{"DOI":"10.29123/jy.v14i2.445","ISSN":"1978-6506","abstract":"ABSTRAK Paling tidak ada tiga kewajiban yang harus dilakukan oleh negara dalam hak asasi nanusia, yaitu menghormati, melindungi, dan memenuhi. Ketiga hal ini wajib dilakukan oleh setiap negara agar negara tidak dianggap sebagai negara yang mengabaikan hak asasi manusia. Dari ketiga hal tersebut menuntut negara untuk menyediakan semua hal baik yang bersifat normatif maupun administratif untuk terpenuhinya kewajiban tersebut, dan jika tidak dilakukan maka negara tersebut dianggap telah melakukan pelanggaran hak asasi manusia. Dalam perkara ini apa yang dilakukan oleh para tersangka yang dengan sengaja membunuh empat orang dalam rumah tahanan negara serta menganiaya petugas Lembaga Pemasyarakatan Sleman merupakan perbuatan yang telah melanggar hak asasi manusia, dan terlebih lagi para tersangka merupakan anggota TNI aktif yang saat melakukan pembunuhan para tersangka sedang latihan, dan juga menggunakan senjata latihan untuk membunuh para korban. Dalam putusannya hakim menyatakan bahwa tersangka telah melakukan pembunuhan berencana secara bersama-sama dan telah melanggar perintah dinas, oleh karena itu dihukum dan dipecat dari dinas militer. Dalam perspektif pelanggaran hak asasi manusia dan tanggung jawab negara tidak terlihat begitu jelas yang dipertimbangkan hakim tersebut. Sehingga rumusan masalah dalam tulisan ini adalah bagaimanakah pertimbangan hak asasi manusia oleh hakim dalam putusan ini? Dan bagaimanakah tanggung jawab negara terhadap korban dalam putusan perkara ini? Dengan menggunakan metode penelitian hukum normatif yang memfokuskan kajian pada data sekunder, maka akan terlihat bagaimana sesungguhnya pertimbangan hakim dalam putusan ini. Hasil dari penelitian ini menunjukkan bahwa dalam putusan perkara ini tidak mempertimbangkan hak asasi manusia, baik pelanggaran hak asasi manusia maupun hak-hak korban.Kata kunci: tanggung jawab negara; impunitas; pengadilan militer; hak asasi manusia. ABSTRACT There are at least three obligations that must be carried out by a state in human rights, namely respecting, protecting, and ful lling. These three things must be done by every state so that the state is not considered as a state that ignores human rights. Of these three things, it requires the state to provide all things both normative and administrative in nature to ful ll these obligations and if those things are not applied then the state is considered to have committed human rights violations. In this case, what were done by the suspects who deli…","author":[{"dropping-particle":"","family":"Wajdi","given":"Farid","non-dropping-particle":"","parse-names":false,"suffix":""},{"dropping-particle":"","family":"Imran","given":"Imran","non-dropping-particle":"","parse-names":false,"suffix":""}],"container-title":"Jurnal Yudisial","id":"ITEM-1","issue":"2","issued":{"date-parts":[["2022"]]},"page":"229","title":"Pelanggaran hak asasi manusia dan tanggung jawab negara terhadap korban","type":"article-journal","volume":"14"},"uris":["http://www.mendeley.com/documents/?uuid=9789d06c-f775-4ea0-a49f-ea239aaa6f0e"]}],"mendeley":{"formattedCitation":"(Wajdi &amp; Imran, 2022)","plainTextFormattedCitation":"(Wajdi &amp; Imran, 2022)","previouslyFormattedCitation":"(Wajdi &amp; Imran, 2022)"},"properties":{"noteIndex":0},"schema":"https://github.com/citation-style-language/schema/raw/master/csl-citation.json"}</w:instrText>
      </w:r>
      <w:r w:rsidR="00C55D19">
        <w:rPr>
          <w:rFonts w:ascii="Arial Narrow" w:hAnsi="Arial Narrow" w:cs="Times New Roman"/>
          <w:sz w:val="24"/>
          <w:szCs w:val="24"/>
        </w:rPr>
        <w:fldChar w:fldCharType="separate"/>
      </w:r>
      <w:r w:rsidR="00C55D19" w:rsidRPr="00C55D19">
        <w:rPr>
          <w:rFonts w:ascii="Arial Narrow" w:hAnsi="Arial Narrow" w:cs="Times New Roman"/>
          <w:noProof/>
          <w:sz w:val="24"/>
          <w:szCs w:val="24"/>
        </w:rPr>
        <w:t>(Wajdi &amp; Imran, 2022)</w:t>
      </w:r>
      <w:r w:rsidR="00C55D19">
        <w:rPr>
          <w:rFonts w:ascii="Arial Narrow" w:hAnsi="Arial Narrow" w:cs="Times New Roman"/>
          <w:sz w:val="24"/>
          <w:szCs w:val="24"/>
        </w:rPr>
        <w:fldChar w:fldCharType="end"/>
      </w:r>
      <w:r w:rsidRPr="00F44262">
        <w:rPr>
          <w:rFonts w:ascii="Arial Narrow" w:hAnsi="Arial Narrow" w:cs="Times New Roman"/>
          <w:sz w:val="24"/>
          <w:szCs w:val="24"/>
        </w:rPr>
        <w:t xml:space="preserve"> dalam praktiknya masih terdapat fenomena sosial yang menunjukkan adanya potensi pelanggaran terhadap hak anak. Oleh karena itu, diperlukan pendekatan teoritis untuk menganalisis bagaimana hukum dapat berfungsi secara efektif dalam mengatur dan mengarahkan perilaku masyarakat.</w:t>
      </w:r>
      <w:r w:rsidR="0043010A">
        <w:rPr>
          <w:rFonts w:ascii="Arial Narrow" w:hAnsi="Arial Narrow" w:cs="Times New Roman"/>
          <w:sz w:val="24"/>
          <w:szCs w:val="24"/>
        </w:rPr>
        <w:fldChar w:fldCharType="begin" w:fldLock="1"/>
      </w:r>
      <w:r w:rsidR="000D2885">
        <w:rPr>
          <w:rFonts w:ascii="Arial Narrow" w:hAnsi="Arial Narrow" w:cs="Times New Roman"/>
          <w:sz w:val="24"/>
          <w:szCs w:val="24"/>
        </w:rPr>
        <w:instrText>ADDIN CSL_CITATION {"citationItems":[{"id":"ITEM-1","itemData":{"abstract":"This study aims to provide an understanding of the comparison between dispute resolution processes through mediation in court and outside of court in Indonesia, as well as to evaluate the effectiveness of mediation in both settings. The findings indicate differences in the dispute resolution process through mediation in court and outside court, where court mediation tends to be more formal and carries stronger legal authority through a peace agreement decree, while out-of-court mediation is faster and voluntary. Mediation offers advantages in terms of lower costs compared to litigation, shorter resolution time, and the ability to maintain good relationships between the parties involved.","author":[{"dropping-particle":"","family":"Bella Harviani Prasasty","given":"Agustina Wati dan Aristya Windiana Pamuncak","non-dropping-particle":"","parse-names":false,"suffix":""}],"container-title":"Rewang Rencang : Jurnal Hukum Lex Generalis","id":"ITEM-1","issue":"7","issued":{"date-parts":[["2025"]]},"page":"1-16","title":"Perlindungan hukum anak terhadap korban eksploitasi sexual komersial berdasarkan kajian viktimolgi","type":"article-journal","volume":"6"},"uris":["http://www.mendeley.com/documents/?uuid=e04f32fd-7b46-4b88-b0fe-7f867bd23df1"]}],"mendeley":{"formattedCitation":"(Bella Harviani Prasasty, 2025)","plainTextFormattedCitation":"(Bella Harviani Prasasty, 2025)","previouslyFormattedCitation":"(Bella Harviani Prasasty, 2025)"},"properties":{"noteIndex":0},"schema":"https://github.com/citation-style-language/schema/raw/master/csl-citation.json"}</w:instrText>
      </w:r>
      <w:r w:rsidR="0043010A">
        <w:rPr>
          <w:rFonts w:ascii="Arial Narrow" w:hAnsi="Arial Narrow" w:cs="Times New Roman"/>
          <w:sz w:val="24"/>
          <w:szCs w:val="24"/>
        </w:rPr>
        <w:fldChar w:fldCharType="separate"/>
      </w:r>
      <w:r w:rsidR="0043010A" w:rsidRPr="0043010A">
        <w:rPr>
          <w:rFonts w:ascii="Arial Narrow" w:hAnsi="Arial Narrow" w:cs="Times New Roman"/>
          <w:noProof/>
          <w:sz w:val="24"/>
          <w:szCs w:val="24"/>
        </w:rPr>
        <w:t>(Bella Harviani Prasasty, 2025)</w:t>
      </w:r>
      <w:r w:rsidR="0043010A">
        <w:rPr>
          <w:rFonts w:ascii="Arial Narrow" w:hAnsi="Arial Narrow" w:cs="Times New Roman"/>
          <w:sz w:val="24"/>
          <w:szCs w:val="24"/>
        </w:rPr>
        <w:fldChar w:fldCharType="end"/>
      </w:r>
    </w:p>
    <w:p w14:paraId="694D82EE" w14:textId="6678F900" w:rsidR="00173F7B" w:rsidRPr="00F44262"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Memahami persoalan tersebut lebih jauh, pendekatan teori hukum dapat digunakan, salah satunya adalah teori yang dikemukakan oleh Roscoe Pound. Roscoe Pound dikenal dengan konsep</w:t>
      </w:r>
      <w:r w:rsidRPr="00F44262">
        <w:rPr>
          <w:rFonts w:ascii="Arial Narrow" w:hAnsi="Arial Narrow" w:cs="Times New Roman"/>
          <w:i/>
          <w:sz w:val="24"/>
          <w:szCs w:val="24"/>
        </w:rPr>
        <w:t xml:space="preserve"> law as a tool of social engineering</w:t>
      </w:r>
      <w:r w:rsidRPr="00F44262">
        <w:rPr>
          <w:rFonts w:ascii="Arial Narrow" w:hAnsi="Arial Narrow" w:cs="Times New Roman"/>
          <w:sz w:val="24"/>
          <w:szCs w:val="24"/>
        </w:rPr>
        <w:t>, yaitu gagasan bahwa hukum berfungsi sebagai sarana untuk merekayasa atau mengarahkan perubahan sosial dalam masyarakat. Menurut Pound, hukum tidak hanya berfungsi sebagai aturan yang bersifat normatif, tetapi juga sebagai instrumen yang harus mampu menyeimbangkan berbagai kepentingan yang ada dalam masyarakat, seperti kepentingan individu, kepentingan sosial, dan kepentingan negara.</w:t>
      </w:r>
      <w:r w:rsidR="000D2885">
        <w:rPr>
          <w:rFonts w:ascii="Arial Narrow" w:hAnsi="Arial Narrow" w:cs="Times New Roman"/>
          <w:sz w:val="24"/>
          <w:szCs w:val="24"/>
        </w:rPr>
        <w:fldChar w:fldCharType="begin" w:fldLock="1"/>
      </w:r>
      <w:r w:rsidR="000D2885">
        <w:rPr>
          <w:rFonts w:ascii="Arial Narrow" w:hAnsi="Arial Narrow" w:cs="Times New Roman"/>
          <w:sz w:val="24"/>
          <w:szCs w:val="24"/>
        </w:rPr>
        <w:instrText>ADDIN CSL_CITATION {"citationItems":[{"id":"ITEM-1","itemData":{"abstract":"Roscoe Pound, seorang ahli hukum terkenal dari Amerika Serikat, mengemukakan teori \"social engineering\" yang menggambarkan hukum sebagai alat untuk merekayasa masyarakat menuju tatanan yang lebih baik. Dalam konteks ini, hukum tidak hanya dilihat sebagai seperangkat aturan yang mengatur perilaku manusia, tetapi juga sebagai mekanisme untuk menciptakan perubahan sosial yang positif dan mewujudkan keadilan sosial. Hakim dalam memeriksa dan memutus perkara, menghadapi suatu kenyataan, bahwa hukum tertulis tersebut ternyata tidak selalu menyelesaikan masalah yang dihadapi. Bahkan sering kali hakim sering menemukan sendiri hukum itu (Rechtsvinding), untuk melengkapi hukum yang sudah ada dalam memutus suatu perkara. Hakim atas dasar inisiatif sendiri harus menemukan hukum, karena hakim tidak boleh menolak perkara dengan alasan hukum tidak ada, tidak lengkap, atau hukum samar-samar. Metode yang dipergunakan adalah penelitian hukum normatif. Berdasarkan hasil penelitian diketahui bahwa Peran Teori Social Engineering Roscoe Pound Dalam Mewujudkan Keadilan Sosial Melalui Penemuan Hukum Di Indonesia bahwa teori social engineering Roscoe Pound menawarkan kerangka kerja yang berguna untuk memahami dan meningkatkan peran hukum dalam mewujudkan keadilan sosial di Indonesia. Melalui penerapan prinsip-prinsip social engineering, hukum dapat berfungsi sebagai alat untuk menciptakan perubahan sosial yang positif, melindungi kepentingan masyarakat, dan memastikan distribusi keadilan yang merata. Dalam konteks Indonesia, penerapan teori ini telah terlihat dalam berbagai regulasi yang bertujuan untuk meningkatkan kesejahteraan sosial dan mengatasi ketidakadilan. Dengan terus mengembangkan dan menerapkan teori social engineering dalam penemuan hukum, Indonesia dapat lebih efektif dalam menghadapi tantangan sosial dan mewujudkan masyarakat yang lebih adil dan sejahtera","author":[{"dropping-particle":"","family":"Yeni Triana, Wandi Hartono, Jetmiko Setiawan","given":"Dekky Muhardi","non-dropping-particle":"","parse-names":false,"suffix":""}],"container-title":"Journal of Social Science and Education Research","id":"ITEM-1","issue":"2","issued":{"date-parts":[["2024"]]},"page":"58-71","title":"Peran teori social engineering Roscoe Pound dalam mewujudkan keadilan sosial melalui penemuan hukum di indonesia","type":"article-journal","volume":"1"},"uris":["http://www.mendeley.com/documents/?uuid=faa800ed-a63b-4a86-902c-5daac7ca9a7a"]}],"mendeley":{"formattedCitation":"(Yeni Triana, Wandi Hartono, Jetmiko Setiawan, 2024)","plainTextFormattedCitation":"(Yeni Triana, Wandi Hartono, Jetmiko Setiawan, 2024)","previouslyFormattedCitation":"(Yeni Triana, Wandi Hartono, Jetmiko Setiawan, 2024)"},"properties":{"noteIndex":0},"schema":"https://github.com/citation-style-language/schema/raw/master/csl-citation.json"}</w:instrText>
      </w:r>
      <w:r w:rsidR="000D2885">
        <w:rPr>
          <w:rFonts w:ascii="Arial Narrow" w:hAnsi="Arial Narrow" w:cs="Times New Roman"/>
          <w:sz w:val="24"/>
          <w:szCs w:val="24"/>
        </w:rPr>
        <w:fldChar w:fldCharType="separate"/>
      </w:r>
      <w:r w:rsidR="000D2885" w:rsidRPr="000D2885">
        <w:rPr>
          <w:rFonts w:ascii="Arial Narrow" w:hAnsi="Arial Narrow" w:cs="Times New Roman"/>
          <w:noProof/>
          <w:sz w:val="24"/>
          <w:szCs w:val="24"/>
        </w:rPr>
        <w:t>(Yeni Triana, Wandi Hartono, Jetmiko Setiawan, 2024)</w:t>
      </w:r>
      <w:r w:rsidR="000D2885">
        <w:rPr>
          <w:rFonts w:ascii="Arial Narrow" w:hAnsi="Arial Narrow" w:cs="Times New Roman"/>
          <w:sz w:val="24"/>
          <w:szCs w:val="24"/>
        </w:rPr>
        <w:fldChar w:fldCharType="end"/>
      </w:r>
      <w:r w:rsidRPr="00F44262">
        <w:rPr>
          <w:rFonts w:ascii="Arial Narrow" w:hAnsi="Arial Narrow" w:cs="Times New Roman"/>
          <w:sz w:val="24"/>
          <w:szCs w:val="24"/>
        </w:rPr>
        <w:t xml:space="preserve">  Selain itu, hukum juga dipahami sebagai </w:t>
      </w:r>
      <w:r w:rsidRPr="00F44262">
        <w:rPr>
          <w:rFonts w:ascii="Arial Narrow" w:hAnsi="Arial Narrow" w:cs="Times New Roman"/>
          <w:i/>
          <w:sz w:val="24"/>
          <w:szCs w:val="24"/>
        </w:rPr>
        <w:t>law as a tool of social control</w:t>
      </w:r>
      <w:r w:rsidRPr="00F44262">
        <w:rPr>
          <w:rFonts w:ascii="Arial Narrow" w:hAnsi="Arial Narrow" w:cs="Times New Roman"/>
          <w:sz w:val="24"/>
          <w:szCs w:val="24"/>
        </w:rPr>
        <w:t>, yaitu bahwa hukum berperan sebagai sarana pengendalian sosial yang bertujuan menjaga ketertiban, mengatur perilaku masyarakat, serta mencegah terjadinya penyimpangan terhadap norma-norma yang berlaku. Dengan demikian, hukum tidak hanya mengarahkan perubahan sosial, tetapi juga menjaga keteraturan dan keseimbangan dalam kehidupan bermasyarakat.</w:t>
      </w:r>
      <w:r w:rsidR="000D2885">
        <w:rPr>
          <w:rFonts w:ascii="Arial Narrow" w:hAnsi="Arial Narrow" w:cs="Times New Roman"/>
          <w:sz w:val="24"/>
          <w:szCs w:val="24"/>
        </w:rPr>
        <w:fldChar w:fldCharType="begin" w:fldLock="1"/>
      </w:r>
      <w:r w:rsidR="0083140A">
        <w:rPr>
          <w:rFonts w:ascii="Arial Narrow" w:hAnsi="Arial Narrow" w:cs="Times New Roman"/>
          <w:sz w:val="24"/>
          <w:szCs w:val="24"/>
        </w:rPr>
        <w:instrText>ADDIN CSL_CITATION {"citationItems":[{"id":"ITEM-1","itemData":{"author":[{"dropping-particle":"","family":"Pound","given":"Roscoe","non-dropping-particle":"","parse-names":false,"suffix":""}],"id":"ITEM-1","issued":{"date-parts":[["1942"]]},"title":"Social control through law","type":"book"},"uris":["http://www.mendeley.com/documents/?uuid=92240ad2-05ce-4813-ba84-63b92dabde44"]}],"mendeley":{"formattedCitation":"(Pound, 1942)","plainTextFormattedCitation":"(Pound, 1942)","previouslyFormattedCitation":"(Pound, 1942)"},"properties":{"noteIndex":0},"schema":"https://github.com/citation-style-language/schema/raw/master/csl-citation.json"}</w:instrText>
      </w:r>
      <w:r w:rsidR="000D2885">
        <w:rPr>
          <w:rFonts w:ascii="Arial Narrow" w:hAnsi="Arial Narrow" w:cs="Times New Roman"/>
          <w:sz w:val="24"/>
          <w:szCs w:val="24"/>
        </w:rPr>
        <w:fldChar w:fldCharType="separate"/>
      </w:r>
      <w:r w:rsidR="000D2885" w:rsidRPr="000D2885">
        <w:rPr>
          <w:rFonts w:ascii="Arial Narrow" w:hAnsi="Arial Narrow" w:cs="Times New Roman"/>
          <w:noProof/>
          <w:sz w:val="24"/>
          <w:szCs w:val="24"/>
        </w:rPr>
        <w:t>(Pound, 1942)</w:t>
      </w:r>
      <w:r w:rsidR="000D2885">
        <w:rPr>
          <w:rFonts w:ascii="Arial Narrow" w:hAnsi="Arial Narrow" w:cs="Times New Roman"/>
          <w:sz w:val="24"/>
          <w:szCs w:val="24"/>
        </w:rPr>
        <w:fldChar w:fldCharType="end"/>
      </w:r>
    </w:p>
    <w:p w14:paraId="1B2F3050" w14:textId="7584D390" w:rsidR="0083140A"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Secara pemahaman budaya Sumba Timur, pacuan kuda merupakan salah satu tradisi yang memiliki nilai sosial dan budaya yang kuat. Kegiatan ini tidak hanya dipandang sebagai ajang perlombaan, tetapi juga sebagai bagian dari warisan budaya yang mencerminkan keberanian, keterampilan, serta kebanggaan masyarakat Sumba Timur. Pacuan kuda juga menjadi sarana mempererat hubungan sosial antar masyarakat serta bagian dari perayaan adat dan hiburan tradisional yang telah berlangsung secara turun-temurun</w:t>
      </w:r>
      <w:r w:rsidR="0083140A">
        <w:rPr>
          <w:rFonts w:ascii="Arial Narrow" w:hAnsi="Arial Narrow" w:cs="Times New Roman"/>
          <w:sz w:val="24"/>
          <w:szCs w:val="24"/>
        </w:rPr>
        <w:fldChar w:fldCharType="begin" w:fldLock="1"/>
      </w:r>
      <w:r w:rsidR="0083140A">
        <w:rPr>
          <w:rFonts w:ascii="Arial Narrow" w:hAnsi="Arial Narrow" w:cs="Times New Roman"/>
          <w:sz w:val="24"/>
          <w:szCs w:val="24"/>
        </w:rPr>
        <w:instrText>ADDIN CSL_CITATION {"citationItems":[{"id":"ITEM-1","itemData":{"abstract":"Pacuan kuda di Arena Angin Laut Biru, Sumbawa, merupakan tradisi turun-temurun yang berfungsi sebagai simbol identitas budaya, sarana interaksi sosial, serta penggerak ekonomi masyarakat. Namun, keberlanjutan tradisi ini menghadapi tantangan modernisasi, berkurangnya minat generasi muda, keterbatasan regulasi, dan isu etika terkait joki anak. Penelitian ini bertujuan untuk menganalisis peran pacuan kuda dalam kehidupan sosial budaya serta menelaah pandangan masyarakat terhadap keberlanjutannya di tengah dinamika perubahan sosial. Metode penelitian yang digunakan adalah kualitatif dengan desain studi kasus. Data diperoleh melalui observasi partisipatif, wawancara mendalam, serta dokumentasi visual dan arsip. Analisis dilakukan dengan model interaktif Miles dan Huberman yang meliputi reduksi data, penyajian data, dan penarikan kesimpulan. Hasil penelitian menunjukkan bahwa pacuan kuda tidak hanya berfungsi sebagai hiburan rakyat, tetapi juga sebagai peneguh jati diri lokal, pengikat solidaritas sosial, wahana pewarisan nilai budaya dan religius, serta motor penggerak perekonomian komunitas. Tradisi ini juga memiliki potensi besar untuk dikembangkan sebagai atraksi pariwisata berbasis masyarakat. Penelitian ini memberikan kontribusi akademik dalam penguatan literatur living heritage di Indonesia serta menawarkan implikasi praktis berupa strategi pelestarian berbasis komunitas, promosi digital, regulasi perlindungan joki, dan integrasi pacuan kuda dalam pembangunan pariwisata budaya berkelanjutan.","author":[{"dropping-particle":"","family":"Arisandi","given":"Budi","non-dropping-particle":"","parse-names":false,"suffix":""}],"container-title":"Kartika: Jurnal Studi Keislaman","id":"ITEM-1","issue":"3","issued":{"date-parts":[["2025"]]},"page":"1532-1543","title":"Pacuan kuda sebagai warisan budaya: studi kualitatif tentang peran dan persepsi masyarakat di arena Angin Laut Biru","type":"article-journal","volume":"5"},"uris":["http://www.mendeley.com/documents/?uuid=9a27d12f-d5c7-4fae-b620-e719345a69b9"]}],"mendeley":{"formattedCitation":"(Arisandi, 2025)","plainTextFormattedCitation":"(Arisandi, 2025)","previouslyFormattedCitation":"(Arisandi, 2025)"},"properties":{"noteIndex":0},"schema":"https://github.com/citation-style-language/schema/raw/master/csl-citation.json"}</w:instrText>
      </w:r>
      <w:r w:rsidR="0083140A">
        <w:rPr>
          <w:rFonts w:ascii="Arial Narrow" w:hAnsi="Arial Narrow" w:cs="Times New Roman"/>
          <w:sz w:val="24"/>
          <w:szCs w:val="24"/>
        </w:rPr>
        <w:fldChar w:fldCharType="separate"/>
      </w:r>
      <w:r w:rsidR="0083140A" w:rsidRPr="0083140A">
        <w:rPr>
          <w:rFonts w:ascii="Arial Narrow" w:hAnsi="Arial Narrow" w:cs="Times New Roman"/>
          <w:noProof/>
          <w:sz w:val="24"/>
          <w:szCs w:val="24"/>
        </w:rPr>
        <w:t>(Arisandi, 2025)</w:t>
      </w:r>
      <w:r w:rsidR="0083140A">
        <w:rPr>
          <w:rFonts w:ascii="Arial Narrow" w:hAnsi="Arial Narrow" w:cs="Times New Roman"/>
          <w:sz w:val="24"/>
          <w:szCs w:val="24"/>
        </w:rPr>
        <w:fldChar w:fldCharType="end"/>
      </w:r>
      <w:r w:rsidRPr="00F44262">
        <w:rPr>
          <w:rFonts w:ascii="Arial Narrow" w:hAnsi="Arial Narrow" w:cs="Times New Roman"/>
          <w:sz w:val="24"/>
          <w:szCs w:val="24"/>
        </w:rPr>
        <w:t>, menjadi relevan untuk menganalisis bagaimana hukum dapat berperan dalam menata hubungan antara pelestarian tradisi budaya masyarakat dengan perlindungan terhadap hak-hak anak.</w:t>
      </w:r>
    </w:p>
    <w:p w14:paraId="5DA4C74A" w14:textId="2CE2FDCB" w:rsidR="00173F7B" w:rsidRPr="00F44262" w:rsidRDefault="0083140A"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 xml:space="preserve"> </w:t>
      </w:r>
      <w:r w:rsidR="00173F7B" w:rsidRPr="00F44262">
        <w:rPr>
          <w:rFonts w:ascii="Arial Narrow" w:hAnsi="Arial Narrow" w:cs="Times New Roman"/>
          <w:sz w:val="24"/>
          <w:szCs w:val="24"/>
        </w:rPr>
        <w:t>Penggunaan anak sebagai joki dalam budaya pacuan kuda di Sumba Timur umumnya disebabkan oleh faktor berat badan anak yang lebih ringan, sehingga dianggap dapat meningkatkan kecepatan kuda saat berlomba. Selain itu, praktik tersebut juga merupakan kebiasaan yang telah berlangsung secara turun-temurun dalam masyarakat di</w:t>
      </w:r>
      <w:r w:rsidR="00623EA5">
        <w:rPr>
          <w:rFonts w:ascii="Arial Narrow" w:hAnsi="Arial Narrow" w:cs="Times New Roman"/>
          <w:sz w:val="24"/>
          <w:szCs w:val="24"/>
        </w:rPr>
        <w:t xml:space="preserve"> </w:t>
      </w:r>
      <w:r w:rsidR="00173F7B" w:rsidRPr="00F44262">
        <w:rPr>
          <w:rFonts w:ascii="Arial Narrow" w:hAnsi="Arial Narrow" w:cs="Times New Roman"/>
          <w:sz w:val="24"/>
          <w:szCs w:val="24"/>
        </w:rPr>
        <w:t>Sumba</w:t>
      </w:r>
      <w:r w:rsidR="00623EA5">
        <w:rPr>
          <w:rFonts w:ascii="Arial Narrow" w:hAnsi="Arial Narrow" w:cs="Times New Roman"/>
          <w:sz w:val="24"/>
          <w:szCs w:val="24"/>
        </w:rPr>
        <w:t xml:space="preserve"> Timur</w:t>
      </w:r>
      <w:r w:rsidR="00173F7B" w:rsidRPr="00F44262">
        <w:rPr>
          <w:rFonts w:ascii="Arial Narrow" w:hAnsi="Arial Narrow" w:cs="Times New Roman"/>
          <w:sz w:val="24"/>
          <w:szCs w:val="24"/>
        </w:rPr>
        <w:t>. Anak-anak biasanya telah terbiasa menunggang kuda sejak usia dini sehingga dianggap mampu mengendalikan kuda dalam perlombaan Di satu sisi, tradisi pacuan kuda merupakan bagian dari identitas budaya masyarakat yang patut dihormati dan dilestarikan</w:t>
      </w:r>
      <w:r w:rsidR="00866B99">
        <w:rPr>
          <w:rFonts w:ascii="Arial Narrow" w:hAnsi="Arial Narrow" w:cs="Times New Roman"/>
          <w:sz w:val="24"/>
          <w:szCs w:val="24"/>
        </w:rPr>
        <w:t>, namun</w:t>
      </w:r>
      <w:r w:rsidR="00173F7B" w:rsidRPr="00F44262">
        <w:rPr>
          <w:rFonts w:ascii="Arial Narrow" w:hAnsi="Arial Narrow" w:cs="Times New Roman"/>
          <w:sz w:val="24"/>
          <w:szCs w:val="24"/>
        </w:rPr>
        <w:t xml:space="preserve"> di sisi lain, negara memiliki kewajiban untuk menjamin keselamatan serta hak-hak anak sebagai bagian dari warga negara yang harus dilindungi.</w:t>
      </w:r>
    </w:p>
    <w:p w14:paraId="157E5221" w14:textId="5B9DB082" w:rsidR="00173F7B" w:rsidRPr="00F44262"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Melalui perspektif teori Roscoe Pound, hukum diharapkan mampu menjadi sarana untuk menciptakan keseimbangan antara kedua kepentingan tersebut. Hukum tidak semata-mata meniadakan tradisi yang telah berkembang di masyarakat, tetapi dapat mengatur dan memberikan batasan agar praktik budaya tersebut tetap berjalan tanpa mengorbankan keselamatan serta hak-hak anak. Dengan demikian, hukum berperan sebagai instrumen yang mengarahkan perubahan sosial menuju kondisi yang lebih adil dan manusiawi.</w:t>
      </w:r>
      <w:r w:rsidR="0083140A">
        <w:rPr>
          <w:rFonts w:ascii="Arial Narrow" w:hAnsi="Arial Narrow" w:cs="Times New Roman"/>
          <w:sz w:val="24"/>
          <w:szCs w:val="24"/>
        </w:rPr>
        <w:fldChar w:fldCharType="begin" w:fldLock="1"/>
      </w:r>
      <w:r w:rsidR="0083140A">
        <w:rPr>
          <w:rFonts w:ascii="Arial Narrow" w:hAnsi="Arial Narrow" w:cs="Times New Roman"/>
          <w:sz w:val="24"/>
          <w:szCs w:val="24"/>
        </w:rPr>
        <w:instrText>ADDIN CSL_CITATION {"citationItems":[{"id":"ITEM-1","itemData":{"abstract":"Pertimbangan hukum oleh hakim merupakan aspek krusial dalam proses penegakan hukum, sekaligus menjadi elemen penting dalam mewujudkan rasa keadilan di masyarakat. Dalam perspektif yuridis maupun sosiologis, hakim sering dipandang sebagai representasi nilai-nilai luhur, bahkan secara simbolik disebut sebagai wakil Tuhan di bumi. Oleh karena itu, setiap putusan yang dihasilkan diharapkan tidak hanya memenuhi aspek legal formal, melainkan juga mencerminkan nilai-nilai keadilan substantif yang hidup di masyarakat. Namun kenyataannya, masih banyak terjadi ketimpangan antara harapan masyarakat terhadap putusan pengadilan. Kekecewaan publik kerap mencuat akibat putusan- putusan yang dinilai gagal memenuhi rasa keadilan dan kebenaran, serta belum sepenuhnya mencerminkan kemaslahatan dan ketenteraman sosial.","author":[{"dropping-particle":"","family":"Rasji","given":"","non-dropping-particle":"","parse-names":false,"suffix":""},{"dropping-particle":"","family":"Harmono","given":"Harry","non-dropping-particle":"","parse-names":false,"suffix":""}],"container-title":"Rewang Rencang : Jurnal Hukum Lex Generalis","id":"ITEM-1","issue":"No. 10","issued":{"date-parts":[["2025"]]},"page":"p.4","title":"Hukum sebagai alat rekayasa sosial: gagasan Roscoe Pound dan relevansinya bagi reformasi hukum di indonesia law as a tool of social engineering: Roscoe Pound’s concept and its relevance to legal reform in indonesia","type":"article-journal","volume":"Vol. 5,"},"uris":["http://www.mendeley.com/documents/?uuid=e64f9b78-efe7-43f0-87d5-371100448658"]}],"mendeley":{"formattedCitation":"(Rasji &amp; Harmono, 2025)","plainTextFormattedCitation":"(Rasji &amp; Harmono, 2025)","previouslyFormattedCitation":"(Rasji &amp; Harmono, 2025)"},"properties":{"noteIndex":0},"schema":"https://github.com/citation-style-language/schema/raw/master/csl-citation.json"}</w:instrText>
      </w:r>
      <w:r w:rsidR="0083140A">
        <w:rPr>
          <w:rFonts w:ascii="Arial Narrow" w:hAnsi="Arial Narrow" w:cs="Times New Roman"/>
          <w:sz w:val="24"/>
          <w:szCs w:val="24"/>
        </w:rPr>
        <w:fldChar w:fldCharType="separate"/>
      </w:r>
      <w:r w:rsidR="0083140A" w:rsidRPr="0083140A">
        <w:rPr>
          <w:rFonts w:ascii="Arial Narrow" w:hAnsi="Arial Narrow" w:cs="Times New Roman"/>
          <w:noProof/>
          <w:sz w:val="24"/>
          <w:szCs w:val="24"/>
        </w:rPr>
        <w:t>(Rasji &amp; Harmono, 2025)</w:t>
      </w:r>
      <w:r w:rsidR="0083140A">
        <w:rPr>
          <w:rFonts w:ascii="Arial Narrow" w:hAnsi="Arial Narrow" w:cs="Times New Roman"/>
          <w:sz w:val="24"/>
          <w:szCs w:val="24"/>
        </w:rPr>
        <w:fldChar w:fldCharType="end"/>
      </w:r>
      <w:r w:rsidRPr="00F44262">
        <w:rPr>
          <w:rFonts w:ascii="Arial Narrow" w:hAnsi="Arial Narrow" w:cs="Times New Roman"/>
          <w:sz w:val="24"/>
          <w:szCs w:val="24"/>
        </w:rPr>
        <w:t xml:space="preserve"> Menurut Satjipto Rahardjo, pemikiran Roscoe Pound menempatkan hukum bukan sekadar kumpulan aturan, tetapi alat untuk mengarahkan dan membentuk kehidupan sosial masyarakat. Hukum harus mampu menyeimbangkan berbagai kepentingan dalam masyarakat sehingga tercapai ketertiban dan keadilan.</w:t>
      </w:r>
      <w:r w:rsidR="0083140A">
        <w:rPr>
          <w:rFonts w:ascii="Arial Narrow" w:hAnsi="Arial Narrow" w:cs="Times New Roman"/>
          <w:sz w:val="24"/>
          <w:szCs w:val="24"/>
        </w:rPr>
        <w:fldChar w:fldCharType="begin" w:fldLock="1"/>
      </w:r>
      <w:r w:rsidR="00FD76B1">
        <w:rPr>
          <w:rFonts w:ascii="Arial Narrow" w:hAnsi="Arial Narrow" w:cs="Times New Roman"/>
          <w:sz w:val="24"/>
          <w:szCs w:val="24"/>
        </w:rPr>
        <w:instrText>ADDIN CSL_CITATION {"citationItems":[{"id":"ITEM-1","itemData":{"abstract":"Pertimbangan hukum oleh hakim merupakan aspek krusial dalam proses penegakan hukum, sekaligus menjadi elemen penting dalam mewujudkan rasa keadilan di masyarakat. Dalam perspektif yuridis maupun sosiologis, hakim sering dipandang sebagai representasi nilai-nilai luhur, bahkan secara simbolik disebut sebagai wakil Tuhan di bumi. Oleh karena itu, setiap putusan yang dihasilkan diharapkan tidak hanya memenuhi aspek legal formal, melainkan juga mencerminkan nilai-nilai keadilan substantif yang hidup di masyarakat. Namun kenyataannya, masih banyak terjadi ketimpangan antara harapan masyarakat terhadap putusan pengadilan. Kekecewaan publik kerap mencuat akibat putusan- putusan yang dinilai gagal memenuhi rasa keadilan dan kebenaran, serta belum sepenuhnya mencerminkan kemaslahatan dan ketenteraman sosial.","author":[{"dropping-particle":"","family":"Rasji","given":"","non-dropping-particle":"","parse-names":false,"suffix":""},{"dropping-particle":"","family":"Harmono","given":"Harry","non-dropping-particle":"","parse-names":false,"suffix":""}],"container-title":"Rewang Rencang : Jurnal Hukum Lex Generalis","id":"ITEM-1","issue":"No. 10","issued":{"date-parts":[["2025"]]},"page":"p.4","title":"Hukum sebagai alat rekayasa sosial: gagasan Roscoe Pound dan relevansinya bagi reformasi hukum di indonesia law as a tool of social engineering: Roscoe Pound’s concept and its relevance to legal reform in indonesia","type":"article-journal","volume":"Vol. 5,"},"uris":["http://www.mendeley.com/documents/?uuid=e64f9b78-efe7-43f0-87d5-371100448658"]}],"mendeley":{"formattedCitation":"(Rasji &amp; Harmono, 2025)","plainTextFormattedCitation":"(Rasji &amp; Harmono, 2025)","previouslyFormattedCitation":"(Rasji &amp; Harmono, 2025)"},"properties":{"noteIndex":0},"schema":"https://github.com/citation-style-language/schema/raw/master/csl-citation.json"}</w:instrText>
      </w:r>
      <w:r w:rsidR="0083140A">
        <w:rPr>
          <w:rFonts w:ascii="Arial Narrow" w:hAnsi="Arial Narrow" w:cs="Times New Roman"/>
          <w:sz w:val="24"/>
          <w:szCs w:val="24"/>
        </w:rPr>
        <w:fldChar w:fldCharType="separate"/>
      </w:r>
      <w:r w:rsidR="00410EF6" w:rsidRPr="00410EF6">
        <w:rPr>
          <w:rFonts w:ascii="Arial Narrow" w:hAnsi="Arial Narrow" w:cs="Times New Roman"/>
          <w:noProof/>
          <w:sz w:val="24"/>
          <w:szCs w:val="24"/>
        </w:rPr>
        <w:t>(Rasji &amp; Harmono, 2025)</w:t>
      </w:r>
      <w:r w:rsidR="0083140A">
        <w:rPr>
          <w:rFonts w:ascii="Arial Narrow" w:hAnsi="Arial Narrow" w:cs="Times New Roman"/>
          <w:sz w:val="24"/>
          <w:szCs w:val="24"/>
        </w:rPr>
        <w:fldChar w:fldCharType="end"/>
      </w:r>
      <w:r w:rsidR="00410EF6">
        <w:rPr>
          <w:rFonts w:ascii="Arial Narrow" w:hAnsi="Arial Narrow" w:cs="Times New Roman"/>
          <w:sz w:val="24"/>
          <w:szCs w:val="24"/>
        </w:rPr>
        <w:t>,</w:t>
      </w:r>
      <w:r w:rsidR="00410EF6">
        <w:rPr>
          <w:rFonts w:ascii="Arial Narrow" w:hAnsi="Arial Narrow" w:cs="Times New Roman"/>
          <w:sz w:val="24"/>
          <w:szCs w:val="24"/>
        </w:rPr>
        <w:fldChar w:fldCharType="begin" w:fldLock="1"/>
      </w:r>
      <w:r w:rsidR="00797536">
        <w:rPr>
          <w:rFonts w:ascii="Arial Narrow" w:hAnsi="Arial Narrow" w:cs="Times New Roman"/>
          <w:sz w:val="24"/>
          <w:szCs w:val="24"/>
        </w:rPr>
        <w:instrText>ADDIN CSL_CITATION {"citationItems":[{"id":"ITEM-1","itemData":{"DOI":"10.22437/ujh.1.1.159-185","ISSN":"2598-7941","abstract":"This article attempts at discussing the so called Hukum Progresif (the Progressive Law), a legal thought indtroduced by Satjipto Rahardjo. The idea was beckgrounded with the concerns about the macro application of law in Indonesia, including after the 1998 reforms, which seemed to have failed to meet its ideal direction, namely to make people prosper and happy. What happens with law-enforcement is a downturn and decline, among others seen in the judicial mafia, commercialization, and commodification of the law. To overcome such circumstances, according to Satjipto Rahardjo with hukum progresif, the punishment method must dare to break out of conventional ways and the status quo. The legal texts that have been prioritized should be regarded as being destined for humans and humanity. Law actors must dare to interpret legal texts by freeing themselves from the logic of the law alone, making the leap, so that problems in a dynamic society can be answered and resolved by “containers of static law”. This article shows that the hukum progresif can be a panacea in solving corruptive legal problems due to the limitations and attachments of legal texts, with the requirements of law actors behaving well. However, the mention of hukum progresif in the judgment or the determination of the law of a particular case is also very vulnerable to cause its own problems because it can be pinned speakers arbitrarily to identify the punishment which (as long as it is) out of the text of the law. Abstrak Artikel ini mendiskusikan Hukum Progresif, sebuah gagasan atau pemikiran hukum yang diperkenalkan Satjipto Rahardjo. Gagasan tersebut bermula dari keprihatinan terhadap kehidupan berhukum secara makro di Indonesia termasuk setelah reformasi 1998 yang tidak beranjak ke arah yang ideal, yaitu menyejahterakan dan membahagiakan rakyatnya. Apa yang terjadi dengan kehidupan berhukum justru suatu keterpurukan dan kemunduruan, antara lain terlihat pada mafia peradilan, komersialisasi, dan komodifikasi hukum. Untuk mengatasi keadaan demikian, menurut Satjipto Rahardjo dengan hukum progresifnya, maka berhukum harus berani keluar dari cara-cara konvensional dan status quo. Teks hukum yang selama ini didewakan harus dianggap sebagai sesuatu yang diperuntukkan untuk manusia dan kemanusiaan. Para pelaku atau aktor hukum harus berani menafsirkan teks hukum dengan membebaskan diri dari logika hukum semata, melakukan lompatan, agar persoalan di masyarakat yang bergerak secara dinamis dapat dij…","author":[{"dropping-particle":"","family":"Aulia","given":"M. Zulfa","non-dropping-particle":"","parse-names":false,"suffix":""}],"container-title":"Undang: Jurnal Hukum","id":"ITEM-1","issue":"1","issued":{"date-parts":[["2018"]]},"page":"159-185","title":"Hukum progresif dari Satjipto Rahardjo","type":"article-journal","volume":"1"},"uris":["http://www.mendeley.com/documents/?uuid=7483ec38-07a3-475b-9084-d03c9befeee8"]}],"mendeley":{"formattedCitation":"(Aulia, 2018)","plainTextFormattedCitation":"(Aulia, 2018)","previouslyFormattedCitation":"(Aulia, 2018)"},"properties":{"noteIndex":0},"schema":"https://github.com/citation-style-language/schema/raw/master/csl-citation.json"}</w:instrText>
      </w:r>
      <w:r w:rsidR="00410EF6">
        <w:rPr>
          <w:rFonts w:ascii="Arial Narrow" w:hAnsi="Arial Narrow" w:cs="Times New Roman"/>
          <w:sz w:val="24"/>
          <w:szCs w:val="24"/>
        </w:rPr>
        <w:fldChar w:fldCharType="separate"/>
      </w:r>
      <w:r w:rsidR="00410EF6" w:rsidRPr="00410EF6">
        <w:rPr>
          <w:rFonts w:ascii="Arial Narrow" w:hAnsi="Arial Narrow" w:cs="Times New Roman"/>
          <w:noProof/>
          <w:sz w:val="24"/>
          <w:szCs w:val="24"/>
        </w:rPr>
        <w:t>(Aulia, 2018)</w:t>
      </w:r>
      <w:r w:rsidR="00410EF6">
        <w:rPr>
          <w:rFonts w:ascii="Arial Narrow" w:hAnsi="Arial Narrow" w:cs="Times New Roman"/>
          <w:sz w:val="24"/>
          <w:szCs w:val="24"/>
        </w:rPr>
        <w:fldChar w:fldCharType="end"/>
      </w:r>
    </w:p>
    <w:p w14:paraId="2A217336" w14:textId="5CA59105" w:rsidR="00453C33"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Tulis</w:t>
      </w:r>
      <w:r w:rsidR="00453C33">
        <w:rPr>
          <w:rFonts w:ascii="Arial Narrow" w:hAnsi="Arial Narrow" w:cs="Times New Roman"/>
          <w:sz w:val="24"/>
          <w:szCs w:val="24"/>
        </w:rPr>
        <w:t>an ini masih relevan sebab belum ada</w:t>
      </w:r>
      <w:r w:rsidR="00866B99">
        <w:rPr>
          <w:rFonts w:ascii="Arial Narrow" w:hAnsi="Arial Narrow" w:cs="Times New Roman"/>
          <w:sz w:val="24"/>
          <w:szCs w:val="24"/>
        </w:rPr>
        <w:t xml:space="preserve"> yang meneliti, </w:t>
      </w:r>
      <w:r w:rsidR="00866B99" w:rsidRPr="00F44262">
        <w:rPr>
          <w:rFonts w:ascii="Arial Narrow" w:hAnsi="Arial Narrow" w:cs="Times New Roman"/>
          <w:sz w:val="24"/>
          <w:szCs w:val="24"/>
        </w:rPr>
        <w:t xml:space="preserve"> </w:t>
      </w:r>
      <w:r w:rsidR="00866B99">
        <w:rPr>
          <w:rFonts w:ascii="Arial Narrow" w:hAnsi="Arial Narrow" w:cs="Times New Roman"/>
          <w:sz w:val="24"/>
          <w:szCs w:val="24"/>
        </w:rPr>
        <w:t>a</w:t>
      </w:r>
      <w:r w:rsidRPr="00F44262">
        <w:rPr>
          <w:rFonts w:ascii="Arial Narrow" w:hAnsi="Arial Narrow" w:cs="Times New Roman"/>
          <w:sz w:val="24"/>
          <w:szCs w:val="24"/>
        </w:rPr>
        <w:t>dapun penelitian lain yang ada hubunganya dengan penelitian ini yaitu Djo, (2025) “</w:t>
      </w:r>
      <w:r w:rsidRPr="00F44262">
        <w:rPr>
          <w:rFonts w:ascii="Arial Narrow" w:hAnsi="Arial Narrow" w:cs="Times New Roman"/>
          <w:i/>
          <w:sz w:val="24"/>
          <w:szCs w:val="24"/>
        </w:rPr>
        <w:t>Analisis Yuridis P</w:t>
      </w:r>
      <w:r w:rsidR="00866B99">
        <w:rPr>
          <w:rFonts w:ascii="Arial Narrow" w:hAnsi="Arial Narrow" w:cs="Times New Roman"/>
          <w:i/>
          <w:sz w:val="24"/>
          <w:szCs w:val="24"/>
        </w:rPr>
        <w:t xml:space="preserve"> </w:t>
      </w:r>
      <w:r w:rsidRPr="00F44262">
        <w:rPr>
          <w:rFonts w:ascii="Arial Narrow" w:hAnsi="Arial Narrow" w:cs="Times New Roman"/>
          <w:i/>
          <w:sz w:val="24"/>
          <w:szCs w:val="24"/>
        </w:rPr>
        <w:t>erlindungan Terhadap Joki kuda Pacu Berdasarkan Undang-Undang No 35 Tahun 2014 Tentang Perlindungan Anak</w:t>
      </w:r>
      <w:r w:rsidRPr="00F44262">
        <w:rPr>
          <w:rFonts w:ascii="Arial Narrow" w:hAnsi="Arial Narrow" w:cs="Times New Roman"/>
          <w:sz w:val="24"/>
          <w:szCs w:val="24"/>
        </w:rPr>
        <w:t>”,</w:t>
      </w:r>
      <w:r w:rsidR="000251FE">
        <w:rPr>
          <w:rFonts w:ascii="Arial Narrow" w:hAnsi="Arial Narrow" w:cs="Times New Roman"/>
          <w:sz w:val="24"/>
          <w:szCs w:val="24"/>
        </w:rPr>
        <w:t xml:space="preserve">  </w:t>
      </w:r>
      <w:r w:rsidR="00453C33">
        <w:rPr>
          <w:rFonts w:ascii="Arial Narrow" w:hAnsi="Arial Narrow" w:cs="Times New Roman"/>
          <w:sz w:val="24"/>
          <w:szCs w:val="24"/>
        </w:rPr>
        <w:t>m</w:t>
      </w:r>
      <w:r w:rsidRPr="00F44262">
        <w:rPr>
          <w:rFonts w:ascii="Arial Narrow" w:hAnsi="Arial Narrow" w:cs="Times New Roman"/>
          <w:sz w:val="24"/>
          <w:szCs w:val="24"/>
        </w:rPr>
        <w:t>enyimpulkan, praktik penggunaan anak sebagai joki kuda pacu bertentangan dengan ketentuan Undang-Undang Nomor 35 Tahun 2014 tentang Perlindungan Anak karena mengandung unsur eksploitasi dan membahayakan keselamatan serta perkembangan anak. Kale, (2025) “</w:t>
      </w:r>
      <w:r w:rsidRPr="00F44262">
        <w:rPr>
          <w:rFonts w:ascii="Arial Narrow" w:hAnsi="Arial Narrow" w:cs="Times New Roman"/>
          <w:i/>
          <w:sz w:val="24"/>
          <w:szCs w:val="24"/>
        </w:rPr>
        <w:t>Implementasi Pasal 303 Tentang Perjudian Berdasarkan KUHP Dalam Kegiatan Pacuan Kuda di Lapangan Rihi Eti Waingapu</w:t>
      </w:r>
      <w:r w:rsidRPr="00F44262">
        <w:rPr>
          <w:rFonts w:ascii="Arial Narrow" w:hAnsi="Arial Narrow" w:cs="Times New Roman"/>
          <w:sz w:val="24"/>
          <w:szCs w:val="24"/>
        </w:rPr>
        <w:t>”</w:t>
      </w:r>
      <w:r w:rsidR="00453C33">
        <w:rPr>
          <w:rFonts w:ascii="Arial Narrow" w:hAnsi="Arial Narrow" w:cs="Times New Roman"/>
          <w:sz w:val="24"/>
          <w:szCs w:val="24"/>
        </w:rPr>
        <w:t xml:space="preserve"> m</w:t>
      </w:r>
      <w:r w:rsidRPr="00F44262">
        <w:rPr>
          <w:rFonts w:ascii="Arial Narrow" w:hAnsi="Arial Narrow" w:cs="Times New Roman"/>
          <w:sz w:val="24"/>
          <w:szCs w:val="24"/>
        </w:rPr>
        <w:t xml:space="preserve">enyimpulkan Implementasi Pasal 303 KUHP dalam kegiatan pacuan kuda di Lapangan Rihi Eti Waingapu belum berjalan optimal, karena masih terdapat praktik taruhan yang memenuhi unsur perjudian, meskipun dibungkus dalam tradisi budaya. </w:t>
      </w:r>
    </w:p>
    <w:p w14:paraId="604DB36F" w14:textId="5CB64145" w:rsidR="00173F7B" w:rsidRPr="00F44262" w:rsidRDefault="00173F7B" w:rsidP="006502E8">
      <w:pPr>
        <w:pStyle w:val="ListParagraph"/>
        <w:tabs>
          <w:tab w:val="left" w:pos="1336"/>
        </w:tabs>
        <w:spacing w:line="360" w:lineRule="auto"/>
        <w:ind w:left="360" w:firstLine="491"/>
        <w:jc w:val="both"/>
        <w:rPr>
          <w:rFonts w:ascii="Arial Narrow" w:hAnsi="Arial Narrow" w:cs="Times New Roman"/>
          <w:sz w:val="24"/>
          <w:szCs w:val="24"/>
        </w:rPr>
      </w:pPr>
      <w:r w:rsidRPr="00F44262">
        <w:rPr>
          <w:rFonts w:ascii="Arial Narrow" w:hAnsi="Arial Narrow" w:cs="Times New Roman"/>
          <w:sz w:val="24"/>
          <w:szCs w:val="24"/>
        </w:rPr>
        <w:t xml:space="preserve">Berdasarkan uraian tersebut di atas, fenomena penggunaan anak di bawah umur sebagai joki dalam pacuan kuda di Sumba Timur menjadi isu yang menarik untuk dikaji. Kajian ini penting untuk melihat bagaimana hukum dapat berfungsi sebagai alat rekayasa sosial dalam menata hubungan antara nilai-nilai budaya lokal dengan prinsip-prinsip perlindungan anak dalam sistem hukum. </w:t>
      </w:r>
    </w:p>
    <w:p w14:paraId="1FE99AD8" w14:textId="77777777" w:rsidR="002421A7" w:rsidRPr="00586B96" w:rsidRDefault="002421A7" w:rsidP="006502E8">
      <w:pPr>
        <w:spacing w:after="0" w:line="360" w:lineRule="auto"/>
        <w:jc w:val="both"/>
        <w:rPr>
          <w:rFonts w:ascii="Arial Narrow" w:eastAsia="Book Antiqua" w:hAnsi="Arial Narrow" w:cs="Book Antiqua"/>
          <w:b/>
          <w:bCs/>
          <w:sz w:val="24"/>
          <w:szCs w:val="24"/>
        </w:rPr>
      </w:pPr>
      <w:r w:rsidRPr="00586B96">
        <w:rPr>
          <w:rFonts w:ascii="Arial Narrow" w:eastAsia="Book Antiqua" w:hAnsi="Arial Narrow" w:cs="Book Antiqua"/>
          <w:b/>
          <w:bCs/>
          <w:sz w:val="24"/>
          <w:szCs w:val="24"/>
        </w:rPr>
        <w:t xml:space="preserve">2.  </w:t>
      </w:r>
      <w:r w:rsidRPr="00586B96">
        <w:rPr>
          <w:rFonts w:ascii="Arial Narrow" w:eastAsia="Times New Roman" w:hAnsi="Arial Narrow"/>
          <w:b/>
          <w:bCs/>
          <w:sz w:val="24"/>
          <w:szCs w:val="24"/>
          <w:lang w:val="id-ID"/>
        </w:rPr>
        <w:t>Metode</w:t>
      </w:r>
      <w:r w:rsidRPr="00586B96">
        <w:rPr>
          <w:rFonts w:ascii="Arial Narrow" w:eastAsia="Book Antiqua" w:hAnsi="Arial Narrow" w:cs="Book Antiqua"/>
          <w:b/>
          <w:bCs/>
          <w:sz w:val="24"/>
          <w:szCs w:val="24"/>
        </w:rPr>
        <w:t xml:space="preserve"> Penelitian</w:t>
      </w:r>
    </w:p>
    <w:p w14:paraId="5FE60B10" w14:textId="1B6DA3C5" w:rsidR="0043015D" w:rsidRDefault="00B1216B" w:rsidP="006502E8">
      <w:pPr>
        <w:tabs>
          <w:tab w:val="left" w:pos="2625"/>
        </w:tabs>
        <w:spacing w:line="360" w:lineRule="auto"/>
        <w:ind w:left="426" w:firstLine="283"/>
        <w:jc w:val="both"/>
        <w:rPr>
          <w:rFonts w:ascii="Arial Narrow" w:hAnsi="Arial Narrow" w:cs="Times New Roman"/>
          <w:sz w:val="24"/>
          <w:szCs w:val="24"/>
        </w:rPr>
      </w:pPr>
      <w:r w:rsidRPr="001F6437">
        <w:rPr>
          <w:rFonts w:ascii="Times New Roman" w:hAnsi="Times New Roman" w:cs="Times New Roman"/>
          <w:sz w:val="24"/>
          <w:szCs w:val="24"/>
        </w:rPr>
        <w:t xml:space="preserve">    </w:t>
      </w:r>
      <w:r w:rsidR="0043015D" w:rsidRPr="0043015D">
        <w:rPr>
          <w:rFonts w:ascii="Arial Narrow" w:hAnsi="Arial Narrow" w:cs="Times New Roman"/>
          <w:sz w:val="24"/>
          <w:szCs w:val="24"/>
        </w:rPr>
        <w:t>Metode penelitian yang digunakan dalam penelitian ini a</w:t>
      </w:r>
      <w:r w:rsidR="0043015D">
        <w:rPr>
          <w:rFonts w:ascii="Arial Narrow" w:hAnsi="Arial Narrow" w:cs="Times New Roman"/>
          <w:sz w:val="24"/>
          <w:szCs w:val="24"/>
        </w:rPr>
        <w:t>dalah penelitian hukum</w:t>
      </w:r>
      <w:r w:rsidR="00FD76B1">
        <w:rPr>
          <w:rFonts w:ascii="Arial Narrow" w:hAnsi="Arial Narrow" w:cs="Times New Roman"/>
          <w:sz w:val="24"/>
          <w:szCs w:val="24"/>
        </w:rPr>
        <w:fldChar w:fldCharType="begin" w:fldLock="1"/>
      </w:r>
      <w:r w:rsidR="00FD76B1">
        <w:rPr>
          <w:rFonts w:ascii="Arial Narrow" w:hAnsi="Arial Narrow" w:cs="Times New Roman"/>
          <w:sz w:val="24"/>
          <w:szCs w:val="24"/>
        </w:rPr>
        <w:instrText>ADDIN CSL_CITATION {"citationItems":[{"id":"ITEM-1","itemData":{"author":[{"dropping-particle":"","family":"Marzuki","given":"Peter Mahmud","non-dropping-particle":"","parse-names":false,"suffix":""}],"id":"ITEM-1","issued":{"date-parts":[["2024"]]},"title":"Penelitian hukum","type":"book"},"uris":["http://www.mendeley.com/documents/?uuid=41894ef5-546f-488b-b0a6-f8571ac9862e"]}],"mendeley":{"formattedCitation":"(Marzuki, 2024)","plainTextFormattedCitation":"(Marzuki, 2024)","previouslyFormattedCitation":"(Marzuki, 2024)"},"properties":{"noteIndex":0},"schema":"https://github.com/citation-style-language/schema/raw/master/csl-citation.json"}</w:instrText>
      </w:r>
      <w:r w:rsidR="00FD76B1">
        <w:rPr>
          <w:rFonts w:ascii="Arial Narrow" w:hAnsi="Arial Narrow" w:cs="Times New Roman"/>
          <w:sz w:val="24"/>
          <w:szCs w:val="24"/>
        </w:rPr>
        <w:fldChar w:fldCharType="separate"/>
      </w:r>
      <w:r w:rsidR="00FD76B1" w:rsidRPr="00FD76B1">
        <w:rPr>
          <w:rFonts w:ascii="Arial Narrow" w:hAnsi="Arial Narrow" w:cs="Times New Roman"/>
          <w:noProof/>
          <w:sz w:val="24"/>
          <w:szCs w:val="24"/>
        </w:rPr>
        <w:t>(Marzuki, 2024)</w:t>
      </w:r>
      <w:r w:rsidR="00FD76B1">
        <w:rPr>
          <w:rFonts w:ascii="Arial Narrow" w:hAnsi="Arial Narrow" w:cs="Times New Roman"/>
          <w:sz w:val="24"/>
          <w:szCs w:val="24"/>
        </w:rPr>
        <w:fldChar w:fldCharType="end"/>
      </w:r>
      <w:r w:rsidR="0043015D">
        <w:rPr>
          <w:rFonts w:ascii="Arial Narrow" w:hAnsi="Arial Narrow" w:cs="Times New Roman"/>
          <w:sz w:val="24"/>
          <w:szCs w:val="24"/>
        </w:rPr>
        <w:t xml:space="preserve"> </w:t>
      </w:r>
      <w:r w:rsidR="0043015D" w:rsidRPr="0043015D">
        <w:rPr>
          <w:rFonts w:ascii="Arial Narrow" w:hAnsi="Arial Narrow" w:cs="Times New Roman"/>
          <w:sz w:val="24"/>
          <w:szCs w:val="24"/>
        </w:rPr>
        <w:t xml:space="preserve">yang berfokus pada pengkajian norma-norma hukum yang terdapat dalam peraturan perundang-undangan, literatur hukum, serta pendapat para ahli yang relevan dengan permasalahan yang diteliti. Penelitian ini bertujuan untuk memahami secara komprehensif ketentuan hukum mengenai perlindungan anak, khususnya terkait keterlibatan anak sebagai joki dalam tradisi pacuan kuda. Adapun sifat penelitian ini </w:t>
      </w:r>
      <w:r w:rsidR="0043015D" w:rsidRPr="008033DF">
        <w:rPr>
          <w:rFonts w:ascii="Arial Narrow" w:hAnsi="Arial Narrow" w:cs="Times New Roman"/>
          <w:sz w:val="24"/>
          <w:szCs w:val="24"/>
        </w:rPr>
        <w:t xml:space="preserve">adalah </w:t>
      </w:r>
      <w:r w:rsidR="0043015D" w:rsidRPr="008033DF">
        <w:rPr>
          <w:rFonts w:ascii="Arial Narrow" w:hAnsi="Arial Narrow" w:cs="Times New Roman"/>
          <w:i/>
          <w:iCs/>
          <w:sz w:val="24"/>
          <w:szCs w:val="24"/>
        </w:rPr>
        <w:t>deskriptif-analitis</w:t>
      </w:r>
      <w:r w:rsidR="0043015D" w:rsidRPr="0043015D">
        <w:rPr>
          <w:rFonts w:ascii="Arial Narrow" w:hAnsi="Arial Narrow" w:cs="Times New Roman"/>
          <w:sz w:val="24"/>
          <w:szCs w:val="24"/>
        </w:rPr>
        <w:t xml:space="preserve">, yaitu menggambarkan secara sistematis ketentuan dalam Undang-Undang Nomor 35 Tahun 2014 tentang Perlindungan Anak serta praktik yang terjadi di masyarakat, kemudian dianalisis menggunakan perspektif </w:t>
      </w:r>
      <w:r w:rsidR="0043015D" w:rsidRPr="008033DF">
        <w:rPr>
          <w:rFonts w:ascii="Arial Narrow" w:hAnsi="Arial Narrow" w:cs="Times New Roman"/>
          <w:i/>
          <w:iCs/>
          <w:sz w:val="24"/>
          <w:szCs w:val="24"/>
        </w:rPr>
        <w:t>teori law as a tool of social engineering</w:t>
      </w:r>
      <w:r w:rsidR="0043015D" w:rsidRPr="0043015D">
        <w:rPr>
          <w:rFonts w:ascii="Arial Narrow" w:hAnsi="Arial Narrow" w:cs="Times New Roman"/>
          <w:sz w:val="24"/>
          <w:szCs w:val="24"/>
        </w:rPr>
        <w:t xml:space="preserve"> yang dikemukakan oleh Roscoe Pound untuk memahami peran hukum dalam menyeimbangkan antara pelestaria</w:t>
      </w:r>
      <w:r w:rsidR="0043015D">
        <w:rPr>
          <w:rFonts w:ascii="Arial Narrow" w:hAnsi="Arial Narrow" w:cs="Times New Roman"/>
          <w:sz w:val="24"/>
          <w:szCs w:val="24"/>
        </w:rPr>
        <w:t>n budaya dan perlindungan anak.</w:t>
      </w:r>
    </w:p>
    <w:p w14:paraId="1743404E" w14:textId="4A42F6E8" w:rsidR="0043015D" w:rsidRDefault="0043015D" w:rsidP="006502E8">
      <w:pPr>
        <w:tabs>
          <w:tab w:val="left" w:pos="2625"/>
        </w:tabs>
        <w:spacing w:line="360" w:lineRule="auto"/>
        <w:ind w:left="426" w:firstLine="567"/>
        <w:jc w:val="both"/>
        <w:rPr>
          <w:rFonts w:ascii="Arial Narrow" w:hAnsi="Arial Narrow" w:cs="Times New Roman"/>
          <w:sz w:val="24"/>
          <w:szCs w:val="24"/>
        </w:rPr>
      </w:pPr>
      <w:r w:rsidRPr="0043015D">
        <w:rPr>
          <w:rFonts w:ascii="Arial Narrow" w:hAnsi="Arial Narrow" w:cs="Times New Roman"/>
          <w:sz w:val="24"/>
          <w:szCs w:val="24"/>
        </w:rPr>
        <w:t>Pendekatan yang digunakan dalam penelitian ini meliputi pendekatan perundang-undangan (</w:t>
      </w:r>
      <w:r w:rsidRPr="003C4E42">
        <w:rPr>
          <w:rFonts w:ascii="Arial Narrow" w:hAnsi="Arial Narrow" w:cs="Times New Roman"/>
          <w:i/>
          <w:sz w:val="24"/>
          <w:szCs w:val="24"/>
        </w:rPr>
        <w:t>statute approach</w:t>
      </w:r>
      <w:r w:rsidRPr="0043015D">
        <w:rPr>
          <w:rFonts w:ascii="Arial Narrow" w:hAnsi="Arial Narrow" w:cs="Times New Roman"/>
          <w:sz w:val="24"/>
          <w:szCs w:val="24"/>
        </w:rPr>
        <w:t>) dan pendekatan filsafat hukum (</w:t>
      </w:r>
      <w:r w:rsidRPr="003C4E42">
        <w:rPr>
          <w:rFonts w:ascii="Arial Narrow" w:hAnsi="Arial Narrow" w:cs="Times New Roman"/>
          <w:i/>
          <w:sz w:val="24"/>
          <w:szCs w:val="24"/>
        </w:rPr>
        <w:t>philosophical approach</w:t>
      </w:r>
      <w:r w:rsidRPr="0043015D">
        <w:rPr>
          <w:rFonts w:ascii="Arial Narrow" w:hAnsi="Arial Narrow" w:cs="Times New Roman"/>
          <w:sz w:val="24"/>
          <w:szCs w:val="24"/>
        </w:rPr>
        <w:t>). Pendekatan perundang-undangan dilakukan dengan menelaah berbagai regulasi yang berkaitan dengan perlindungan anak guna menilai kesesuaian antara praktik di lapangan dengan ketentuan hukum yang berlaku, sedangkan pendekatan filsafat hukum digunakan untuk mengkaji hukum sebagai sarana rekayasa sosial dalam mewujudkan keadilan dan kemanfaatan dalam masyarakat. Sumber data dalam penelitian ini berupa bahan hukum</w:t>
      </w:r>
      <w:r w:rsidR="00FD76B1">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{"citationItems":[{"id":"ITEM-1","itemData":{"author":[{"dropping-particle":"","family":"Marzuki","given":"Peter Mahmud","non-dropping-particle":"","parse-names":false,"suffix":""}],"id":"ITEM-1","issued":{"date-parts":[["2024"]]},"title":"Penelitian hukum","type":"book"},"uris":["http://www.mendeley.com/documents/?uuid=41894ef5-546f-488b-b0a6-f8571ac9862e"]}],"mendeley":{"formattedCitation":"(Marzuki, 2024)","plainTextFormattedCitation":"(Marzuki, 2024)","previouslyFormattedCitation":"(Marzuki, 2024)"},"properties":{"noteIndex":0},"schema":"https://github.com/citation-style-language/schema/raw/master/csl-citation.json"}</w:instrText>
      </w:r>
      <w:r w:rsidR="00FD76B1">
        <w:rPr>
          <w:rFonts w:ascii="Arial Narrow" w:hAnsi="Arial Narrow" w:cs="Times New Roman"/>
          <w:sz w:val="24"/>
          <w:szCs w:val="24"/>
        </w:rPr>
        <w:fldChar w:fldCharType="separate"/>
      </w:r>
      <w:r w:rsidR="00FD76B1" w:rsidRPr="00FD76B1">
        <w:rPr>
          <w:rFonts w:ascii="Arial Narrow" w:hAnsi="Arial Narrow" w:cs="Times New Roman"/>
          <w:noProof/>
          <w:sz w:val="24"/>
          <w:szCs w:val="24"/>
        </w:rPr>
        <w:t>(Marzuki, 2024)</w:t>
      </w:r>
      <w:r w:rsidR="00FD76B1">
        <w:rPr>
          <w:rFonts w:ascii="Arial Narrow" w:hAnsi="Arial Narrow" w:cs="Times New Roman"/>
          <w:sz w:val="24"/>
          <w:szCs w:val="24"/>
        </w:rPr>
        <w:fldChar w:fldCharType="end"/>
      </w:r>
      <w:r w:rsidRPr="0043015D">
        <w:rPr>
          <w:rFonts w:ascii="Arial Narrow" w:hAnsi="Arial Narrow" w:cs="Times New Roman"/>
          <w:sz w:val="24"/>
          <w:szCs w:val="24"/>
        </w:rPr>
        <w:t xml:space="preserve"> primer, yaitu Undang-Undang Nomor 35 Tahun 2014 tentang Perlindungan Anak; bahan hukum sekunder yang meliputi buku, jurnal hukum, pendapat para ahli, serta karya ilmiah; dan bahan hukum tersier seperti Kamus Besar Bahasa Indonesia. Teknik pengumpulan data dilakukan melalui studi kepustakaan dengan menelaah berbagai bahan hukum yang </w:t>
      </w:r>
      <w:r>
        <w:rPr>
          <w:rFonts w:ascii="Arial Narrow" w:hAnsi="Arial Narrow" w:cs="Times New Roman"/>
          <w:sz w:val="24"/>
          <w:szCs w:val="24"/>
        </w:rPr>
        <w:t>relevan.</w:t>
      </w:r>
    </w:p>
    <w:p w14:paraId="0A069B80" w14:textId="77777777" w:rsidR="00453C33" w:rsidRDefault="0043015D" w:rsidP="006502E8">
      <w:pPr>
        <w:tabs>
          <w:tab w:val="left" w:pos="2625"/>
        </w:tabs>
        <w:spacing w:line="360" w:lineRule="auto"/>
        <w:ind w:left="426" w:firstLine="567"/>
        <w:jc w:val="both"/>
        <w:rPr>
          <w:rFonts w:ascii="Arial Narrow" w:hAnsi="Arial Narrow" w:cs="Times New Roman"/>
          <w:sz w:val="24"/>
          <w:szCs w:val="24"/>
        </w:rPr>
      </w:pPr>
      <w:r w:rsidRPr="0043015D">
        <w:rPr>
          <w:rFonts w:ascii="Arial Narrow" w:hAnsi="Arial Narrow" w:cs="Times New Roman"/>
          <w:sz w:val="24"/>
          <w:szCs w:val="24"/>
        </w:rPr>
        <w:t xml:space="preserve">Selanjutnya, metode analisis data yang digunakan adalah </w:t>
      </w:r>
      <w:r w:rsidRPr="003C4E42">
        <w:rPr>
          <w:rFonts w:ascii="Arial Narrow" w:hAnsi="Arial Narrow" w:cs="Times New Roman"/>
          <w:i/>
          <w:sz w:val="24"/>
          <w:szCs w:val="24"/>
        </w:rPr>
        <w:t>deskriptif kualitatif</w:t>
      </w:r>
      <w:r w:rsidRPr="0043015D">
        <w:rPr>
          <w:rFonts w:ascii="Arial Narrow" w:hAnsi="Arial Narrow" w:cs="Times New Roman"/>
          <w:sz w:val="24"/>
          <w:szCs w:val="24"/>
        </w:rPr>
        <w:t xml:space="preserve">, yaitu dengan mengolah data secara sistematis melalui tahapan reduksi data, penyajian data, dan penarikan kesimpulan. Data yang diperoleh dianalisis dengan mengkaji kesesuaiannya terhadap peraturan perundang-undangan serta dikaitkan dengan kondisi sosial masyarakat, kemudian ditelaah menggunakan perspektif teori </w:t>
      </w:r>
      <w:r w:rsidRPr="003C4E42">
        <w:rPr>
          <w:rFonts w:ascii="Arial Narrow" w:hAnsi="Arial Narrow" w:cs="Times New Roman"/>
          <w:i/>
          <w:sz w:val="24"/>
          <w:szCs w:val="24"/>
        </w:rPr>
        <w:t>law as a tool of social engineering</w:t>
      </w:r>
      <w:r w:rsidRPr="0043015D">
        <w:rPr>
          <w:rFonts w:ascii="Arial Narrow" w:hAnsi="Arial Narrow" w:cs="Times New Roman"/>
          <w:sz w:val="24"/>
          <w:szCs w:val="24"/>
        </w:rPr>
        <w:t xml:space="preserve"> untuk memberikan pemahaman yang lebih mendalam mengenai fungsi hukum dalam mengatur dan menyeimbangkan kepentingan antara pelestarian budaya dan perlindungan hak anak.</w:t>
      </w:r>
    </w:p>
    <w:p w14:paraId="1F67CF38" w14:textId="77777777" w:rsidR="000251FE" w:rsidRPr="00B1216B" w:rsidRDefault="000251FE" w:rsidP="006502E8">
      <w:pPr>
        <w:tabs>
          <w:tab w:val="left" w:pos="2625"/>
        </w:tabs>
        <w:spacing w:line="360" w:lineRule="auto"/>
        <w:ind w:left="426" w:firstLine="567"/>
        <w:jc w:val="both"/>
        <w:rPr>
          <w:rFonts w:ascii="Arial Narrow" w:hAnsi="Arial Narrow" w:cs="Times New Roman"/>
          <w:sz w:val="24"/>
          <w:szCs w:val="24"/>
        </w:rPr>
      </w:pPr>
    </w:p>
    <w:p w14:paraId="3A882297" w14:textId="77777777" w:rsidR="002421A7" w:rsidRPr="00586B96" w:rsidRDefault="00453C33" w:rsidP="006502E8">
      <w:pPr>
        <w:spacing w:after="0" w:line="360" w:lineRule="auto"/>
        <w:jc w:val="both"/>
        <w:rPr>
          <w:rFonts w:ascii="Arial Narrow" w:eastAsia="Book Antiqua" w:hAnsi="Arial Narrow" w:cs="Book Antiqua"/>
          <w:b/>
          <w:bCs/>
          <w:sz w:val="24"/>
          <w:szCs w:val="24"/>
        </w:rPr>
      </w:pPr>
      <w:r w:rsidRPr="00586B96">
        <w:rPr>
          <w:rFonts w:ascii="Arial Narrow" w:eastAsia="Book Antiqua" w:hAnsi="Arial Narrow" w:cs="Book Antiqua"/>
          <w:b/>
          <w:bCs/>
          <w:sz w:val="24"/>
          <w:szCs w:val="24"/>
        </w:rPr>
        <w:t>3.  Hasil</w:t>
      </w:r>
      <w:r w:rsidR="002421A7" w:rsidRPr="00586B96">
        <w:rPr>
          <w:rFonts w:ascii="Arial Narrow" w:eastAsia="Book Antiqua" w:hAnsi="Arial Narrow" w:cs="Book Antiqua"/>
          <w:b/>
          <w:bCs/>
          <w:sz w:val="24"/>
          <w:szCs w:val="24"/>
        </w:rPr>
        <w:t xml:space="preserve"> dan Pembahasan </w:t>
      </w:r>
    </w:p>
    <w:p w14:paraId="0150963F" w14:textId="77777777" w:rsidR="00ED546B" w:rsidRDefault="007874CA" w:rsidP="006502E8">
      <w:pPr>
        <w:tabs>
          <w:tab w:val="left" w:pos="5011"/>
        </w:tabs>
        <w:spacing w:after="160" w:line="360" w:lineRule="auto"/>
        <w:jc w:val="both"/>
        <w:rPr>
          <w:rFonts w:ascii="Arial Narrow" w:hAnsi="Arial Narrow" w:cs="Times New Roman"/>
          <w:b/>
          <w:bCs/>
          <w:sz w:val="24"/>
          <w:szCs w:val="24"/>
        </w:rPr>
      </w:pPr>
      <w:r>
        <w:rPr>
          <w:rFonts w:ascii="Arial Narrow" w:hAnsi="Arial Narrow" w:cs="Times New Roman"/>
          <w:b/>
          <w:bCs/>
          <w:sz w:val="24"/>
          <w:szCs w:val="24"/>
        </w:rPr>
        <w:t xml:space="preserve">Analisis Filosofis terhadap peran </w:t>
      </w:r>
      <w:r w:rsidRPr="006502E8">
        <w:rPr>
          <w:rFonts w:ascii="Arial Narrow" w:hAnsi="Arial Narrow" w:cs="Times New Roman"/>
          <w:b/>
          <w:bCs/>
          <w:iCs/>
          <w:sz w:val="24"/>
          <w:szCs w:val="24"/>
        </w:rPr>
        <w:t>teori</w:t>
      </w:r>
      <w:r w:rsidRPr="007874CA">
        <w:rPr>
          <w:rFonts w:ascii="Arial Narrow" w:hAnsi="Arial Narrow" w:cs="Times New Roman"/>
          <w:b/>
          <w:bCs/>
          <w:i/>
          <w:sz w:val="24"/>
          <w:szCs w:val="24"/>
        </w:rPr>
        <w:t xml:space="preserve"> Law </w:t>
      </w:r>
      <w:r w:rsidR="00866B99">
        <w:rPr>
          <w:rFonts w:ascii="Arial Narrow" w:hAnsi="Arial Narrow" w:cs="Times New Roman"/>
          <w:b/>
          <w:bCs/>
          <w:i/>
          <w:sz w:val="24"/>
          <w:szCs w:val="24"/>
        </w:rPr>
        <w:t>a</w:t>
      </w:r>
      <w:r w:rsidRPr="007874CA">
        <w:rPr>
          <w:rFonts w:ascii="Arial Narrow" w:hAnsi="Arial Narrow" w:cs="Times New Roman"/>
          <w:b/>
          <w:bCs/>
          <w:i/>
          <w:sz w:val="24"/>
          <w:szCs w:val="24"/>
        </w:rPr>
        <w:t xml:space="preserve">s a Tool </w:t>
      </w:r>
      <w:r w:rsidR="00866B99">
        <w:rPr>
          <w:rFonts w:ascii="Arial Narrow" w:hAnsi="Arial Narrow" w:cs="Times New Roman"/>
          <w:b/>
          <w:bCs/>
          <w:i/>
          <w:sz w:val="24"/>
          <w:szCs w:val="24"/>
        </w:rPr>
        <w:t>o</w:t>
      </w:r>
      <w:r w:rsidRPr="007874CA">
        <w:rPr>
          <w:rFonts w:ascii="Arial Narrow" w:hAnsi="Arial Narrow" w:cs="Times New Roman"/>
          <w:b/>
          <w:bCs/>
          <w:i/>
          <w:sz w:val="24"/>
          <w:szCs w:val="24"/>
        </w:rPr>
        <w:t>f Social Engineering</w:t>
      </w:r>
      <w:r>
        <w:rPr>
          <w:rFonts w:ascii="Arial Narrow" w:hAnsi="Arial Narrow" w:cs="Times New Roman"/>
          <w:b/>
          <w:bCs/>
          <w:sz w:val="24"/>
          <w:szCs w:val="24"/>
        </w:rPr>
        <w:t xml:space="preserve"> </w:t>
      </w:r>
      <w:r w:rsidR="00ED546B" w:rsidRPr="00ED546B">
        <w:rPr>
          <w:rFonts w:ascii="Arial Narrow" w:hAnsi="Arial Narrow" w:cs="Times New Roman"/>
          <w:b/>
          <w:bCs/>
          <w:sz w:val="24"/>
          <w:szCs w:val="24"/>
        </w:rPr>
        <w:t xml:space="preserve">menempatkan hukum sebagai instrumen strategis untuk merekayasa dan mentransformasi praktik sosial, termasuk dalam mengoreksi penggunaan anak di bawah umur sebagai joki pacuan kuda, agar selaras dengan nilai keadilan, perlindungan hak anak, dan prinsip kemanusiaan. </w:t>
      </w:r>
    </w:p>
    <w:p w14:paraId="7DEB598C" w14:textId="0C44EC19" w:rsidR="00B1216B" w:rsidRPr="00ED546B" w:rsidRDefault="00B1216B" w:rsidP="006502E8">
      <w:pPr>
        <w:tabs>
          <w:tab w:val="left" w:pos="5011"/>
        </w:tabs>
        <w:spacing w:after="160" w:line="360" w:lineRule="auto"/>
        <w:ind w:left="426" w:firstLine="567"/>
        <w:jc w:val="both"/>
        <w:rPr>
          <w:rFonts w:ascii="Arial Narrow" w:hAnsi="Arial Narrow" w:cs="Times New Roman"/>
          <w:b/>
          <w:bCs/>
          <w:sz w:val="24"/>
          <w:szCs w:val="24"/>
        </w:rPr>
      </w:pPr>
      <w:r w:rsidRPr="00455432">
        <w:rPr>
          <w:rFonts w:ascii="Arial Narrow" w:hAnsi="Arial Narrow" w:cs="Times New Roman"/>
          <w:sz w:val="24"/>
          <w:szCs w:val="24"/>
        </w:rPr>
        <w:t>Tradisi pacuan kuda d</w:t>
      </w:r>
      <w:r w:rsidR="00994EE2">
        <w:rPr>
          <w:rFonts w:ascii="Arial Narrow" w:hAnsi="Arial Narrow" w:cs="Times New Roman"/>
          <w:sz w:val="24"/>
          <w:szCs w:val="24"/>
        </w:rPr>
        <w:t>i</w:t>
      </w:r>
      <w:r w:rsidRPr="00455432">
        <w:rPr>
          <w:rFonts w:ascii="Arial Narrow" w:hAnsi="Arial Narrow" w:cs="Times New Roman"/>
          <w:sz w:val="24"/>
          <w:szCs w:val="24"/>
        </w:rPr>
        <w:t xml:space="preserve"> Kabupaten Sumba Timur merupakan bagian dari kearifan lokal yang memiliki nilai sosial, budaya, dan historis yang kuat dalam kehidupan masyarakat. Kegiatan ini tidak hanya dipandang sebagai ajang olahraga atau hiburan, tetapi juga sebagai simbol </w:t>
      </w:r>
      <w:r w:rsidRPr="00455432">
        <w:rPr>
          <w:rFonts w:ascii="Arial Narrow" w:hAnsi="Arial Narrow" w:cs="Times New Roman"/>
          <w:i/>
          <w:iCs/>
          <w:sz w:val="24"/>
          <w:szCs w:val="24"/>
        </w:rPr>
        <w:t>prestise</w:t>
      </w:r>
      <w:r w:rsidRPr="00455432">
        <w:rPr>
          <w:rFonts w:ascii="Arial Narrow" w:hAnsi="Arial Narrow" w:cs="Times New Roman"/>
          <w:sz w:val="24"/>
          <w:szCs w:val="24"/>
        </w:rPr>
        <w:t>, keberanian, serta identitas budaya yang d</w:t>
      </w:r>
      <w:r w:rsidR="00E9648F">
        <w:rPr>
          <w:rFonts w:ascii="Arial Narrow" w:hAnsi="Arial Narrow" w:cs="Times New Roman"/>
          <w:sz w:val="24"/>
          <w:szCs w:val="24"/>
        </w:rPr>
        <w:t>iwariskan secara turun-temurun.</w:t>
      </w:r>
      <w:r w:rsidR="00994EE2">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{"citationItems":[{"id":"ITEM-1","itemData":{"DOI":"10.55606/khatulistiwa.v5i2.5847","ISSN":"2962-4452","abstract":"Horse racing is a tradition that is still ongoing and is favored by the people of Sumbawa Island in general, one of which is the Bima community who knows this tradition as a jara pacoa which is ridden by children aged 5 (five) to 12 (twelve years), known as the little jockey. These young jockeys have become part of the ongoing tradition since before the regulation regarding the provisions of the age of children regulated in the law and is still undergoing the same tradition when the laws and regulations have regulated the provisions of the age of children and their rights and obligations in Indonesia. The study was conducted by doctrinal method with literature study. Writing data uses secondary data derived from written legal material, books and scientific work, which then the authors complete with observations, and interview results. The right of the community to maintain the tradition and its cultural values is protected by the law, as well as the rights of children, in the tradition of jara Pacoa can be a forum for children to excel, not exploited if the government makes regulations and more serious regulations both for protection of children and the Pacuan arena.","author":[{"dropping-particle":"","family":"Dian Rizky Rahmawati","given":"","non-dropping-particle":"","parse-names":false,"suffix":""}],"container-title":"Khatulistiwa: Jurnal Pendidikan dan Sosial Humaniora","id":"ITEM-1","issue":"2","issued":{"date-parts":[["2025"]]},"page":"326-340","title":"Joki cilik pacoa jara: berpacu dalam tradisi dan hukum perlindungan anak","type":"article-journal","volume":"5"},"uris":["http://www.mendeley.com/documents/?uuid=c2fb70c8-8ca9-4db9-8b96-ca647b55fbf6"]}],"mendeley":{"formattedCitation":"(Dian Rizky Rahmawati, 2025)","plainTextFormattedCitation":"(Dian Rizky Rahmawati, 2025)","previouslyFormattedCitation":"(Dian Rizky Rahmawati, 2025)"},"properties":{"noteIndex":0},"schema":"https://github.com/citation-style-language/schema/raw/master/csl-citation.json"}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(Dian Rizky Rahmawati, 2025)</w:t>
      </w:r>
      <w:r w:rsidR="00994EE2">
        <w:rPr>
          <w:rFonts w:ascii="Arial Narrow" w:hAnsi="Arial Narrow" w:cs="Times New Roman"/>
          <w:sz w:val="24"/>
          <w:szCs w:val="24"/>
        </w:rPr>
        <w:fldChar w:fldCharType="end"/>
      </w:r>
      <w:r w:rsidR="00994EE2">
        <w:rPr>
          <w:rFonts w:ascii="Arial Narrow" w:hAnsi="Arial Narrow" w:cs="Times New Roman"/>
          <w:sz w:val="24"/>
          <w:szCs w:val="24"/>
        </w:rPr>
        <w:t xml:space="preserve">, </w:t>
      </w:r>
      <w:r w:rsidR="00994EE2">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{"citationItems":[{"id":"ITEM-1","itemData":{"abstract":"… kearifan lokal yang terdapat dalam cerita rakyat masyarakat Sumba Timur. Teori yang digunakan dalam penelitian ini adalah teori kearifan lokal … data etnografi dan kearifan lokal yang …","author":[{"dropping-particle":"","family":"Lika","given":"Febriani A R","non-dropping-particle":"","parse-names":false,"suffix":""},{"dropping-particle":"","family":"Haris Supratno","given":"","non-dropping-particle":"","parse-names":false,"suffix":""},{"dropping-particle":"","family":"Suyatno","given":"","non-dropping-particle":"","parse-names":false,"suffix":""}],"container-title":"Jurnal Education and development","id":"ITEM-1","issue":"1","issued":{"date-parts":[["2021"]]},"page":"294-299","title":"Kearifan lokal dalam cerita rakyat Sumba Timur","type":"article-journal","volume":"9"},"uris":["http://www.mendeley.com/documents/?uuid=3b30de8b-23e8-4b2a-942e-f4728e5e818c"]}],"mendeley":{"formattedCitation":"(Lika et al., 2021)","plainTextFormattedCitation":"(Lika et al., 2021)","previouslyFormattedCitation":"(Lika et al., 2021)"},"properties":{"noteIndex":0},"schema":"https://github.com/citation-style-language/schema/raw/master/csl-citation.json"}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(Lika et al., 2021)</w:t>
      </w:r>
      <w:r w:rsidR="00994EE2">
        <w:rPr>
          <w:rFonts w:ascii="Arial Narrow" w:hAnsi="Arial Narrow" w:cs="Times New Roman"/>
          <w:sz w:val="24"/>
          <w:szCs w:val="24"/>
        </w:rPr>
        <w:fldChar w:fldCharType="end"/>
      </w:r>
      <w:r w:rsidR="00E9648F">
        <w:rPr>
          <w:rFonts w:ascii="Arial Narrow" w:hAnsi="Arial Narrow" w:cs="Times New Roman"/>
          <w:sz w:val="24"/>
          <w:szCs w:val="24"/>
        </w:rPr>
        <w:t xml:space="preserve"> </w:t>
      </w:r>
      <w:r w:rsidRPr="00455432">
        <w:rPr>
          <w:rFonts w:ascii="Arial Narrow" w:hAnsi="Arial Narrow" w:cs="Times New Roman"/>
          <w:sz w:val="24"/>
          <w:szCs w:val="24"/>
        </w:rPr>
        <w:t>Selain itu, tradisi ini memiliki fungsi sosial sebagai sarana mempererat hubungan antaranggota masyarakat, memperkuat solidaritas sosial, serta menjadi bagian dari ritus adat dan perayaan tertentu. Pacuan kuda juga berkontribusi terhadap aspek ekonomi lokal, seperti perputaran ekonomi masyarakat melalui kegiatan perdagangan, pariwisata, dan taruhan yang seringkali menyertainy</w:t>
      </w:r>
      <w:r w:rsidR="00095A80">
        <w:rPr>
          <w:rFonts w:ascii="Arial Narrow" w:hAnsi="Arial Narrow" w:cs="Times New Roman"/>
          <w:sz w:val="24"/>
          <w:szCs w:val="24"/>
        </w:rPr>
        <w:t>a. P</w:t>
      </w:r>
      <w:r w:rsidRPr="00455432">
        <w:rPr>
          <w:rFonts w:ascii="Arial Narrow" w:hAnsi="Arial Narrow" w:cs="Times New Roman"/>
          <w:sz w:val="24"/>
          <w:szCs w:val="24"/>
        </w:rPr>
        <w:t>raktik tersebut mencerminkan sistem nilai dan norma yang hidup dalam masyarakat Sumba Timur, di mana keterlibatan individu, termasuk anak-anak, sering kali dipandang sebagai bagian dari proses sosialisasi budaya. Namun demikian, dalam perkembangan masyarakat modern, praktik tersebut tidak dapat dilepaskan dari tuntutan perlindungan hak asasi manusia, khususnya hak anak. Oleh karena itu, diperlukan upaya untuk merekonstruksi praktik budaya tersebut agar tetap lestari, namun selaras dengan prinsip-prinsip hukum dan perlindungan anak dalam sistem hukum nasional.</w:t>
      </w:r>
    </w:p>
    <w:p w14:paraId="48D759F4" w14:textId="6DA054C6" w:rsidR="00B1216B" w:rsidRPr="00455432" w:rsidRDefault="00B1216B" w:rsidP="006502E8">
      <w:pPr>
        <w:tabs>
          <w:tab w:val="left" w:pos="5011"/>
        </w:tabs>
        <w:spacing w:line="360" w:lineRule="auto"/>
        <w:ind w:left="426" w:firstLine="992"/>
        <w:jc w:val="both"/>
        <w:rPr>
          <w:rFonts w:ascii="Arial Narrow" w:hAnsi="Arial Narrow" w:cs="Times New Roman"/>
          <w:sz w:val="24"/>
          <w:szCs w:val="24"/>
        </w:rPr>
      </w:pPr>
      <w:r w:rsidRPr="00455432">
        <w:rPr>
          <w:rFonts w:ascii="Arial Narrow" w:hAnsi="Arial Narrow" w:cs="Times New Roman"/>
          <w:sz w:val="24"/>
          <w:szCs w:val="24"/>
        </w:rPr>
        <w:t>Dalam praktiknya, penggunaan anak di bawah umur sebagai joki merupakan fenomena yang telah lama berlangsung. Anak-anak dipilih sebagai joki karena memiliki berat badan yang relatif ringan sehingga dianggap mampu meningkatkan performa kuda dalam perlombaan. Selain itu, faktor kebiasaan dan pembelajaran sejak usia dini membuat anak-anak dinilai memiliki keterampilan dalam mengendalikan kuda. Tidak hanya itu, terdapat pula faktor sosial-ekonomi yang mempengaruhi keterlibatan anak, di mana sebagian keluarga memandang aktivitas tersebut sebagai bagian dari kontribusi anak terhadap keluarga maupun sebagai sarana memperoleh keuntungan ekonomi, baik secara langsung maupun tidak langsung. Di sisi lain, praktik ini juga dipengaruhi oleh konstruksi sosial masyarakat yang cenderung menganggap keterlibatan anak dalam pacuan kuda sebagai hal yang wajar dan bagian dari proses pewarisan budaya. Normalisasi terhadap praktik tersebut menyebabkan rendahnya kesadaran akan potensi risiko yang dihadapi anak, baik dari segi keselamatan fisik maupun perkembangan psikologis. Padahal, aktivitas pacuan kuda memiliki tingkat bahaya yang tinggi, mengingat kecepatan dan kondisi</w:t>
      </w:r>
      <w:r w:rsidR="00804CB3">
        <w:rPr>
          <w:rFonts w:ascii="Arial Narrow" w:hAnsi="Arial Narrow" w:cs="Times New Roman"/>
          <w:sz w:val="24"/>
          <w:szCs w:val="24"/>
        </w:rPr>
        <w:t xml:space="preserve"> lapangan yang tidak selalu aman.</w:t>
      </w:r>
      <w:r w:rsidR="00994EE2">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{"citationItems":[{"id":"ITEM-1","itemData":{"DOI":"10.60126/maras.v2i1.220","abstract":"Pacuan kuda merupakan salah satu contoh budaya dan hiburan bagi masyarakat Dompu yang telah turun temurun dilaksanakan. Pacuan kuda dibuat untuk membantu masyarakat Dompu dalam melakukan interakasi dan komunikasi dengan orang lain, pelaksanaan event pacuan kuda sudah menjadi agenda rutin yang diadakan setiap sekali setahun di arena pacuan kuda yang berada di Desa Lepadi, Kecamatan Pajo, Dompu. Penelitian ini bertujuan untuk mengetahui dampak dari adanya pelaksanan event pacuan kuda dalam meningkatkan kesejahteraan komunitas lokal di Desa Lepadi, Kecamatan Pajo, Dompu. Manfaat dari penelitian ini dapat dipakai untuk menjadi acuan pengetahuan tentang perananan wisata dalam meningkatkan kesejahteraan masyarakat. Adapun metode yang digunakan untuk mengungkap hal tersebut adalah metode kualitatif dengan pendekatan deskriktif. hasil penelitian yang dilakukan, pelaksanaan event pacuan kuda memberikan dampak pada kesejahteraan mayarakat dengan terciptanya kepuasan yang di ukur dari beberapa aspek diantaranya pendapatan, kualitas hidup, interaksi, kesetraan serta kebersihan lingkungan Berdasarkan hasil penelitian maka dapat ditarik kesimpulan adanya pelaksanaan event pacuan kuda di Desa Lepadi memberikan dampak dalam meningkatkan kesejahteraan komunitas lokal di antaranya, komunitas joki cilik, kelompok pelaksana event, komunitas pedagang dan komunitas peternak kuda. Dengan begitu pelaksanaan event pacuan kuda memberikan peningkatan pendapatan dan kualitas sumber daya manusia yang ada di desa tersebut. Dari pendapatan yang tercipta membuat pelaksanan event pacuan kuda memberikan peningkatan kesejahteraan bagi masyarakat/komunitas yang terlibat.","author":[{"dropping-particle":"","family":"Faisal","given":"Abdul","non-dropping-particle":"","parse-names":false,"suffix":""},{"dropping-particle":"","family":"Saleh","given":"Amin","non-dropping-particle":"","parse-names":false,"suffix":""},{"dropping-particle":"","family":"Hendra Najwin","given":"Asfarony","non-dropping-particle":"","parse-names":false,"suffix":""}],"container-title":"MARAS: Jurnal Penelitian Multidisiplin","id":"ITEM-1","issue":"1","issued":{"date-parts":[["2024"]]},"page":"589-598","title":"Analisis dampak wisata pacuan kuda dalam meningkatkan kesejahteraan komunitas lokal di desa Lepadi Kecamatan Pajo Dompu","type":"article-journal","volume":"2"},"uris":["http://www.mendeley.com/documents/?uuid=f5513c0f-c732-44c9-b984-978d82717f15"]}],"mendeley":{"formattedCitation":"(Faisal et al., 2024)","plainTextFormattedCitation":"(Faisal et al., 2024)","previouslyFormattedCitation":"(Faisal et al., 2024)"},"properties":{"noteIndex":0},"schema":"https://github.com/citation-style-language/schema/raw/master/csl-citation.json"}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(Faisal et al., 2024)</w:t>
      </w:r>
      <w:r w:rsidR="00994EE2">
        <w:rPr>
          <w:rFonts w:ascii="Arial Narrow" w:hAnsi="Arial Narrow" w:cs="Times New Roman"/>
          <w:sz w:val="24"/>
          <w:szCs w:val="24"/>
        </w:rPr>
        <w:fldChar w:fldCharType="end"/>
      </w:r>
    </w:p>
    <w:p w14:paraId="08A2B67E" w14:textId="7A3556B1" w:rsidR="00B1216B" w:rsidRPr="00985FC7" w:rsidRDefault="00B1216B" w:rsidP="006502E8">
      <w:pPr>
        <w:tabs>
          <w:tab w:val="left" w:pos="5011"/>
        </w:tabs>
        <w:spacing w:line="360" w:lineRule="auto"/>
        <w:ind w:left="426" w:firstLine="567"/>
        <w:jc w:val="both"/>
        <w:rPr>
          <w:rFonts w:ascii="Arial Narrow" w:hAnsi="Arial Narrow" w:cs="Times New Roman"/>
          <w:sz w:val="24"/>
          <w:szCs w:val="24"/>
        </w:rPr>
      </w:pPr>
      <w:r w:rsidRPr="00455432">
        <w:rPr>
          <w:rFonts w:ascii="Arial Narrow" w:hAnsi="Arial Narrow" w:cs="Times New Roman"/>
          <w:sz w:val="24"/>
          <w:szCs w:val="24"/>
        </w:rPr>
        <w:t xml:space="preserve">Dengan demikian, fenomena ini menunjukkan adanya ketegangan antara nilai budaya yang hidup dalam masyarakat dengan prinsip-prinsip perlindungan anak. Kondisi ini menuntut adanya intervensi hukum dan kebijakan yang tidak hanya bersifat normatif, tetapi juga mampu menyentuh aspek sosial dan kultural masyarakat, sehingga perubahan yang dihasilkan dapat diterima dan berjalan secara efektif. Namun demikian, praktik tersebut tidak terlepas dari berbagai risiko, baik dari segi keselamatan maupun perkembangan anak. Anak-anak yang terlibat sebagai joki berhadapan langsung dengan potensi kecelakaan, seperti terjatuh dari kuda dengan kecepatan tinggi, yang dapat mengakibatkan cedera serius. Selain itu, keterlibatan dalam aktivitas berisiko tinggi tanpa perlindungan yang memadai menunjukkan adanya potensi pengabaian terhadap </w:t>
      </w:r>
      <w:r w:rsidR="002A37E7">
        <w:rPr>
          <w:rFonts w:ascii="Arial Narrow" w:hAnsi="Arial Narrow" w:cs="Times New Roman"/>
          <w:sz w:val="24"/>
          <w:szCs w:val="24"/>
        </w:rPr>
        <w:t>hak-hak anak.</w:t>
      </w:r>
      <w:r w:rsidR="00994EE2">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{"citationItems":[{"id":"ITEM-1","itemData":{"DOI":"10.31004/obsesi.v6i3.1646","abstract":"Gross motor encompasses all abilities of coordination, flexibelity, and balance. Children are given opportunities to play more energetically activities such us horse racing tradional game. Yet, the study aims to investigate the stages of early childhood Gross motor skill transition using traditional horse racing activities in the Dompu community of Indonesia. This research employs a qualitative approach by ethnographic methods. The research subjects consisted of six young jockeys aged 4-8 years old and seven horse owners. The data were gathered through observation, interviews, and documentation, then analyzed using domain, taxonomic, compound and theme analysis techniques. The researchers found that the child jockeys go through three stages as their gross motor abilities improve and mature. The development of children's gross motor abilities begins with horse cleaning, river riding, and regular training in the horse racing arena. All of these stages are completed by youngsters with supervision of professionals or parents. Past research have shown that horseback riding may be used as a physical motor therapy intervention for children with special needs, such as autism and down syndrome.","author":[{"dropping-particle":"","family":"Hasan","given":"Ihlas","non-dropping-particle":"","parse-names":false,"suffix":""},{"dropping-particle":"","family":"Yufiarti","given":"Yufiarti","non-dropping-particle":"","parse-names":false,"suffix":""},{"dropping-particle":"","family":"Edwita","given":"Edwita","non-dropping-particle":"","parse-names":false,"suffix":""}],"container-title":"Jurnal Obsesi : Jurnal Pendidikan Anak Usia Dini","id":"ITEM-1","issue":"3","issued":{"date-parts":[["2021"]]},"page":"1247-1258","title":"Horse Racing: A Traditional Game to Improve Children’s Motor Gross Skill (Ethnopedagogy study on Dompu Tribe)","type":"article-journal","volume":"6"},"uris":["http://www.mendeley.com/documents/?uuid=38657801-3aba-444d-a597-465cef0f70ea"]}],"mendeley":{"formattedCitation":"(Hasan et al., 2021)","plainTextFormattedCitation":"(Hasan et al., 2021)","previouslyFormattedCitation":"(Hasan et al., 2021)"},"properties":{"noteIndex":0},"schema":"https://github.com/citation-style-language/schema/raw/master/csl-citation.json"}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(Hasan et al., 2021)</w:t>
      </w:r>
      <w:r w:rsidR="00994EE2">
        <w:rPr>
          <w:rFonts w:ascii="Arial Narrow" w:hAnsi="Arial Narrow" w:cs="Times New Roman"/>
          <w:sz w:val="24"/>
          <w:szCs w:val="24"/>
        </w:rPr>
        <w:fldChar w:fldCharType="end"/>
      </w:r>
    </w:p>
    <w:p w14:paraId="653FB2DF" w14:textId="56980788" w:rsidR="00B55157" w:rsidRPr="00B55157" w:rsidRDefault="00B55157" w:rsidP="006502E8">
      <w:pPr>
        <w:tabs>
          <w:tab w:val="left" w:pos="5011"/>
        </w:tabs>
        <w:spacing w:line="360" w:lineRule="auto"/>
        <w:ind w:firstLine="567"/>
        <w:jc w:val="both"/>
        <w:rPr>
          <w:rFonts w:ascii="Arial Narrow" w:hAnsi="Arial Narrow" w:cs="Times New Roman"/>
          <w:sz w:val="24"/>
          <w:szCs w:val="24"/>
        </w:rPr>
      </w:pPr>
      <w:r w:rsidRPr="00B55157">
        <w:rPr>
          <w:rFonts w:ascii="Arial Narrow" w:hAnsi="Arial Narrow" w:cs="Times New Roman"/>
          <w:sz w:val="24"/>
          <w:szCs w:val="24"/>
        </w:rPr>
        <w:t>Secara filosofis, perlindungan anak berakar pada pengakuan bahwa anak adalah manusia yang memiliki martabat (</w:t>
      </w:r>
      <w:r w:rsidRPr="00B55157">
        <w:rPr>
          <w:rFonts w:ascii="Arial Narrow" w:hAnsi="Arial Narrow" w:cs="Times New Roman"/>
          <w:i/>
          <w:sz w:val="24"/>
          <w:szCs w:val="24"/>
        </w:rPr>
        <w:t>human dignity</w:t>
      </w:r>
      <w:r w:rsidRPr="00B55157">
        <w:rPr>
          <w:rFonts w:ascii="Arial Narrow" w:hAnsi="Arial Narrow" w:cs="Times New Roman"/>
          <w:sz w:val="24"/>
          <w:szCs w:val="24"/>
        </w:rPr>
        <w:t>) yang melekat sejak lahir dan tidak dapat dikurangi dalam keadaan apa pun. Dalam perspektif filsafat hukum, manusia merupakan tujuan utama dari keberadaan hukum, sehingga setiap kebijakan dan praktik sosial harus berorientasi pada perlindungan dan pemenuhan hak asasi manusia, termasuk anak. Hal ini sejalan dengan pemikiran Immanuel Kant yang menegaskan bahwa manusia harus diperlakukan sebagai tujuan pada dirinya sendiri (</w:t>
      </w:r>
      <w:r w:rsidRPr="00B55157">
        <w:rPr>
          <w:rFonts w:ascii="Arial Narrow" w:hAnsi="Arial Narrow" w:cs="Times New Roman"/>
          <w:i/>
          <w:sz w:val="24"/>
          <w:szCs w:val="24"/>
        </w:rPr>
        <w:t>end in itself</w:t>
      </w:r>
      <w:r w:rsidRPr="00B55157">
        <w:rPr>
          <w:rFonts w:ascii="Arial Narrow" w:hAnsi="Arial Narrow" w:cs="Times New Roman"/>
          <w:sz w:val="24"/>
          <w:szCs w:val="24"/>
        </w:rPr>
        <w:t>), bukan sebagai alat (</w:t>
      </w:r>
      <w:r w:rsidRPr="00B55157">
        <w:rPr>
          <w:rFonts w:ascii="Arial Narrow" w:hAnsi="Arial Narrow" w:cs="Times New Roman"/>
          <w:i/>
          <w:sz w:val="24"/>
          <w:szCs w:val="24"/>
        </w:rPr>
        <w:t>means</w:t>
      </w:r>
      <w:r w:rsidRPr="00B55157">
        <w:rPr>
          <w:rFonts w:ascii="Arial Narrow" w:hAnsi="Arial Narrow" w:cs="Times New Roman"/>
          <w:sz w:val="24"/>
          <w:szCs w:val="24"/>
        </w:rPr>
        <w:t>). Oleh karena itu, setiap praktik yang menjadikan anak sebagai sarana untuk mencapai kepentingan tertentu, seperti dalam konteks joki anak, merupakan bentuk pelanggaran terhadap prinsip dasar kemanusiaan karena mengandung unsur instrumentalisasi yang mengabaikan k</w:t>
      </w:r>
      <w:r w:rsidR="007F3252">
        <w:rPr>
          <w:rFonts w:ascii="Arial Narrow" w:hAnsi="Arial Narrow" w:cs="Times New Roman"/>
          <w:sz w:val="24"/>
          <w:szCs w:val="24"/>
        </w:rPr>
        <w:t>eselamatan dan perkembangan anak</w:t>
      </w:r>
      <w:r w:rsidR="00412375">
        <w:rPr>
          <w:rFonts w:ascii="Arial Narrow" w:hAnsi="Arial Narrow" w:cs="Times New Roman"/>
          <w:sz w:val="24"/>
          <w:szCs w:val="24"/>
        </w:rPr>
        <w:t>.</w:t>
      </w:r>
      <w:r w:rsidR="00994EE2">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{"citationItems":[{"id":"ITEM-1","itemData":{"author":[{"dropping-particle":"","family":"Madung","given":"Otto Gusti","non-dropping-particle":"","parse-names":false,"suffix":""}],"container-title":"Diskursus: Jurnal Filsafat dan Teologi Sekolah Tinggi Filsafat Driyarkara","id":"ITEM-1","issue":"2","issued":{"date-parts":[["2012"]]},"page":"160-173","title":"Martabat Manusia Sebagai Basis Etis","type":"article-journal","volume":"11"},"uris":["http://www.mendeley.com/documents/?uuid=f3564a18-e33e-4c54-bff0-273a1984d220"]}],"mendeley":{"formattedCitation":"(Madung, 2012)","plainTextFormattedCitation":"(Madung, 2012)","previouslyFormattedCitation":"(Madung, 2012)"},"properties":{"noteIndex":0},"schema":"https://github.com/citation-style-language/schema/raw/master/csl-citation.json"}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(Madung, 2012)</w:t>
      </w:r>
      <w:r w:rsidR="00994EE2">
        <w:rPr>
          <w:rFonts w:ascii="Arial Narrow" w:hAnsi="Arial Narrow" w:cs="Times New Roman"/>
          <w:sz w:val="24"/>
          <w:szCs w:val="24"/>
        </w:rPr>
        <w:fldChar w:fldCharType="end"/>
      </w:r>
    </w:p>
    <w:p w14:paraId="57BE1091" w14:textId="7C1DC917" w:rsidR="00B55157" w:rsidRPr="00B55157" w:rsidRDefault="00B55157" w:rsidP="006502E8">
      <w:pPr>
        <w:tabs>
          <w:tab w:val="left" w:pos="5011"/>
        </w:tabs>
        <w:spacing w:line="360" w:lineRule="auto"/>
        <w:ind w:firstLine="567"/>
        <w:jc w:val="both"/>
        <w:rPr>
          <w:rFonts w:ascii="Arial Narrow" w:hAnsi="Arial Narrow" w:cs="Times New Roman"/>
          <w:sz w:val="24"/>
          <w:szCs w:val="24"/>
        </w:rPr>
      </w:pPr>
      <w:r w:rsidRPr="00B55157">
        <w:rPr>
          <w:rFonts w:ascii="Arial Narrow" w:hAnsi="Arial Narrow" w:cs="Times New Roman"/>
          <w:sz w:val="24"/>
          <w:szCs w:val="24"/>
        </w:rPr>
        <w:t xml:space="preserve">Dari sudut pandang aksiologis, perlindungan anak bertumpu pada nilai keadilan, kemanfaatan, dan kepastian hukum. Dalam perspektif keadilan, Aristotle menekankan konsep keadilan distributif, yaitu memberikan kepada setiap orang sesuai dengan hak dan kondisinya. Dalam hal ini, anak sebagai kelompok rentan memerlukan perlakuan khusus yang bersifat </w:t>
      </w:r>
      <w:r w:rsidRPr="004F2C45">
        <w:rPr>
          <w:rFonts w:ascii="Arial Narrow" w:hAnsi="Arial Narrow" w:cs="Times New Roman"/>
          <w:i/>
          <w:sz w:val="24"/>
          <w:szCs w:val="24"/>
        </w:rPr>
        <w:t xml:space="preserve">afirmatif </w:t>
      </w:r>
      <w:r w:rsidRPr="00B55157">
        <w:rPr>
          <w:rFonts w:ascii="Arial Narrow" w:hAnsi="Arial Narrow" w:cs="Times New Roman"/>
          <w:sz w:val="24"/>
          <w:szCs w:val="24"/>
        </w:rPr>
        <w:t>guna menjamin keseimbangan dan keadilan sosial. Penggunaan anak dalam aktivitas berisi</w:t>
      </w:r>
      <w:r w:rsidR="004F2C45">
        <w:rPr>
          <w:rFonts w:ascii="Arial Narrow" w:hAnsi="Arial Narrow" w:cs="Times New Roman"/>
          <w:sz w:val="24"/>
          <w:szCs w:val="24"/>
        </w:rPr>
        <w:t xml:space="preserve">ko tinggi, seperti pacuan kuda, </w:t>
      </w:r>
      <w:r w:rsidRPr="00B55157">
        <w:rPr>
          <w:rFonts w:ascii="Arial Narrow" w:hAnsi="Arial Narrow" w:cs="Times New Roman"/>
          <w:sz w:val="24"/>
          <w:szCs w:val="24"/>
        </w:rPr>
        <w:t>jelas bertentangan dengan prinsip tersebut karena menempatkan anak pada posisi yang tidak seimbang dan berpotensi merugikan dirinya. Dari sisi moral, sebagaimana ditegaskan oleh Immanuel Kant, perlindungan anak merupakan kewajiban etis yang bersifat mutlak dan tidak dapat dibenarkan untuk dilanggar, meskipun atas dasar tradisi, budaya, atau kepentingan ekonomi. Sementara itu, dari aspek kemanfaatan, perlindungan anak memiliki nilai strategis karena berkaitan langsung dengan keberlangsungan generasi masa depan, sehingga setiap praktik yang membahayakan anak pada dasarnya menghilangkan nilai kemanfaatan itu sendiri</w:t>
      </w:r>
      <w:r w:rsidR="00CD6C0D">
        <w:rPr>
          <w:rFonts w:ascii="Arial Narrow" w:hAnsi="Arial Narrow" w:cs="Times New Roman"/>
          <w:sz w:val="24"/>
          <w:szCs w:val="24"/>
        </w:rPr>
        <w:t>.</w:t>
      </w:r>
      <w:r w:rsidR="00994EE2">
        <w:rPr>
          <w:rFonts w:ascii="Arial Narrow" w:hAnsi="Arial Narrow" w:cs="Times New Roman"/>
          <w:sz w:val="24"/>
          <w:szCs w:val="24"/>
        </w:rPr>
        <w:fldChar w:fldCharType="begin" w:fldLock="1"/>
      </w:r>
      <w:r w:rsidR="00994EE2">
        <w:rPr>
          <w:rFonts w:ascii="Arial Narrow" w:hAnsi="Arial Narrow" w:cs="Times New Roman"/>
          <w:sz w:val="24"/>
          <w:szCs w:val="24"/>
        </w:rPr>
        <w:instrText>ADDIN CSL_CITATION {"citationItems":[{"id":"ITEM-1","itemData":{"DOI":"10.25216/jhp.9.2.2020.314-335","ISSN":"2303-3274","abstract":"The number of violations of children’s rights in the form of exploitation and violence against children is increasing in Indonesia. The increase is due to the lack of understanding of children’s rights from related parties. Repositioning children’s rights is needed because children need a specific right and specific protection under a specific human rights framework, so that they do not lose power when establishing relationships with adults; where at this point, children are very vulnerable to treatment discriminatory. The repositioning of children’s rights is carried out by making a protection and enforcement of human rights as guaranteed constitutional rights, which is based on the understanding that human rights are human rights in toto and not merely as an individual’s legal rights in their capacity as legal subjects that are legally listed in the applicable law. The failure of the government to carry out this obligation is violation by omission.","author":[{"dropping-particle":"","family":"Trihastuti","given":"Nanik","non-dropping-particle":"","parse-names":false,"suffix":""},{"dropping-particle":"","family":"Putri","given":"Stephanie Apsari","non-dropping-particle":"","parse-names":false,"suffix":""}],"container-title":"Jurnal Hukum dan Peradilan","id":"ITEM-1","issue":"2","issued":{"date-parts":[["2020"]]},"page":"314","title":"Reposition of child protection through the Enforcement of Human Rights and Constitutional Rights","type":"article-journal","volume":"9"},"uris":["http://www.mendeley.com/documents/?uuid=47e8eae9-50f5-4733-b612-4296bf52ca91"]}],"mendeley":{"formattedCitation":"(Trihastuti &amp; Putri, 2020)","plainTextFormattedCitation":"(Trihastuti &amp; Putri, 2020)","previouslyFormattedCitation":"(Trihastuti &amp; Putri, 2020)"},"properties":{"noteIndex":0},"schema":"https://github.com/citation-style-language/schema/raw/master/csl-citation.json"}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(Trihastuti &amp; Putri, 2020)</w:t>
      </w:r>
      <w:r w:rsidR="00994EE2">
        <w:rPr>
          <w:rFonts w:ascii="Arial Narrow" w:hAnsi="Arial Narrow" w:cs="Times New Roman"/>
          <w:sz w:val="24"/>
          <w:szCs w:val="24"/>
        </w:rPr>
        <w:fldChar w:fldCharType="end"/>
      </w:r>
    </w:p>
    <w:p w14:paraId="318E78AC" w14:textId="4FD9A0EB" w:rsidR="00B55157" w:rsidRPr="00B55157" w:rsidRDefault="00B55157" w:rsidP="006502E8">
      <w:pPr>
        <w:tabs>
          <w:tab w:val="left" w:pos="5011"/>
        </w:tabs>
        <w:spacing w:line="360" w:lineRule="auto"/>
        <w:ind w:firstLine="567"/>
        <w:jc w:val="both"/>
        <w:rPr>
          <w:rFonts w:ascii="Arial Narrow" w:hAnsi="Arial Narrow" w:cs="Times New Roman"/>
          <w:sz w:val="24"/>
          <w:szCs w:val="24"/>
        </w:rPr>
      </w:pPr>
      <w:r w:rsidRPr="00B55157">
        <w:rPr>
          <w:rFonts w:ascii="Arial Narrow" w:hAnsi="Arial Narrow" w:cs="Times New Roman"/>
          <w:sz w:val="24"/>
          <w:szCs w:val="24"/>
        </w:rPr>
        <w:t xml:space="preserve">Lebih lanjut, dalam konteks sosial, perlindungan anak sering kali menghadapi tantangan ketika berhadapan dengan nilai-nilai budaya yang telah mengakar kuat dalam masyarakat. Di sinilah peran hukum menjadi sangat penting sebagai instrumen untuk menata dan mengarahkan perubahan sosial. Menurut Roscoe Pound, hukum berfungsi sebagai </w:t>
      </w:r>
      <w:r w:rsidRPr="004F2C45">
        <w:rPr>
          <w:rFonts w:ascii="Arial Narrow" w:hAnsi="Arial Narrow" w:cs="Times New Roman"/>
          <w:i/>
          <w:sz w:val="24"/>
          <w:szCs w:val="24"/>
        </w:rPr>
        <w:t>law as a tool of social engineering</w:t>
      </w:r>
      <w:r w:rsidRPr="00B55157">
        <w:rPr>
          <w:rFonts w:ascii="Arial Narrow" w:hAnsi="Arial Narrow" w:cs="Times New Roman"/>
          <w:sz w:val="24"/>
          <w:szCs w:val="24"/>
        </w:rPr>
        <w:t xml:space="preserve">, yaitu sarana untuk merekayasa masyarakat menuju kondisi yang lebih adil dengan menyeimbangkan berbagai kepentingan yang ada. Dalam konteks perlindungan anak, hukum harus mampu mengakomodasi kepentingan pelestarian budaya tanpa mengorbankan hak dan keselamatan anak. Oleh karena itu, hukum tidak boleh bersifat </w:t>
      </w:r>
      <w:r w:rsidRPr="000867D7">
        <w:rPr>
          <w:rFonts w:ascii="Arial Narrow" w:hAnsi="Arial Narrow" w:cs="Times New Roman"/>
          <w:i/>
          <w:sz w:val="24"/>
          <w:szCs w:val="24"/>
        </w:rPr>
        <w:t>represif</w:t>
      </w:r>
      <w:r w:rsidRPr="00B55157">
        <w:rPr>
          <w:rFonts w:ascii="Arial Narrow" w:hAnsi="Arial Narrow" w:cs="Times New Roman"/>
          <w:sz w:val="24"/>
          <w:szCs w:val="24"/>
        </w:rPr>
        <w:t xml:space="preserve"> dengan menghapus tradisi secara langsung, tetapi juga tidak boleh </w:t>
      </w:r>
      <w:r w:rsidRPr="000867D7">
        <w:rPr>
          <w:rFonts w:ascii="Arial Narrow" w:hAnsi="Arial Narrow" w:cs="Times New Roman"/>
          <w:i/>
          <w:sz w:val="24"/>
          <w:szCs w:val="24"/>
        </w:rPr>
        <w:t>permisif</w:t>
      </w:r>
      <w:r w:rsidRPr="00B55157">
        <w:rPr>
          <w:rFonts w:ascii="Arial Narrow" w:hAnsi="Arial Narrow" w:cs="Times New Roman"/>
          <w:sz w:val="24"/>
          <w:szCs w:val="24"/>
        </w:rPr>
        <w:t xml:space="preserve"> terhadap praktik yang merugikan anak. Sebaliknya, hukum harus hadir secara adaptif dan progresif melalui proses perubahan sosial yang bertahap, terencana, dan berorientasi pada perlindungan anak</w:t>
      </w:r>
      <w:r w:rsidR="005D176D">
        <w:rPr>
          <w:rFonts w:ascii="Arial Narrow" w:hAnsi="Arial Narrow" w:cs="Times New Roman"/>
          <w:sz w:val="24"/>
          <w:szCs w:val="24"/>
        </w:rPr>
        <w:t>.</w:t>
      </w:r>
      <w:r w:rsidR="00994EE2">
        <w:rPr>
          <w:rFonts w:ascii="Arial Narrow" w:hAnsi="Arial Narrow" w:cs="Times New Roman"/>
          <w:sz w:val="24"/>
          <w:szCs w:val="24"/>
        </w:rPr>
        <w:fldChar w:fldCharType="begin" w:fldLock="1"/>
      </w:r>
      <w:r w:rsidR="00410EF6">
        <w:rPr>
          <w:rFonts w:ascii="Arial Narrow" w:hAnsi="Arial Narrow" w:cs="Times New Roman"/>
          <w:sz w:val="24"/>
          <w:szCs w:val="24"/>
        </w:rPr>
        <w:instrText>ADDIN CSL_CITATION {"citationItems":[{"id":"ITEM-1","itemData":{"DOI":"10.47134/ijlj.v2i2.3393","abstract":"Hukum bukan sekadar sistem normatif, melainkan instrumen dinamis untuk menciptakan perubahan sosial. Penelitian ini mengkaji penerapan teori hukum Roscoe Pound sebagai alat rekayasa sosial melalui peran strategis Mahkamah Konstitusi Indonesia. Fokus penelitian ini adalah menganalisis bagaimana putusan-putusan Mahkamah Konstitusi berkontribusi dalam mengubah struktur sosial, menegakkan keadilan substantif, dan mendorong terbentuknya tatanan hukum yang responsif terhadap dinamika masyarakat. Melalui metode penelitian hukum normatif dengan pendekatan konseptual dan analisis doktrinal, penelitian ini mengkaji sejumlah putusan Mahkamah Konstitusi yang berdampak pada perubahan sosial. Hasil penelitian menunjukkan bahwa Mahkamah Konstitusi telah berperan aktif dalam rekayasa sosial melalui penafsiran konstitusi yang progresif, membuka ruang perbaikan sistem hukum, melindungi hak-hak konstitusional, dan menyelesaikan konflik sosial politik. Penelitian ini menyimpulkan bahwa penerapan teori Roscoe Pound melalui Mahkamah Konstitusi memiliki potensi yang signifikan dalam mengubah tatanan hukum dan sosial Indonesia menuju tatanan yang lebih adil, demokratis, dan responsif terhadap perubahan.","author":[{"dropping-particle":"","family":"Alawi","given":"Moh Nauval Karim","non-dropping-particle":"Al","parse-names":false,"suffix":""}],"container-title":"Indonesian Journal of Law and Justice","id":"ITEM-1","issue":"2","issued":{"date-parts":[["2024"]]},"page":"1-7","title":"Implementasi Teori Law as a Tools of Social Engineering Mahkamah Konstitusi sebagai Instrumen Kontrol Sosial dalam Sistem Hukum Indonesia","type":"article-journal","volume":"2"},"uris":["http://www.mendeley.com/documents/?uuid=549b3e68-7bad-4115-ac33-06cfb6a8704d"]}],"mendeley":{"formattedCitation":"(Al Alawi, 2024)","plainTextFormattedCitation":"(Al Alawi, 2024)","previouslyFormattedCitation":"(Al Alawi, 2024)"},"properties":{"noteIndex":0},"schema":"https://github.com/citation-style-language/schema/raw/master/csl-citation.json"}</w:instrText>
      </w:r>
      <w:r w:rsidR="00994EE2">
        <w:rPr>
          <w:rFonts w:ascii="Arial Narrow" w:hAnsi="Arial Narrow" w:cs="Times New Roman"/>
          <w:sz w:val="24"/>
          <w:szCs w:val="24"/>
        </w:rPr>
        <w:fldChar w:fldCharType="separate"/>
      </w:r>
      <w:r w:rsidR="00994EE2" w:rsidRPr="00994EE2">
        <w:rPr>
          <w:rFonts w:ascii="Arial Narrow" w:hAnsi="Arial Narrow" w:cs="Times New Roman"/>
          <w:noProof/>
          <w:sz w:val="24"/>
          <w:szCs w:val="24"/>
        </w:rPr>
        <w:t>(Al Alawi, 2024)</w:t>
      </w:r>
      <w:r w:rsidR="00994EE2">
        <w:rPr>
          <w:rFonts w:ascii="Arial Narrow" w:hAnsi="Arial Narrow" w:cs="Times New Roman"/>
          <w:sz w:val="24"/>
          <w:szCs w:val="24"/>
        </w:rPr>
        <w:fldChar w:fldCharType="end"/>
      </w:r>
    </w:p>
    <w:p w14:paraId="41B82AD6" w14:textId="5DD3C338" w:rsidR="00B55157" w:rsidRPr="00B55157" w:rsidRDefault="00B55157" w:rsidP="006502E8">
      <w:pPr>
        <w:tabs>
          <w:tab w:val="left" w:pos="5011"/>
        </w:tabs>
        <w:spacing w:line="360" w:lineRule="auto"/>
        <w:ind w:firstLine="567"/>
        <w:jc w:val="both"/>
        <w:rPr>
          <w:rFonts w:ascii="Arial Narrow" w:hAnsi="Arial Narrow" w:cs="Times New Roman"/>
          <w:sz w:val="24"/>
          <w:szCs w:val="24"/>
        </w:rPr>
      </w:pPr>
      <w:r w:rsidRPr="00B55157">
        <w:rPr>
          <w:rFonts w:ascii="Arial Narrow" w:hAnsi="Arial Narrow" w:cs="Times New Roman"/>
          <w:sz w:val="24"/>
          <w:szCs w:val="24"/>
        </w:rPr>
        <w:t>Pendekatan ini kemudian diperkuat oleh pemikiran Satjipto Rahardjo yang menegaskan bahwa hukum harus bersifat humanistik dan berpihak pada manusia (</w:t>
      </w:r>
      <w:r w:rsidRPr="004F2C45">
        <w:rPr>
          <w:rFonts w:ascii="Arial Narrow" w:hAnsi="Arial Narrow" w:cs="Times New Roman"/>
          <w:i/>
          <w:sz w:val="24"/>
          <w:szCs w:val="24"/>
        </w:rPr>
        <w:t>law is for human, not human for law</w:t>
      </w:r>
      <w:r w:rsidRPr="00B55157">
        <w:rPr>
          <w:rFonts w:ascii="Arial Narrow" w:hAnsi="Arial Narrow" w:cs="Times New Roman"/>
          <w:sz w:val="24"/>
          <w:szCs w:val="24"/>
        </w:rPr>
        <w:t>). Hukum tidak boleh dipahami semata-mata sebagai teks normatif yang kaku, tetapi harus mampu menjawab realitas sosial dan menjunjung tinggi nilai-nilai kemanusiaan. Dalam konteks ini, perlindungan anak harus ditempatkan sebagai prioritas utama, sehingga setiap praktik budaya yang berpotensi membahayakan anak perlu direkonstruksi melalui pendekatan yang lebih manusiawi dan berkeadilan. Dengan demikian, hukum tidak hanya berfungsi sebagai alat pengendalian sosial, tetapi juga sebagai sarana transformasi nilai dalam masyarakat</w:t>
      </w:r>
      <w:r w:rsidR="00BC2B60">
        <w:rPr>
          <w:rFonts w:ascii="Arial Narrow" w:hAnsi="Arial Narrow" w:cs="Times New Roman"/>
          <w:sz w:val="24"/>
          <w:szCs w:val="24"/>
        </w:rPr>
        <w:t>.</w:t>
      </w:r>
      <w:r w:rsidR="00410EF6">
        <w:rPr>
          <w:rFonts w:ascii="Arial Narrow" w:hAnsi="Arial Narrow" w:cs="Times New Roman"/>
          <w:sz w:val="24"/>
          <w:szCs w:val="24"/>
        </w:rPr>
        <w:fldChar w:fldCharType="begin" w:fldLock="1"/>
      </w:r>
      <w:r w:rsidR="00410EF6">
        <w:rPr>
          <w:rFonts w:ascii="Arial Narrow" w:hAnsi="Arial Narrow" w:cs="Times New Roman"/>
          <w:sz w:val="24"/>
          <w:szCs w:val="24"/>
        </w:rPr>
        <w:instrText>ADDIN CSL_CITATION {"citationItems":[{"id":"ITEM-1","itemData":{"ISBN":"9786026854117","abstract":"This review examines the book \"Legal Science in the Midst of the Flow of Received: 2025-09-04 Change\" by Prof. Dr. Satjipto Rahardjo, a fundamental work that challenges Revised: 2025-10-06 the dominance of legal positivism in Indonesia. This paper highlights the Accepted: 2025-10-12 author's main criticism of modern law, which he considers to have become alienated from its social roots, become rigid, and trapped in procedural formalism (gejuridiseerd recht). The analysis shows how Satjipto Rahardjo DOI: offers a way out through a more sociological and progressive legal approach, 10.47776/alwasath.v6i2/1805 which places humans, not rules, at the center of law. Key concepts such as \"social legal thinking,\" \"legal pluralism,\" and, ultimately, \"beyond the call Keywords: of rules,\" are discussed as solutions to return law to its true purpose, namely Progressive Law, Sociology of achieving substantive justice and social happiness. This review concludes that Law, Substantive Justice the book is an intellectual manifesto whose relevance is increasingly strong, and is required reading for anyone who yearns for a more humane face of law. Abstrak","author":[{"dropping-particle":"","family":"Aminah","given":"Siti","non-dropping-particle":"","parse-names":false,"suffix":""}],"container-title":"Jurnal Unusia","id":"ITEM-1","issue":"2","issued":{"date-parts":[["2019"]]},"page":"57","title":"Hukum untuk manusia: pemikiran Satjipto Rahardjo","type":"article-journal","volume":"13"},"uris":["http://www.mendeley.com/documents/?uuid=7c264a04-9add-40fd-8b91-e9b8a8e114e7"]}],"mendeley":{"formattedCitation":"(Aminah, 2019)","plainTextFormattedCitation":"(Aminah, 2019)","previouslyFormattedCitation":"(Aminah, 2019)"},"properties":{"noteIndex":0},"schema":"https://github.com/citation-style-language/schema/raw/master/csl-citation.json"}</w:instrText>
      </w:r>
      <w:r w:rsidR="00410EF6">
        <w:rPr>
          <w:rFonts w:ascii="Arial Narrow" w:hAnsi="Arial Narrow" w:cs="Times New Roman"/>
          <w:sz w:val="24"/>
          <w:szCs w:val="24"/>
        </w:rPr>
        <w:fldChar w:fldCharType="separate"/>
      </w:r>
      <w:r w:rsidR="00410EF6" w:rsidRPr="00410EF6">
        <w:rPr>
          <w:rFonts w:ascii="Arial Narrow" w:hAnsi="Arial Narrow" w:cs="Times New Roman"/>
          <w:noProof/>
          <w:sz w:val="24"/>
          <w:szCs w:val="24"/>
        </w:rPr>
        <w:t>(Aminah, 2019)</w:t>
      </w:r>
      <w:r w:rsidR="00410EF6">
        <w:rPr>
          <w:rFonts w:ascii="Arial Narrow" w:hAnsi="Arial Narrow" w:cs="Times New Roman"/>
          <w:sz w:val="24"/>
          <w:szCs w:val="24"/>
        </w:rPr>
        <w:fldChar w:fldCharType="end"/>
      </w:r>
    </w:p>
    <w:p w14:paraId="5150311A" w14:textId="7BBA7522" w:rsidR="00B1216B" w:rsidRPr="00985FC7" w:rsidRDefault="00B55157" w:rsidP="006502E8">
      <w:pPr>
        <w:tabs>
          <w:tab w:val="left" w:pos="5011"/>
        </w:tabs>
        <w:spacing w:line="360" w:lineRule="auto"/>
        <w:ind w:firstLine="567"/>
        <w:jc w:val="both"/>
        <w:rPr>
          <w:rFonts w:ascii="Arial Narrow" w:hAnsi="Arial Narrow" w:cs="Times New Roman"/>
          <w:sz w:val="24"/>
          <w:szCs w:val="24"/>
        </w:rPr>
      </w:pPr>
      <w:r w:rsidRPr="00B55157">
        <w:rPr>
          <w:rFonts w:ascii="Arial Narrow" w:hAnsi="Arial Narrow" w:cs="Times New Roman"/>
          <w:sz w:val="24"/>
          <w:szCs w:val="24"/>
        </w:rPr>
        <w:t xml:space="preserve">Secara keseluruhan, perlindungan anak dalam perspektif filosofis merupakan perpaduan antara kewajiban moral, prinsip keadilan, nilai kemanfaatan, dan kepastian hukum yang harus diwujudkan secara konkret dalam kehidupan sosial. Budaya sebagai bagian dari identitas masyarakat tetap harus dihormati, namun tidak dapat dijadikan legitimasi untuk mengabaikan hak dasar anak. Oleh karena itu, diperlukan pendekatan yang integratif antara hukum, moral, dan budaya guna menciptakan keseimbangan yang adil, di mana anak tetap terlindungi tanpa harus menghilangkan nilai-nilai budaya yang hidup dalam masyarakat. Dengan demikian, hukum berfungsi sebagai </w:t>
      </w:r>
      <w:r w:rsidRPr="004F2C45">
        <w:rPr>
          <w:rFonts w:ascii="Arial Narrow" w:hAnsi="Arial Narrow" w:cs="Times New Roman"/>
          <w:i/>
          <w:sz w:val="24"/>
          <w:szCs w:val="24"/>
        </w:rPr>
        <w:t>humanizing law</w:t>
      </w:r>
      <w:r w:rsidRPr="00B55157">
        <w:rPr>
          <w:rFonts w:ascii="Arial Narrow" w:hAnsi="Arial Narrow" w:cs="Times New Roman"/>
          <w:sz w:val="24"/>
          <w:szCs w:val="24"/>
        </w:rPr>
        <w:t>, yaitu hukum yang memanusiakan manusia dan menjamin bahwa setiap anak diperlakukan sebagai subjek yang bermartabat, dilindungi, dan diberi ruang untuk berkembang secara optimal</w:t>
      </w:r>
      <w:r w:rsidR="00BC2B60">
        <w:rPr>
          <w:rFonts w:ascii="Arial Narrow" w:hAnsi="Arial Narrow" w:cs="Times New Roman"/>
          <w:sz w:val="24"/>
          <w:szCs w:val="24"/>
        </w:rPr>
        <w:t>.</w:t>
      </w:r>
      <w:r w:rsidR="00797536">
        <w:rPr>
          <w:rFonts w:ascii="Arial Narrow" w:hAnsi="Arial Narrow" w:cs="Times New Roman"/>
          <w:sz w:val="24"/>
          <w:szCs w:val="24"/>
        </w:rPr>
        <w:fldChar w:fldCharType="begin" w:fldLock="1"/>
      </w:r>
      <w:r w:rsidR="0010165C">
        <w:rPr>
          <w:rFonts w:ascii="Arial Narrow" w:hAnsi="Arial Narrow" w:cs="Times New Roman"/>
          <w:sz w:val="24"/>
          <w:szCs w:val="24"/>
        </w:rPr>
        <w:instrText>ADDIN CSL_CITATION {"citationItems":[{"id":"ITEM-1","itemData":{"DOI":"10.22437/ujh.1.1.159-185","ISSN":"2598-7941","abstract":"This article attempts at discussing the so called Hukum Progresif (the Progressive Law), a legal thought indtroduced by Satjipto Rahardjo. The idea was beckgrounded with the concerns about the macro application of law in Indonesia, including after the 1998 reforms, which seemed to have failed to meet its ideal direction, namely to make people prosper and happy. What happens with law-enforcement is a downturn and decline, among others seen in the judicial mafia, commercialization, and commodification of the law. To overcome such circumstances, according to Satjipto Rahardjo with hukum progresif, the punishment method must dare to break out of conventional ways and the status quo. The legal texts that have been prioritized should be regarded as being destined for humans and humanity. Law actors must dare to interpret legal texts by freeing themselves from the logic of the law alone, making the leap, so that problems in a dynamic society can be answered and resolved by “containers of static law”. This article shows that the hukum progresif can be a panacea in solving corruptive legal problems due to the limitations and attachments of legal texts, with the requirements of law actors behaving well. However, the mention of hukum progresif in the judgment or the determination of the law of a particular case is also very vulnerable to cause its own problems because it can be pinned speakers arbitrarily to identify the punishment which (as long as it is) out of the text of the law. Abstrak Artikel ini mendiskusikan Hukum Progresif, sebuah gagasan atau pemikiran hukum yang diperkenalkan Satjipto Rahardjo. Gagasan tersebut bermula dari keprihatinan terhadap kehidupan berhukum secara makro di Indonesia termasuk setelah reformasi 1998 yang tidak beranjak ke arah yang ideal, yaitu menyejahterakan dan membahagiakan rakyatnya. Apa yang terjadi dengan kehidupan berhukum justru suatu keterpurukan dan kemunduruan, antara lain terlihat pada mafia peradilan, komersialisasi, dan komodifikasi hukum. Untuk mengatasi keadaan demikian, menurut Satjipto Rahardjo dengan hukum progresifnya, maka berhukum harus berani keluar dari cara-cara konvensional dan status quo. Teks hukum yang selama ini didewakan harus dianggap sebagai sesuatu yang diperuntukkan untuk manusia dan kemanusiaan. Para pelaku atau aktor hukum harus berani menafsirkan teks hukum dengan membebaskan diri dari logika hukum semata, melakukan lompatan, agar persoalan di masyarakat yang bergerak secara dinamis dapat dij…","author":[{"dropping-particle":"","family":"Aulia","given":"M. Zulfa","non-dropping-particle":"","parse-names":false,"suffix":""}],"container-title":"Undang: Jurnal Hukum","id":"ITEM-1","issue":"1","issued":{"date-parts":[["2018"]]},"page":"159-185","title":"Hukum progresif dari Satjipto Rahardjo","type":"article-journal","volume":"1"},"uris":["http://www.mendeley.com/documents/?uuid=7483ec38-07a3-475b-9084-d03c9befeee8"]}],"mendeley":{"formattedCitation":"(Aulia, 2018)","plainTextFormattedCitation":"(Aulia, 2018)","previouslyFormattedCitation":"(Aulia, 2018)"},"properties":{"noteIndex":0},"schema":"https://github.com/citation-style-language/schema/raw/master/csl-citation.json"}</w:instrText>
      </w:r>
      <w:r w:rsidR="00797536">
        <w:rPr>
          <w:rFonts w:ascii="Arial Narrow" w:hAnsi="Arial Narrow" w:cs="Times New Roman"/>
          <w:sz w:val="24"/>
          <w:szCs w:val="24"/>
        </w:rPr>
        <w:fldChar w:fldCharType="separate"/>
      </w:r>
      <w:r w:rsidR="00797536" w:rsidRPr="00797536">
        <w:rPr>
          <w:rFonts w:ascii="Arial Narrow" w:hAnsi="Arial Narrow" w:cs="Times New Roman"/>
          <w:noProof/>
          <w:sz w:val="24"/>
          <w:szCs w:val="24"/>
        </w:rPr>
        <w:t>(Aulia, 2018)</w:t>
      </w:r>
      <w:r w:rsidR="00797536">
        <w:rPr>
          <w:rFonts w:ascii="Arial Narrow" w:hAnsi="Arial Narrow" w:cs="Times New Roman"/>
          <w:sz w:val="24"/>
          <w:szCs w:val="24"/>
        </w:rPr>
        <w:fldChar w:fldCharType="end"/>
      </w:r>
    </w:p>
    <w:p w14:paraId="0C7898BA" w14:textId="744055C9" w:rsidR="00D64B2F" w:rsidRDefault="00D64B2F" w:rsidP="006502E8">
      <w:pPr>
        <w:tabs>
          <w:tab w:val="left" w:pos="5011"/>
        </w:tabs>
        <w:spacing w:line="360" w:lineRule="auto"/>
        <w:ind w:firstLine="567"/>
        <w:jc w:val="both"/>
        <w:rPr>
          <w:rFonts w:ascii="Arial Narrow" w:hAnsi="Arial Narrow" w:cs="Times New Roman"/>
          <w:sz w:val="24"/>
          <w:szCs w:val="24"/>
        </w:rPr>
      </w:pPr>
      <w:r w:rsidRPr="00A77896">
        <w:rPr>
          <w:rFonts w:ascii="Arial Narrow" w:hAnsi="Arial Narrow" w:cs="Times New Roman"/>
          <w:iCs/>
          <w:sz w:val="24"/>
          <w:szCs w:val="24"/>
        </w:rPr>
        <w:t>Teori</w:t>
      </w:r>
      <w:r w:rsidRPr="00D64B2F">
        <w:rPr>
          <w:rFonts w:ascii="Arial Narrow" w:hAnsi="Arial Narrow" w:cs="Times New Roman"/>
          <w:i/>
          <w:sz w:val="24"/>
          <w:szCs w:val="24"/>
        </w:rPr>
        <w:t xml:space="preserve"> law as a tool of social engineering</w:t>
      </w:r>
      <w:r w:rsidRPr="00D64B2F">
        <w:rPr>
          <w:rFonts w:ascii="Arial Narrow" w:hAnsi="Arial Narrow" w:cs="Times New Roman"/>
          <w:sz w:val="24"/>
          <w:szCs w:val="24"/>
        </w:rPr>
        <w:t xml:space="preserve"> yang dikemukakan oleh Roscoe Pound memandang hukum sebagai sarana strategis untuk mengarahkan perubahan sosial sekaligus menyeimbangkan berbagai kepentingan dalam masyarakat. Dalam konteks penggunaan anak sebagai joki pacuan kuda, hukum dihadapkan pada dilema antara pelestarian budaya lokal dan perlindungan hak anak. Oleh karena itu, hukum tidak seharusnya bersifat represif dengan menghapus tradisi, melainkan adaptif melalui rekayasa sosial yang terukur. Upaya tersebut dapat dilakukan dengan menetapkan batas usia minimum joki, menerapkan standar keselamatan yang ketat, meningkatkan pengawasan pemerintah, serta memberikan edukasi kepada masyarakat. Dengan pendekatan ini, hukum mampu menciptakan keseimbangan antara penghormatan terhadap nilai budaya dan perlindungan terhadap kesejahteraan anak secara efektif</w:t>
      </w:r>
      <w:r w:rsidR="001310DC">
        <w:rPr>
          <w:rFonts w:ascii="Arial Narrow" w:hAnsi="Arial Narrow" w:cs="Times New Roman"/>
          <w:sz w:val="24"/>
          <w:szCs w:val="24"/>
        </w:rPr>
        <w:t>.</w:t>
      </w:r>
      <w:r w:rsidR="0010165C">
        <w:rPr>
          <w:rFonts w:ascii="Arial Narrow" w:hAnsi="Arial Narrow" w:cs="Times New Roman"/>
          <w:sz w:val="24"/>
          <w:szCs w:val="24"/>
        </w:rPr>
        <w:fldChar w:fldCharType="begin" w:fldLock="1"/>
      </w:r>
      <w:r w:rsidR="0010165C">
        <w:rPr>
          <w:rFonts w:ascii="Arial Narrow" w:hAnsi="Arial Narrow" w:cs="Times New Roman"/>
          <w:sz w:val="24"/>
          <w:szCs w:val="24"/>
        </w:rPr>
        <w:instrText>ADDIN CSL_CITATION {"citationItems":[{"id":"ITEM-1","itemData":{"DOI":"10.11111/praxis.xxxxxxx","abstract":"Buku Statistik Kecamatan Kartasura Tahun 2015 yang diterbitkan oleh Badan Pusat Statistik (BPS) Kabupaten Sukoharjo Provinsi Jawa Tengah merupakan edisi ketiga, yang merupakan lanjutan dari tahun sebelumnya dan nantinya akan diterbitkan secara rutin dan diharapkan akan menjadi ikon BPS yang bisa dibanggakan pada level kecamatan. Publikasi Statistik Kecamatan ditujukan untuk melengkapi publikasi Kecamatan Dalam Angka yang sudah rutin diterbitkan tiap tahun. Berbeda dengan publikasi Kecamatan Dalam Angka (KDA) yang menitik beratkan pada tabel dan grafik, publikasi Statistik Kecamatan Kartasura banyak menampilkan ulasan dan analisa dari angka yang ada serta situasi tentang wilayah. Materi yang disajikan pada Statistik Kecamatan Kartasura berisi berbagai informasi / indikator yang terkait dengan hasil pembangunan dari berbagai sektor dan diharapkan dapat digunakan untuk bahan kajian, perencanaan, dan evaluasi berbagai macam program yang telah dijalankan. Apabila statistik kecamatan bisa menggambarkan kondisi yang realistis dengan menyajikan fakta yang akurat, benar dan lengkap baik tentang kondisi sosial dan ekonomi maka secara analog BPS dapat menyajikan publikasi yang sama untuk tingkat yang lebih luas (kabupaten/kota) yang pada akhirnya sajian pada tingkat nasional dapat lebih berkualitas. Akhirnya kami sampaikan terima kasih dan penghargaan sebesar-besarnya kepada semua pihak yang telah membantu, khususnya kepada Bapak Mukhayin , Kepala BPS Kabupaten Sukoharjo, yang telah mendorong kami untuk membuat prototype ini, sehingga penerbitan publikasi ini dapat terlaksana. Kritik dan saran sangat kami hargai guna penyempurnaan publikasi dimasa mendatang.","author":[{"dropping-particle":"","family":"Gisa Inggit Maulidia, Trisna Muhamad Rofiqi, Krisna Nur Fadilah WP","given":"Gibran Aldi Nashrullah","non-dropping-particle":"","parse-names":false,"suffix":""}],"container-title":"Jurnal Filsafat Terapan","id":"ITEM-1","issue":"April","issued":{"date-parts":[["2023"]]},"page":"1-12","title":"Hukum dan perubahan masyarakat : pendekatan filsafat Roscoe Pound","type":"article-journal"},"uris":["http://www.mendeley.com/documents/?uuid=49db14af-ff88-4b69-b116-7aee0c28688a"]}],"mendeley":{"formattedCitation":"(Gisa Inggit Maulidia, Trisna Muhamad Rofiqi, Krisna Nur Fadilah WP, 2023)","plainTextFormattedCitation":"(Gisa Inggit Maulidia, Trisna Muhamad Rofiqi, Krisna Nur Fadilah WP, 2023)","previouslyFormattedCitation":"(Gisa Inggit Maulidia, Trisna Muhamad Rofiqi, Krisna Nur Fadilah WP, 2023)"},"properties":{"noteIndex":0},"schema":"https://github.com/citation-style-language/schema/raw/master/csl-citation.json"}</w:instrText>
      </w:r>
      <w:r w:rsidR="0010165C">
        <w:rPr>
          <w:rFonts w:ascii="Arial Narrow" w:hAnsi="Arial Narrow" w:cs="Times New Roman"/>
          <w:sz w:val="24"/>
          <w:szCs w:val="24"/>
        </w:rPr>
        <w:fldChar w:fldCharType="separate"/>
      </w:r>
      <w:r w:rsidR="0010165C" w:rsidRPr="0010165C">
        <w:rPr>
          <w:rFonts w:ascii="Arial Narrow" w:hAnsi="Arial Narrow" w:cs="Times New Roman"/>
          <w:noProof/>
          <w:sz w:val="24"/>
          <w:szCs w:val="24"/>
        </w:rPr>
        <w:t>(Gisa Inggit Maulidia, Trisna Muhamad Rofiqi, Krisna Nur Fadilah WP, 2023)</w:t>
      </w:r>
      <w:r w:rsidR="0010165C">
        <w:rPr>
          <w:rFonts w:ascii="Arial Narrow" w:hAnsi="Arial Narrow" w:cs="Times New Roman"/>
          <w:sz w:val="24"/>
          <w:szCs w:val="24"/>
        </w:rPr>
        <w:fldChar w:fldCharType="end"/>
      </w:r>
    </w:p>
    <w:p w14:paraId="0987C8BA" w14:textId="77777777" w:rsidR="00B1216B" w:rsidRPr="00985FC7" w:rsidRDefault="00B1216B" w:rsidP="006502E8">
      <w:pPr>
        <w:tabs>
          <w:tab w:val="left" w:pos="5011"/>
        </w:tabs>
        <w:spacing w:line="360" w:lineRule="auto"/>
        <w:ind w:firstLine="567"/>
        <w:jc w:val="both"/>
        <w:rPr>
          <w:rFonts w:ascii="Arial Narrow" w:hAnsi="Arial Narrow" w:cs="Times New Roman"/>
          <w:sz w:val="24"/>
          <w:szCs w:val="24"/>
        </w:rPr>
      </w:pPr>
      <w:r w:rsidRPr="00455432">
        <w:rPr>
          <w:rFonts w:ascii="Arial Narrow" w:hAnsi="Arial Narrow" w:cs="Times New Roman"/>
          <w:sz w:val="24"/>
          <w:szCs w:val="24"/>
        </w:rPr>
        <w:t>Upaya penanggulangan terhadap praktik penggunaan anak sebagai joki tidak dapat dilakukan hanya melalui pendekatan hukum semata, tetapi juga memerlukan pendekatan sosial dan kultural. Pemerintah daerah memiliki peran strategis dalam merumuskan kebijakan yang mampu mengakomodasi kedua kepentingan tersebut. Langkah-langkah yang dapat dilakukan antara lain adalah penyusunan regulasi daerah yang mengatur pelaksanaan pacuan kuda secara lebih aman dan ramah anak, serta peningkatan pengawasan terhadap kegiatan tersebut. Selain itu, perlu dilakukan sosialisasi secara berkelanjutan kepada masyarakat mengenai pentingnya perlindungan anak dan risiko yang dihadapi oleh anak yang terlibat sebagai joki.</w:t>
      </w:r>
    </w:p>
    <w:p w14:paraId="392C410B" w14:textId="1CD649FE" w:rsidR="00B1216B" w:rsidRPr="00455432" w:rsidRDefault="00B1216B" w:rsidP="006502E8">
      <w:pPr>
        <w:tabs>
          <w:tab w:val="left" w:pos="5011"/>
        </w:tabs>
        <w:spacing w:line="360" w:lineRule="auto"/>
        <w:ind w:firstLine="567"/>
        <w:jc w:val="both"/>
        <w:rPr>
          <w:rFonts w:ascii="Arial Narrow" w:hAnsi="Arial Narrow" w:cs="Times New Roman"/>
          <w:sz w:val="24"/>
          <w:szCs w:val="24"/>
        </w:rPr>
      </w:pPr>
      <w:r w:rsidRPr="00455432">
        <w:rPr>
          <w:rFonts w:ascii="Arial Narrow" w:hAnsi="Arial Narrow" w:cs="Times New Roman"/>
          <w:sz w:val="24"/>
          <w:szCs w:val="24"/>
        </w:rPr>
        <w:t>Dalam perspektif filsafat hukum, keberadaan hukum tidak dapat dilepaskan dari nilai-nilai dasar yang melandasinya, yaitu keadilan, kemanfaatan, dan kepastian hukum. Fenomena penggunaan anak sebagai joki dalam tradisi pacuan kuda di Kabupaten Sumba Timur menghadirkan persoalan filosofis yang mendalam, khususnya terkait bagaimana hukum memposisikan manusia dalam hal ini anak sebagai subjek yang harus dilindungi. Secara filosofis, anak merupakan individu yang belum memiliki kapasitas penuh untuk menentukan pilihan hidupnya secara rasional. Oleh karena itu, negara dan masyarakat memiliki tanggung jawab moral untuk memastikan bahwa setiap aktivitas yang melibatkan anak tidak merugikan perkembangan fisik, mental, maupun sosialnya.</w:t>
      </w:r>
      <w:r w:rsidR="0010165C">
        <w:rPr>
          <w:rFonts w:ascii="Arial Narrow" w:hAnsi="Arial Narrow" w:cs="Times New Roman"/>
          <w:sz w:val="24"/>
          <w:szCs w:val="24"/>
        </w:rPr>
        <w:fldChar w:fldCharType="begin" w:fldLock="1"/>
      </w:r>
      <w:r w:rsidR="000251FE">
        <w:rPr>
          <w:rFonts w:ascii="Arial Narrow" w:hAnsi="Arial Narrow" w:cs="Times New Roman"/>
          <w:sz w:val="24"/>
          <w:szCs w:val="24"/>
        </w:rPr>
        <w:instrText>ADDIN CSL_CITATION {"citationItems":[{"id":"ITEM-1","itemData":{"abstract":"Penelitian ini bertujuan untuk menganalisis permalasahan transportasi di perkotaan studi kasus pada kawasan perkotaan yogyakarta. Adapun jenis penelitian ini adalah penelitian kualitatif dengan sumber data diperoleh dari sumber data primer dan sumber data sekunder. Data penelitian yang terkumpul kemudian dianalisis dengan pendekatan ilmu sains. Dari penelitian yang dilakukan diperoleh hasil bahwa permasalahan transportasi di perkotaan khususnya di Kawasan Perkotaan Yogyakarta disebabkan oleh yang pertama belum adanya sarana dan prasana yang memadai di Kawasan Perkotaan Yogyakarta. Kedua, rendahnya kesadaran masyarakat terhadap pemanfaatan fasilitas lalu lintas dan perlengkapan jalan. Kemudian, di Kawasan Perkotaan Yogyakarta belum mengimplementasikan dengan baik tentang manajemen kebutuhan lalu lintas untuk meningkatkan efesiensi dan efektifitas penggunaan lalu lintas dan mengendalikan pergerakan lalu lintas. Disamping itu, laju pertumbungan penduduk yang cukup tinggi di Kawasan Perkotaan Yogyakarta berakibat pada kemacetan lalu lintas di wilayah tersebut. Permasalahan transportasi yang memiliki eksternalitas lintas daerah seperti daerah Kawasan Perkotaan Yogyakarta tidak mungkin dilakukan dan ditangani oleh daerah sendiri","author":[{"dropping-particle":"","family":"Gustawinata","given":"Mochammad Aditia","non-dropping-particle":"","parse-names":false,"suffix":""},{"dropping-particle":"","family":"Abubakar","given":"Lastuti","non-dropping-particle":"","parse-names":false,"suffix":""},{"dropping-particle":"","family":"Rahmawati","given":"Ema","non-dropping-particle":"","parse-names":false,"suffix":""}],"container-title":"Jurnal Tana Mana","id":"ITEM-1","issue":"1","issued":{"date-parts":[["2021"]]},"page":"46-48","title":"Analisis hukum terhadap perlindungan dan integrasi hak anak sebagai hak asasi manusia dalam sistem hukum indonesia","type":"article-journal","volume":"2"},"uris":["http://www.mendeley.com/documents/?uuid=12c16ff8-2479-4d87-bdaf-29b249e6afe4"]}],"mendeley":{"formattedCitation":"(Gustawinata et al., 2021)","plainTextFormattedCitation":"(Gustawinata et al., 2021)","previouslyFormattedCitation":"(Gustawinata et al., 2021)"},"properties":{"noteIndex":0},"schema":"https://github.com/citation-style-language/schema/raw/master/csl-citation.json"}</w:instrText>
      </w:r>
      <w:r w:rsidR="0010165C">
        <w:rPr>
          <w:rFonts w:ascii="Arial Narrow" w:hAnsi="Arial Narrow" w:cs="Times New Roman"/>
          <w:sz w:val="24"/>
          <w:szCs w:val="24"/>
        </w:rPr>
        <w:fldChar w:fldCharType="separate"/>
      </w:r>
      <w:r w:rsidR="0010165C" w:rsidRPr="0010165C">
        <w:rPr>
          <w:rFonts w:ascii="Arial Narrow" w:hAnsi="Arial Narrow" w:cs="Times New Roman"/>
          <w:noProof/>
          <w:sz w:val="24"/>
          <w:szCs w:val="24"/>
        </w:rPr>
        <w:t>(Gustawinata et al., 2021)</w:t>
      </w:r>
      <w:r w:rsidR="0010165C">
        <w:rPr>
          <w:rFonts w:ascii="Arial Narrow" w:hAnsi="Arial Narrow" w:cs="Times New Roman"/>
          <w:sz w:val="24"/>
          <w:szCs w:val="24"/>
        </w:rPr>
        <w:fldChar w:fldCharType="end"/>
      </w:r>
      <w:r w:rsidRPr="00455432">
        <w:rPr>
          <w:rFonts w:ascii="Arial Narrow" w:hAnsi="Arial Narrow" w:cs="Times New Roman"/>
          <w:sz w:val="24"/>
          <w:szCs w:val="24"/>
        </w:rPr>
        <w:t xml:space="preserve"> Dalam konteks ini, penggunaan anak sebagai joki dapat dipandang bertentangan dengan prinsip dasar perlindungan martabat manusia (</w:t>
      </w:r>
      <w:r w:rsidRPr="00455432">
        <w:rPr>
          <w:rFonts w:ascii="Arial Narrow" w:hAnsi="Arial Narrow" w:cs="Times New Roman"/>
          <w:i/>
          <w:sz w:val="24"/>
          <w:szCs w:val="24"/>
        </w:rPr>
        <w:t>human dignity</w:t>
      </w:r>
      <w:r w:rsidRPr="00455432">
        <w:rPr>
          <w:rFonts w:ascii="Arial Narrow" w:hAnsi="Arial Narrow" w:cs="Times New Roman"/>
          <w:sz w:val="24"/>
          <w:szCs w:val="24"/>
        </w:rPr>
        <w:t>), karena menempatkan anak dalam situasi yang berisiko tinggi demi kepentingan tertentu. Namun demikian, pendekatan filosofis juga tidak dapat mengabaikan fakta bahwa budaya merupakan bagian dari identitas kolektif masyarakat. Tradisi pacuan kuda bukan sekadar aktivitas fisik, tetapi juga memiliki makna simbolik yang berkaitan dengan nilai keberanian, kehormatan, dan solidaritas sosial. Oleh karena itu, pendekatan yang terlalu legalistik tanpa mempertimbangkan nilai budaya dapat menimbulkan resistensi sosial</w:t>
      </w:r>
      <w:r w:rsidR="001310DC">
        <w:rPr>
          <w:rFonts w:ascii="Arial Narrow" w:hAnsi="Arial Narrow" w:cs="Times New Roman"/>
          <w:sz w:val="24"/>
          <w:szCs w:val="24"/>
        </w:rPr>
        <w:t>.</w:t>
      </w:r>
    </w:p>
    <w:p w14:paraId="71C802AF" w14:textId="7DE8839A" w:rsidR="00B1216B" w:rsidRPr="00985FC7" w:rsidRDefault="00B1216B" w:rsidP="006502E8">
      <w:pPr>
        <w:tabs>
          <w:tab w:val="left" w:pos="5011"/>
        </w:tabs>
        <w:spacing w:line="360" w:lineRule="auto"/>
        <w:ind w:firstLine="567"/>
        <w:jc w:val="both"/>
        <w:rPr>
          <w:rFonts w:ascii="Arial Narrow" w:hAnsi="Arial Narrow" w:cs="Times New Roman"/>
          <w:sz w:val="24"/>
          <w:szCs w:val="24"/>
        </w:rPr>
      </w:pPr>
      <w:r w:rsidRPr="00455432">
        <w:rPr>
          <w:rFonts w:ascii="Arial Narrow" w:hAnsi="Arial Narrow" w:cs="Times New Roman"/>
          <w:sz w:val="24"/>
          <w:szCs w:val="24"/>
        </w:rPr>
        <w:t>Dengan demikian, pendekatan filosofis yang tepat adalah pendekatan yang menempatkan hukum sebagai sarana untuk memanusiakan manusia (</w:t>
      </w:r>
      <w:r w:rsidRPr="00455432">
        <w:rPr>
          <w:rFonts w:ascii="Arial Narrow" w:hAnsi="Arial Narrow" w:cs="Times New Roman"/>
          <w:i/>
          <w:sz w:val="24"/>
          <w:szCs w:val="24"/>
        </w:rPr>
        <w:t>humanizing law</w:t>
      </w:r>
      <w:r w:rsidRPr="00455432">
        <w:rPr>
          <w:rFonts w:ascii="Arial Narrow" w:hAnsi="Arial Narrow" w:cs="Times New Roman"/>
          <w:sz w:val="24"/>
          <w:szCs w:val="24"/>
        </w:rPr>
        <w:t>), yaitu hukum yang tidak hanya menegakkan aturan, tetapi juga mempertimbangkan nilai-nilai kemanusiaan, budaya, dan keadilan sosial secara seimbang.</w:t>
      </w:r>
      <w:r w:rsidR="000251FE">
        <w:rPr>
          <w:rFonts w:ascii="Arial Narrow" w:hAnsi="Arial Narrow" w:cs="Times New Roman"/>
          <w:sz w:val="24"/>
          <w:szCs w:val="24"/>
        </w:rPr>
        <w:fldChar w:fldCharType="begin" w:fldLock="1"/>
      </w:r>
      <w:r w:rsidR="000251FE">
        <w:rPr>
          <w:rFonts w:ascii="Arial Narrow" w:hAnsi="Arial Narrow" w:cs="Times New Roman"/>
          <w:sz w:val="24"/>
          <w:szCs w:val="24"/>
        </w:rPr>
        <w:instrText>ADDIN CSL_CITATION {"citationItems":[{"id":"ITEM-1","itemData":{"DOI":"10.46576/lj.v5i2.6015","ISSN":"2746-3966","abstract":"Moral dan hukum merupakan satu kesatuan dalam pembentukan peraturan perundang-undangan, sehingga dalam konsep hukum harus berpedoman pada nilai-nilai moral masyarakat. Cerminan suatu aturan hukum, haruslah digambarkan pada nilai moral, namun nyatanya di Indonesia sendiri masih banyak pembentukan peraturan perundang-undangan yang tidak mencerminkan moral, tumpang tindih aturan, saling bertentangan pasal dengan pasal dalam satu aturan, sering diubah secepat mungkin dan lain sebagainya. Oleh sebab itu, penelitian hukum ini menggunakan penelitian normatif dalam arti mencari kebenaran koherensi dengan menggunakan pendekatan konseptual yang berdasarkan doktrin-doktrin pada sarjana pada kaitannya filsafat hukum dan pendekatan sejarah. Yang pada akhirnya, penelitian ini memberikan beberapa pandangan tentang keterkaitan moral dan hukum. Dan seharusnya pandangan konsep Lon Fuller pada hukum kodratnya lebih relevan digunakan pada konsep perkembangan hukum di Indonesia saat ini, dibanding pemikiran Hart dan Kelsen. Karena, hubungan yang mendalam antara hukum dan moralitas serta otoritas berasal dari konsistensinya dengan moralitas.","author":[{"dropping-particle":"","family":"Al'anam","given":"Muklis","non-dropping-particle":"","parse-names":false,"suffix":""}],"container-title":"Law Jurnal","id":"ITEM-1","issue":"2","issued":{"date-parts":[["2025"]]},"page":"146-157","title":"Moralitas hukum halam pemikiran Lon Fuller, H.L.a. Hart, dan Hans Kelsen","type":"article-journal","volume":"5"},"uris":["http://www.mendeley.com/documents/?uuid=b1144022-c638-4dd7-9490-fa355bc218e3"]}],"mendeley":{"formattedCitation":"(Al’anam, 2025)","plainTextFormattedCitation":"(Al’anam, 2025)","previouslyFormattedCitation":"(Al’anam, 2025)"},"properties":{"noteIndex":0},"schema":"https://github.com/citation-style-language/schema/raw/master/csl-citation.json"}</w:instrText>
      </w:r>
      <w:r w:rsidR="000251FE">
        <w:rPr>
          <w:rFonts w:ascii="Arial Narrow" w:hAnsi="Arial Narrow" w:cs="Times New Roman"/>
          <w:sz w:val="24"/>
          <w:szCs w:val="24"/>
        </w:rPr>
        <w:fldChar w:fldCharType="separate"/>
      </w:r>
      <w:r w:rsidR="000251FE" w:rsidRPr="000251FE">
        <w:rPr>
          <w:rFonts w:ascii="Arial Narrow" w:hAnsi="Arial Narrow" w:cs="Times New Roman"/>
          <w:noProof/>
          <w:sz w:val="24"/>
          <w:szCs w:val="24"/>
        </w:rPr>
        <w:t>(Al’anam, 2025)</w:t>
      </w:r>
      <w:r w:rsidR="000251FE">
        <w:rPr>
          <w:rFonts w:ascii="Arial Narrow" w:hAnsi="Arial Narrow" w:cs="Times New Roman"/>
          <w:sz w:val="24"/>
          <w:szCs w:val="24"/>
        </w:rPr>
        <w:fldChar w:fldCharType="end"/>
      </w:r>
    </w:p>
    <w:p w14:paraId="211BDC8D" w14:textId="16560855" w:rsidR="00086095" w:rsidRDefault="004B50B8" w:rsidP="006502E8">
      <w:pPr>
        <w:tabs>
          <w:tab w:val="left" w:pos="5011"/>
        </w:tabs>
        <w:spacing w:line="360" w:lineRule="auto"/>
        <w:ind w:firstLine="567"/>
        <w:jc w:val="both"/>
        <w:rPr>
          <w:rFonts w:ascii="Arial Narrow" w:hAnsi="Arial Narrow" w:cs="Times New Roman"/>
          <w:sz w:val="24"/>
          <w:szCs w:val="24"/>
        </w:rPr>
      </w:pPr>
      <w:r w:rsidRPr="004B50B8">
        <w:rPr>
          <w:rFonts w:ascii="Arial Narrow" w:hAnsi="Arial Narrow" w:cs="Times New Roman"/>
          <w:sz w:val="24"/>
          <w:szCs w:val="24"/>
        </w:rPr>
        <w:t xml:space="preserve">Dalam kerangka teori Roscoe Pound tentang </w:t>
      </w:r>
      <w:r w:rsidRPr="00D64B2F">
        <w:rPr>
          <w:rFonts w:ascii="Arial Narrow" w:hAnsi="Arial Narrow" w:cs="Times New Roman"/>
          <w:i/>
          <w:sz w:val="24"/>
          <w:szCs w:val="24"/>
        </w:rPr>
        <w:t>law as a tool of social engineering</w:t>
      </w:r>
      <w:r w:rsidRPr="004B50B8">
        <w:rPr>
          <w:rFonts w:ascii="Arial Narrow" w:hAnsi="Arial Narrow" w:cs="Times New Roman"/>
          <w:sz w:val="24"/>
          <w:szCs w:val="24"/>
        </w:rPr>
        <w:t>, hukum tidak hanya berfungsi secara represif melalui pelarangan, tetapi juga berperan konstruktif dalam mengarahkan perubahan sosial secara bertahap dan terencana</w:t>
      </w:r>
      <w:r w:rsidR="000251FE">
        <w:rPr>
          <w:rFonts w:ascii="Arial Narrow" w:hAnsi="Arial Narrow" w:cs="Times New Roman"/>
          <w:sz w:val="24"/>
          <w:szCs w:val="24"/>
        </w:rPr>
        <w:fldChar w:fldCharType="begin" w:fldLock="1"/>
      </w:r>
      <w:r w:rsidR="000251FE">
        <w:rPr>
          <w:rFonts w:ascii="Arial Narrow" w:hAnsi="Arial Narrow" w:cs="Times New Roman"/>
          <w:sz w:val="24"/>
          <w:szCs w:val="24"/>
        </w:rPr>
        <w:instrText>ADDIN CSL_CITATION {"citationItems":[{"id":"ITEM-1","itemData":{"ISSN":"24601543","abstract":"The article focuses on Roscoe Pound, a great jurist of the world. The author cites an incident that Ezra Thayer, the dean of the Harvard Law School told him that an article by Professor Pound, then of the University of Chicago, had impressed him so much that he wanted to go out there at once to offer him a chair at Harvard. This he did with success, and Roscoe Pound came as Carter Professor of Jurisprudence in 1910. On Ezra Thayer's death, in 1915, Pound, already distinguished, was chosen to succeed him; and, so far as any educational institution can be molded by one man, the development of the Law School during the last twenty years reflect his ideas. With all his learning Dean Pound had a quality far from unimportant in an administrator that of a prudent housekeeper who knew what he could spend, and how it was spent, never worrying the financial authorities of the University by miscalculation or deficit. Indeed the details of his office stole away time from scholarly research. Pound has been the member of the Harvard Law School who has had by far the greatest reputation in continental Europe.","author":[{"dropping-particle":"","family":"Latipulhayat","given":"Atip","non-dropping-particle":"","parse-names":false,"suffix":""}],"container-title":"PADJADJARAN Jurnal Ilmu Hukum (Journal of Law)","id":"ITEM-1","issue":"2","issued":{"date-parts":[["2014"]]},"page":"413-424","title":"Khazanah: Roscoe Pound","type":"article-journal","volume":"1"},"uris":["http://www.mendeley.com/documents/?uuid=63d92a6b-86cf-4f95-b9fd-85a70f587175"]}],"mendeley":{"formattedCitation":"(Latipulhayat, 2014)","plainTextFormattedCitation":"(Latipulhayat, 2014)","previouslyFormattedCitation":"(Latipulhayat, 2014)"},"properties":{"noteIndex":0},"schema":"https://github.com/citation-style-language/schema/raw/master/csl-citation.json"}</w:instrText>
      </w:r>
      <w:r w:rsidR="000251FE">
        <w:rPr>
          <w:rFonts w:ascii="Arial Narrow" w:hAnsi="Arial Narrow" w:cs="Times New Roman"/>
          <w:sz w:val="24"/>
          <w:szCs w:val="24"/>
        </w:rPr>
        <w:fldChar w:fldCharType="separate"/>
      </w:r>
      <w:r w:rsidR="000251FE" w:rsidRPr="000251FE">
        <w:rPr>
          <w:rFonts w:ascii="Arial Narrow" w:hAnsi="Arial Narrow" w:cs="Times New Roman"/>
          <w:noProof/>
          <w:sz w:val="24"/>
          <w:szCs w:val="24"/>
        </w:rPr>
        <w:t>(Latipulhayat, 2014)</w:t>
      </w:r>
      <w:r w:rsidR="000251FE">
        <w:rPr>
          <w:rFonts w:ascii="Arial Narrow" w:hAnsi="Arial Narrow" w:cs="Times New Roman"/>
          <w:sz w:val="24"/>
          <w:szCs w:val="24"/>
        </w:rPr>
        <w:fldChar w:fldCharType="end"/>
      </w:r>
      <w:r w:rsidRPr="004B50B8">
        <w:rPr>
          <w:rFonts w:ascii="Arial Narrow" w:hAnsi="Arial Narrow" w:cs="Times New Roman"/>
          <w:sz w:val="24"/>
          <w:szCs w:val="24"/>
        </w:rPr>
        <w:t xml:space="preserve">. Dalam konteks praktik pacuan kuda yang melibatkan anak di Kabupaten Sumba Timur, diperlukan rekonstruksi hukum yang mampu menyeimbangkan antara pelestarian budaya lokal dan perlindungan hak anak melalui pendekatan yang adaptif dan kontekstual. </w:t>
      </w:r>
      <w:r w:rsidR="000251FE" w:rsidRPr="004B50B8">
        <w:rPr>
          <w:rFonts w:ascii="Arial Narrow" w:hAnsi="Arial Narrow" w:cs="Times New Roman"/>
          <w:sz w:val="24"/>
          <w:szCs w:val="24"/>
        </w:rPr>
        <w:t>K</w:t>
      </w:r>
      <w:r w:rsidRPr="004B50B8">
        <w:rPr>
          <w:rFonts w:ascii="Arial Narrow" w:hAnsi="Arial Narrow" w:cs="Times New Roman"/>
          <w:sz w:val="24"/>
          <w:szCs w:val="24"/>
        </w:rPr>
        <w:t>onstruksi</w:t>
      </w:r>
      <w:r w:rsidR="000251FE">
        <w:rPr>
          <w:rFonts w:ascii="Arial Narrow" w:hAnsi="Arial Narrow" w:cs="Times New Roman"/>
          <w:sz w:val="24"/>
          <w:szCs w:val="24"/>
        </w:rPr>
        <w:t xml:space="preserve"> </w:t>
      </w:r>
      <w:r w:rsidRPr="004B50B8">
        <w:rPr>
          <w:rFonts w:ascii="Arial Narrow" w:hAnsi="Arial Narrow" w:cs="Times New Roman"/>
          <w:sz w:val="24"/>
          <w:szCs w:val="24"/>
        </w:rPr>
        <w:t>tersebut dilakukan melalui pembentukan regulasi yang fleksibel dan responsif terhadap nilai-nilai lokal, seperti penetapan batas usia minimum joki, standar keselamatan, serta mekanisme pengawasan yang efektif, sehingga hukum tidak hanya mengatur tetapi juga dapat diterima oleh masyarakat. Selain itu, diperlukan transformasi budaya secara evolutif dengan menggantikan peran joki anak oleh joki dewasa serta mengalihkan keterlibatan anak ke aktivitas yang lebih aman dan edukatif, tanpa menghilangkan esensi budaya. Upaya ini harus didukung oleh pendekatan edukatif untuk meningkatkan kesadaran hukum masyarakat mengenai risiko dan pentingnya perlindungan anak, serta diperkuat melalui kolaborasi multi-pihak yang melibatkan pemerintah daerah, tokoh adat, tokoh masyarakat, akademisi, dan lembaga perlindungan anak. Dengan demikian, hukum dapat berfungsi secara efektif sebagai instrumen rekayasa sosial yang tidak hanya menjaga keberlangsungan budaya, tetapi juga menjamin perlindungan ana</w:t>
      </w:r>
      <w:r w:rsidR="00086095">
        <w:rPr>
          <w:rFonts w:ascii="Arial Narrow" w:hAnsi="Arial Narrow" w:cs="Times New Roman"/>
          <w:sz w:val="24"/>
          <w:szCs w:val="24"/>
        </w:rPr>
        <w:t>k secara adil dan berkelanjutan.</w:t>
      </w:r>
    </w:p>
    <w:p w14:paraId="44E8D321" w14:textId="46AAEEA9" w:rsidR="002421A7" w:rsidRDefault="0036775C" w:rsidP="006502E8">
      <w:pPr>
        <w:tabs>
          <w:tab w:val="left" w:pos="5011"/>
        </w:tabs>
        <w:spacing w:line="360" w:lineRule="auto"/>
        <w:ind w:firstLine="567"/>
        <w:jc w:val="both"/>
        <w:rPr>
          <w:rFonts w:ascii="Arial Narrow" w:hAnsi="Arial Narrow" w:cs="Times New Roman"/>
          <w:sz w:val="24"/>
          <w:szCs w:val="24"/>
        </w:rPr>
      </w:pPr>
      <w:r>
        <w:rPr>
          <w:rFonts w:ascii="Arial Narrow" w:hAnsi="Arial Narrow" w:cs="Times New Roman"/>
          <w:sz w:val="24"/>
          <w:szCs w:val="24"/>
        </w:rPr>
        <w:t>M</w:t>
      </w:r>
      <w:r w:rsidR="00866B99">
        <w:rPr>
          <w:rFonts w:ascii="Arial Narrow" w:hAnsi="Arial Narrow" w:cs="Times New Roman"/>
          <w:sz w:val="24"/>
          <w:szCs w:val="24"/>
        </w:rPr>
        <w:t>erujuk</w:t>
      </w:r>
      <w:r>
        <w:rPr>
          <w:rFonts w:ascii="Arial Narrow" w:hAnsi="Arial Narrow" w:cs="Times New Roman"/>
          <w:sz w:val="24"/>
          <w:szCs w:val="24"/>
        </w:rPr>
        <w:t xml:space="preserve"> </w:t>
      </w:r>
      <w:r w:rsidR="00086095" w:rsidRPr="00086095">
        <w:rPr>
          <w:rFonts w:ascii="Arial Narrow" w:hAnsi="Arial Narrow" w:cs="Times New Roman"/>
          <w:sz w:val="24"/>
          <w:szCs w:val="24"/>
        </w:rPr>
        <w:t xml:space="preserve">perspektif </w:t>
      </w:r>
      <w:r w:rsidR="00086095" w:rsidRPr="00086095">
        <w:rPr>
          <w:rFonts w:ascii="Arial Narrow" w:hAnsi="Arial Narrow" w:cs="Times New Roman"/>
          <w:i/>
          <w:sz w:val="24"/>
          <w:szCs w:val="24"/>
        </w:rPr>
        <w:t>welfare state</w:t>
      </w:r>
      <w:r w:rsidR="00086095" w:rsidRPr="00086095">
        <w:rPr>
          <w:rFonts w:ascii="Arial Narrow" w:hAnsi="Arial Narrow" w:cs="Times New Roman"/>
          <w:sz w:val="24"/>
          <w:szCs w:val="24"/>
        </w:rPr>
        <w:t>, negara memiliki tanggung jawab aktif untuk menjamin kesejahteraan dan perlindungan warga negara</w:t>
      </w:r>
      <w:r w:rsidR="000251FE">
        <w:rPr>
          <w:rFonts w:ascii="Arial Narrow" w:hAnsi="Arial Narrow" w:cs="Times New Roman"/>
          <w:sz w:val="24"/>
          <w:szCs w:val="24"/>
        </w:rPr>
        <w:fldChar w:fldCharType="begin" w:fldLock="1"/>
      </w:r>
      <w:r w:rsidR="000251FE">
        <w:rPr>
          <w:rFonts w:ascii="Arial Narrow" w:hAnsi="Arial Narrow" w:cs="Times New Roman"/>
          <w:sz w:val="24"/>
          <w:szCs w:val="24"/>
        </w:rPr>
        <w:instrText>ADDIN CSL_CITATION {"citationItems":[{"id":"ITEM-1","itemData":{"DOI":"10.29123/jy.v14i2.445","ISSN":"1978-6506","abstract":"ABSTRAK Paling tidak ada tiga kewajiban yang harus dilakukan oleh negara dalam hak asasi nanusia, yaitu menghormati, melindungi, dan memenuhi. Ketiga hal ini wajib dilakukan oleh setiap negara agar negara tidak dianggap sebagai negara yang mengabaikan hak asasi manusia. Dari ketiga hal tersebut menuntut negara untuk menyediakan semua hal baik yang bersifat normatif maupun administratif untuk terpenuhinya kewajiban tersebut, dan jika tidak dilakukan maka negara tersebut dianggap telah melakukan pelanggaran hak asasi manusia. Dalam perkara ini apa yang dilakukan oleh para tersangka yang dengan sengaja membunuh empat orang dalam rumah tahanan negara serta menganiaya petugas Lembaga Pemasyarakatan Sleman merupakan perbuatan yang telah melanggar hak asasi manusia, dan terlebih lagi para tersangka merupakan anggota TNI aktif yang saat melakukan pembunuhan para tersangka sedang latihan, dan juga menggunakan senjata latihan untuk membunuh para korban. Dalam putusannya hakim menyatakan bahwa tersangka telah melakukan pembunuhan berencana secara bersama-sama dan telah melanggar perintah dinas, oleh karena itu dihukum dan dipecat dari dinas militer. Dalam perspektif pelanggaran hak asasi manusia dan tanggung jawab negara tidak terlihat begitu jelas yang dipertimbangkan hakim tersebut. Sehingga rumusan masalah dalam tulisan ini adalah bagaimanakah pertimbangan hak asasi manusia oleh hakim dalam putusan ini? Dan bagaimanakah tanggung jawab negara terhadap korban dalam putusan perkara ini? Dengan menggunakan metode penelitian hukum normatif yang memfokuskan kajian pada data sekunder, maka akan terlihat bagaimana sesungguhnya pertimbangan hakim dalam putusan ini. Hasil dari penelitian ini menunjukkan bahwa dalam putusan perkara ini tidak mempertimbangkan hak asasi manusia, baik pelanggaran hak asasi manusia maupun hak-hak korban.Kata kunci: tanggung jawab negara; impunitas; pengadilan militer; hak asasi manusia. ABSTRACT There are at least three obligations that must be carried out by a state in human rights, namely respecting, protecting, and ful lling. These three things must be done by every state so that the state is not considered as a state that ignores human rights. Of these three things, it requires the state to provide all things both normative and administrative in nature to ful ll these obligations and if those things are not applied then the state is considered to have committed human rights violations. In this case, what were done by the suspects who deli…","author":[{"dropping-particle":"","family":"Wajdi","given":"Farid","non-dropping-particle":"","parse-names":false,"suffix":""},{"dropping-particle":"","family":"Imran","given":"Imran","non-dropping-particle":"","parse-names":false,"suffix":""}],"container-title":"Jurnal Yudisial","id":"ITEM-1","issue":"2","issued":{"date-parts":[["2022"]]},"page":"229","title":"Pelanggaran hak asasi manusia dan tanggung jawab negara terhadap korban","type":"article-journal","volume":"14"},"uris":["http://www.mendeley.com/documents/?uuid=9789d06c-f775-4ea0-a49f-ea239aaa6f0e"]}],"mendeley":{"formattedCitation":"(Wajdi &amp; Imran, 2022)","plainTextFormattedCitation":"(Wajdi &amp; Imran, 2022)","previouslyFormattedCitation":"(Wajdi &amp; Imran, 2022)"},"properties":{"noteIndex":0},"schema":"https://github.com/citation-style-language/schema/raw/master/csl-citation.json"}</w:instrText>
      </w:r>
      <w:r w:rsidR="000251FE">
        <w:rPr>
          <w:rFonts w:ascii="Arial Narrow" w:hAnsi="Arial Narrow" w:cs="Times New Roman"/>
          <w:sz w:val="24"/>
          <w:szCs w:val="24"/>
        </w:rPr>
        <w:fldChar w:fldCharType="separate"/>
      </w:r>
      <w:r w:rsidR="000251FE" w:rsidRPr="000251FE">
        <w:rPr>
          <w:rFonts w:ascii="Arial Narrow" w:hAnsi="Arial Narrow" w:cs="Times New Roman"/>
          <w:noProof/>
          <w:sz w:val="24"/>
          <w:szCs w:val="24"/>
        </w:rPr>
        <w:t>(Wajdi &amp; Imran, 2022)</w:t>
      </w:r>
      <w:r w:rsidR="000251FE">
        <w:rPr>
          <w:rFonts w:ascii="Arial Narrow" w:hAnsi="Arial Narrow" w:cs="Times New Roman"/>
          <w:sz w:val="24"/>
          <w:szCs w:val="24"/>
        </w:rPr>
        <w:fldChar w:fldCharType="end"/>
      </w:r>
      <w:r w:rsidR="00086095" w:rsidRPr="00086095">
        <w:rPr>
          <w:rFonts w:ascii="Arial Narrow" w:hAnsi="Arial Narrow" w:cs="Times New Roman"/>
          <w:sz w:val="24"/>
          <w:szCs w:val="24"/>
        </w:rPr>
        <w:t xml:space="preserve">, khususnya anak sebagai kelompok rentan. Dalam konteks praktik penggunaan anak sebagai joki pacuan kuda di Kabupaten Sumba Timur, negara tidak dapat bersikap pasif meskipun praktik tersebut merupakan bagian dari budaya lokal. Negara harus hadir untuk menyeimbangkan antara pelestarian budaya dan perlindungan hak anak melalui kebijakan yang berorientasi pada kepentingan terbaik anak, seperti penyusunan regulasi khusus, penetapan batas usia minimum, serta integrasi prinsip perlindungan anak dalam kebijakan budaya. Selain itu, negara perlu melakukan pengawasan yang efektif melalui monitoring, pelibatan aparat, dan evaluasi berkala. Tanggung jawab tersebut juga mencakup penyediaan sarana dan standar keselamatan yang memadai guna meminimalkan risiko, serta penegakan hukum yang proporsional, tidak hanya bersifat represif tetapi juga persuasif dan edukatif dengan tetap mempertimbangkan nilai sosial dan budaya masyarakat. Dengan demikian, peran negara dalam kerangka </w:t>
      </w:r>
      <w:r w:rsidR="00086095" w:rsidRPr="00086095">
        <w:rPr>
          <w:rFonts w:ascii="Arial Narrow" w:hAnsi="Arial Narrow" w:cs="Times New Roman"/>
          <w:i/>
          <w:sz w:val="24"/>
          <w:szCs w:val="24"/>
        </w:rPr>
        <w:t>welfare state</w:t>
      </w:r>
      <w:r w:rsidR="00086095" w:rsidRPr="00086095">
        <w:rPr>
          <w:rFonts w:ascii="Arial Narrow" w:hAnsi="Arial Narrow" w:cs="Times New Roman"/>
          <w:sz w:val="24"/>
          <w:szCs w:val="24"/>
        </w:rPr>
        <w:t xml:space="preserve"> menjadi kunci dalam menjamin keseimbangan antara keberlangsungan tradisi dan perlindungan anak</w:t>
      </w:r>
      <w:r w:rsidR="00E50932">
        <w:rPr>
          <w:rFonts w:ascii="Arial Narrow" w:hAnsi="Arial Narrow" w:cs="Times New Roman"/>
          <w:sz w:val="24"/>
          <w:szCs w:val="24"/>
        </w:rPr>
        <w:t>.</w:t>
      </w:r>
      <w:r w:rsidR="000251FE">
        <w:rPr>
          <w:rFonts w:ascii="Arial Narrow" w:hAnsi="Arial Narrow" w:cs="Times New Roman"/>
          <w:sz w:val="24"/>
          <w:szCs w:val="24"/>
        </w:rPr>
        <w:fldChar w:fldCharType="begin" w:fldLock="1"/>
      </w:r>
      <w:r w:rsidR="0047494B">
        <w:rPr>
          <w:rFonts w:ascii="Arial Narrow" w:hAnsi="Arial Narrow" w:cs="Times New Roman"/>
          <w:sz w:val="24"/>
          <w:szCs w:val="24"/>
        </w:rPr>
        <w:instrText>ADDIN CSL_CITATION {"citationItems":[{"id":"ITEM-1","itemData":{"abstract":"Sebagai generasi penerus bangsa, anak sudah selayaknya negara memberikan jaminan terhadap perlindungan anak. Hal tersebut di wujudkan salah satunya dengan menciptakan Kota/Kabupaten Layak Anak yang akan menjadi salah satu unsur keberhasilan perlindungan hukum di Indonesia. Berdasarkan Peraturan Menteri Pemberdayaan Perempuan dan Anak Nomor 11 Tahun 2011 Tentang Kebijakan Kota/Kabupaten Layak Anak, bahwa Kabupaten/Kota Layak Anak (KLA) adalah kabupaten/kota yang mempunyai sistem pembangunan berbasis hak anak melalui pengintegrasian komitmen dan sumberdaya pemerintah, masyarakat dan dunia usaha yang terencana secara menyeluruh dan berkelanjutan dalam kebijakan, program dan kegiatan untuk menjamin terpenuhinya hak anak. Dalam mengembangkan KLA tersebut pada intinya mendasarkan pada pemenuhan hak anak, meliputi hak sipil dan kebebasan, lingkungan keluarga dan pengasuhan, kesehatan dasar dan kesejahteraan, pendidikan, pemanfaatan waktu luang, kegiatan budaya dan perlindungan khusus. Dalam rangka memenuhi KLA tersebut diperlukan partisipasi Desa untuk mewujudkannya sehingga diperlukan pembentuka Desa Layak Anak. Dengan menciptakan Desa Layak Anak maka akan berpengaruh besar terhadap terwujudnya Kota/Kabupaten Layak Anak sehingga akan tercapai perlindungan terhadap hak-hak anak yang diinginkan. Kata","author":[{"dropping-particle":"","family":"Erdianti Novita Ratri","given":"","non-dropping-particle":"","parse-names":false,"suffix":""},{"dropping-particle":"","family":"Alfatih Sholahuddin","given":"","non-dropping-particle":"","parse-names":false,"suffix":""}],"container-title":"Justitia Jurnal Hukum","id":"ITEM-1","issue":"2","issued":{"date-parts":[["2019"]]},"page":"305-318","title":"Mewujudkan desa layak anak sebagai bentuk perlindungan hukum terhadap anak di indonesia","type":"article-journal","volume":"3"},"uris":["http://www.mendeley.com/documents/?uuid=1c8baaa5-1dff-4b01-a525-50b7ca83abbb"]}],"mendeley":{"formattedCitation":"(Erdianti Novita Ratri &amp; Alfatih Sholahuddin, 2019)","plainTextFormattedCitation":"(Erdianti Novita Ratri &amp; Alfatih Sholahuddin, 2019)","previouslyFormattedCitation":"(Erdianti Novita Ratri &amp; Alfatih Sholahuddin, 2019)"},"properties":{"noteIndex":0},"schema":"https://github.com/citation-style-language/schema/raw/master/csl-citation.json"}</w:instrText>
      </w:r>
      <w:r w:rsidR="000251FE">
        <w:rPr>
          <w:rFonts w:ascii="Arial Narrow" w:hAnsi="Arial Narrow" w:cs="Times New Roman"/>
          <w:sz w:val="24"/>
          <w:szCs w:val="24"/>
        </w:rPr>
        <w:fldChar w:fldCharType="separate"/>
      </w:r>
      <w:r w:rsidR="000251FE" w:rsidRPr="000251FE">
        <w:rPr>
          <w:rFonts w:ascii="Arial Narrow" w:hAnsi="Arial Narrow" w:cs="Times New Roman"/>
          <w:noProof/>
          <w:sz w:val="24"/>
          <w:szCs w:val="24"/>
        </w:rPr>
        <w:t>(Erdianti Novita Ratri &amp; Alfatih Sholahuddin, 2019)</w:t>
      </w:r>
      <w:r w:rsidR="000251FE">
        <w:rPr>
          <w:rFonts w:ascii="Arial Narrow" w:hAnsi="Arial Narrow" w:cs="Times New Roman"/>
          <w:sz w:val="24"/>
          <w:szCs w:val="24"/>
        </w:rPr>
        <w:fldChar w:fldCharType="end"/>
      </w:r>
    </w:p>
    <w:p w14:paraId="32F884E3" w14:textId="77777777" w:rsidR="00837FCF" w:rsidRDefault="002421A7" w:rsidP="006502E8">
      <w:pPr>
        <w:pStyle w:val="Heading1"/>
        <w:spacing w:before="120" w:after="0"/>
        <w:jc w:val="both"/>
        <w:rPr>
          <w:rFonts w:ascii="Arial Narrow" w:eastAsia="Book Antiqua" w:hAnsi="Arial Narrow" w:cs="Book Antiqua"/>
          <w:sz w:val="24"/>
          <w:szCs w:val="24"/>
        </w:rPr>
      </w:pPr>
      <w:r w:rsidRPr="00E57D8C">
        <w:rPr>
          <w:rFonts w:ascii="Arial Narrow" w:eastAsia="Book Antiqua" w:hAnsi="Arial Narrow" w:cs="Book Antiqua"/>
          <w:sz w:val="24"/>
          <w:szCs w:val="24"/>
        </w:rPr>
        <w:t>4.  Penutup</w:t>
      </w:r>
    </w:p>
    <w:p w14:paraId="54150BE8" w14:textId="0A71C58D" w:rsidR="00180CA6" w:rsidRDefault="00837FCF" w:rsidP="0047494B">
      <w:pPr>
        <w:tabs>
          <w:tab w:val="left" w:pos="5011"/>
        </w:tabs>
        <w:spacing w:line="360" w:lineRule="auto"/>
        <w:ind w:firstLine="567"/>
        <w:jc w:val="both"/>
        <w:rPr>
          <w:rFonts w:ascii="Arial Narrow" w:hAnsi="Arial Narrow" w:cs="Times New Roman"/>
          <w:sz w:val="24"/>
          <w:szCs w:val="24"/>
        </w:rPr>
      </w:pPr>
      <w:r w:rsidRPr="00837FCF">
        <w:rPr>
          <w:rFonts w:ascii="Arial Narrow" w:hAnsi="Arial Narrow" w:cs="Times New Roman"/>
          <w:sz w:val="24"/>
          <w:szCs w:val="24"/>
        </w:rPr>
        <w:t>Berdasarkan hasil pembahasan, dapat disimpulkan bahwa praktik penggunaan anak di bawah umur sebagai joki dalam tradisi pacuan kuda di Kabupaten Sumba Timur merupakan fenomena sosial budaya yang telah berlangsung secara turun-temurun dan memiliki nilai kearifan lokal yang kuat. Namun demikian, praktik tersebut secara yuridis bertentangan dengan ketentuan dalam Undang-Undang Nomor 35 Tahun 2014 tentang Perlindungan Anak, karena mengandung unsur eksploitasi serta berpotensi membahayakan keselamatan dan perkembangan anak.</w:t>
      </w:r>
      <w:r>
        <w:rPr>
          <w:rFonts w:ascii="Arial Narrow" w:hAnsi="Arial Narrow" w:cs="Times New Roman"/>
          <w:sz w:val="24"/>
          <w:szCs w:val="24"/>
        </w:rPr>
        <w:t xml:space="preserve"> </w:t>
      </w:r>
      <w:r w:rsidRPr="00837FCF">
        <w:rPr>
          <w:rFonts w:ascii="Arial Narrow" w:hAnsi="Arial Narrow" w:cs="Times New Roman"/>
          <w:sz w:val="24"/>
          <w:szCs w:val="24"/>
        </w:rPr>
        <w:t xml:space="preserve">Dalam perspektif teori </w:t>
      </w:r>
      <w:r w:rsidRPr="00837FCF">
        <w:rPr>
          <w:rFonts w:ascii="Arial Narrow" w:hAnsi="Arial Narrow" w:cs="Times New Roman"/>
          <w:i/>
          <w:iCs/>
          <w:sz w:val="24"/>
          <w:szCs w:val="24"/>
        </w:rPr>
        <w:t>law as a tool of social engineering</w:t>
      </w:r>
      <w:r w:rsidRPr="00837FCF">
        <w:rPr>
          <w:rFonts w:ascii="Arial Narrow" w:hAnsi="Arial Narrow" w:cs="Times New Roman"/>
          <w:sz w:val="24"/>
          <w:szCs w:val="24"/>
        </w:rPr>
        <w:t>, hukum memiliki peran strategis tidak hanya sebagai alat pengendalian sosial, tetapi juga sebagai sarana untuk mengarahkan perubahan sosial dalam masyarakat. Oleh karena itu, hukum harus mampu menyeimbangkan antara kepentingan pelestarian budaya lokal dengan perlindungan hak anak melalui pendekatan yang adaptif, proporsional, dan berkeadilan</w:t>
      </w:r>
      <w:r w:rsidR="00373F14">
        <w:rPr>
          <w:rFonts w:ascii="Arial Narrow" w:hAnsi="Arial Narrow" w:cs="Times New Roman"/>
          <w:sz w:val="24"/>
          <w:szCs w:val="24"/>
        </w:rPr>
        <w:t xml:space="preserve"> atau dengan kata lain </w:t>
      </w:r>
      <w:r w:rsidR="00373F14">
        <w:rPr>
          <w:rFonts w:ascii="Arial Narrow" w:hAnsi="Arial Narrow" w:cs="Times New Roman"/>
        </w:rPr>
        <w:t>hukum adalah sarana yang dapat digunakan untuk membentuk masyarakat dan mengatur tingkah laku masyarakat sendiri.</w:t>
      </w:r>
    </w:p>
    <w:p w14:paraId="6C46010A" w14:textId="77777777" w:rsidR="002421A7" w:rsidRPr="00837FCF" w:rsidRDefault="002421A7" w:rsidP="002421A7">
      <w:pPr>
        <w:widowControl w:val="0"/>
        <w:spacing w:after="0" w:line="240" w:lineRule="auto"/>
        <w:ind w:right="88" w:firstLine="720"/>
        <w:jc w:val="both"/>
        <w:rPr>
          <w:rFonts w:ascii="Arial Narrow" w:eastAsia="Book Antiqua" w:hAnsi="Arial Narrow" w:cs="Book Antiqua"/>
          <w:sz w:val="24"/>
          <w:szCs w:val="24"/>
        </w:rPr>
      </w:pPr>
    </w:p>
    <w:p w14:paraId="54A2D9B0" w14:textId="77777777" w:rsidR="002421A7" w:rsidRDefault="002421A7"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14:paraId="2CFF6EA1" w14:textId="77777777" w:rsidR="00B90239" w:rsidRDefault="00B90239" w:rsidP="00D86C72">
      <w:pPr>
        <w:pBdr>
          <w:top w:val="nil"/>
          <w:left w:val="nil"/>
          <w:bottom w:val="nil"/>
          <w:right w:val="nil"/>
          <w:between w:val="nil"/>
        </w:pBdr>
        <w:spacing w:before="120" w:after="0" w:line="240" w:lineRule="auto"/>
        <w:jc w:val="both"/>
        <w:rPr>
          <w:rFonts w:ascii="Arial Narrow" w:eastAsia="Book Antiqua" w:hAnsi="Arial Narrow" w:cs="Book Antiqua"/>
          <w:b/>
          <w:color w:val="000000"/>
          <w:sz w:val="24"/>
          <w:szCs w:val="24"/>
        </w:rPr>
      </w:pPr>
    </w:p>
    <w:p w14:paraId="38C4ADB8" w14:textId="204A87F0"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Pr>
          <w:rFonts w:ascii="Arial Narrow" w:eastAsia="Book Antiqua" w:hAnsi="Arial Narrow" w:cs="Book Antiqua"/>
          <w:b/>
          <w:color w:val="000000"/>
          <w:sz w:val="24"/>
          <w:szCs w:val="24"/>
        </w:rPr>
        <w:fldChar w:fldCharType="begin" w:fldLock="1"/>
      </w:r>
      <w:r>
        <w:rPr>
          <w:rFonts w:ascii="Arial Narrow" w:eastAsia="Book Antiqua" w:hAnsi="Arial Narrow" w:cs="Book Antiqua"/>
          <w:b/>
          <w:color w:val="000000"/>
          <w:sz w:val="24"/>
          <w:szCs w:val="24"/>
        </w:rPr>
        <w:instrText xml:space="preserve">ADDIN Mendeley Bibliography CSL_BIBLIOGRAPHY </w:instrText>
      </w:r>
      <w:r>
        <w:rPr>
          <w:rFonts w:ascii="Arial Narrow" w:eastAsia="Book Antiqua" w:hAnsi="Arial Narrow" w:cs="Book Antiqua"/>
          <w:b/>
          <w:color w:val="000000"/>
          <w:sz w:val="24"/>
          <w:szCs w:val="24"/>
        </w:rPr>
        <w:fldChar w:fldCharType="separate"/>
      </w:r>
      <w:r w:rsidRPr="0047494B">
        <w:rPr>
          <w:rFonts w:ascii="Arial Narrow" w:hAnsi="Arial Narrow" w:cs="Times New Roman"/>
          <w:noProof/>
          <w:sz w:val="24"/>
          <w:szCs w:val="24"/>
        </w:rPr>
        <w:t xml:space="preserve">Al’anam, M. (2025). Moralitas hukum halam pemikiran Lon Fuller, H.L.a. Hart, dan Hans Kelsen. </w:t>
      </w:r>
      <w:r w:rsidRPr="0047494B">
        <w:rPr>
          <w:rFonts w:ascii="Arial Narrow" w:hAnsi="Arial Narrow" w:cs="Times New Roman"/>
          <w:i/>
          <w:iCs/>
          <w:noProof/>
          <w:sz w:val="24"/>
          <w:szCs w:val="24"/>
        </w:rPr>
        <w:t>Law Jurnal</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5</w:t>
      </w:r>
      <w:r w:rsidRPr="0047494B">
        <w:rPr>
          <w:rFonts w:ascii="Arial Narrow" w:hAnsi="Arial Narrow" w:cs="Times New Roman"/>
          <w:noProof/>
          <w:sz w:val="24"/>
          <w:szCs w:val="24"/>
        </w:rPr>
        <w:t>(2), 146–157. https://doi.org/10.46576/lj.v5i2.6015</w:t>
      </w:r>
    </w:p>
    <w:p w14:paraId="6C493592"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Al Alawi, M. N. K. (2024). Implementasi Teori Law as a Tools of Social Engineering Mahkamah Konstitusi sebagai Instrumen Kontrol Sosial dalam Sistem Hukum Indonesia. </w:t>
      </w:r>
      <w:r w:rsidRPr="0047494B">
        <w:rPr>
          <w:rFonts w:ascii="Arial Narrow" w:hAnsi="Arial Narrow" w:cs="Times New Roman"/>
          <w:i/>
          <w:iCs/>
          <w:noProof/>
          <w:sz w:val="24"/>
          <w:szCs w:val="24"/>
        </w:rPr>
        <w:t>Indonesian Journal of Law and Justice</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2</w:t>
      </w:r>
      <w:r w:rsidRPr="0047494B">
        <w:rPr>
          <w:rFonts w:ascii="Arial Narrow" w:hAnsi="Arial Narrow" w:cs="Times New Roman"/>
          <w:noProof/>
          <w:sz w:val="24"/>
          <w:szCs w:val="24"/>
        </w:rPr>
        <w:t>(2), 1–7. https://doi.org/10.47134/ijlj.v2i2.3393</w:t>
      </w:r>
    </w:p>
    <w:p w14:paraId="4F99180D"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Aminah, S. (2019). Hukum untuk manusia: pemikiran Satjipto Rahardjo. </w:t>
      </w:r>
      <w:r w:rsidRPr="0047494B">
        <w:rPr>
          <w:rFonts w:ascii="Arial Narrow" w:hAnsi="Arial Narrow" w:cs="Times New Roman"/>
          <w:i/>
          <w:iCs/>
          <w:noProof/>
          <w:sz w:val="24"/>
          <w:szCs w:val="24"/>
        </w:rPr>
        <w:t>Jurnal Unusia</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13</w:t>
      </w:r>
      <w:r w:rsidRPr="0047494B">
        <w:rPr>
          <w:rFonts w:ascii="Arial Narrow" w:hAnsi="Arial Narrow" w:cs="Times New Roman"/>
          <w:noProof/>
          <w:sz w:val="24"/>
          <w:szCs w:val="24"/>
        </w:rPr>
        <w:t>(2), 57.</w:t>
      </w:r>
    </w:p>
    <w:p w14:paraId="3F3C87DC"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Arisandi, B. (2025). Pacuan kuda sebagai warisan budaya: studi kualitatif tentang peran dan persepsi masyarakat di arena Angin Laut Biru. </w:t>
      </w:r>
      <w:r w:rsidRPr="0047494B">
        <w:rPr>
          <w:rFonts w:ascii="Arial Narrow" w:hAnsi="Arial Narrow" w:cs="Times New Roman"/>
          <w:i/>
          <w:iCs/>
          <w:noProof/>
          <w:sz w:val="24"/>
          <w:szCs w:val="24"/>
        </w:rPr>
        <w:t>Kartika: Jurnal Studi Keislaman</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5</w:t>
      </w:r>
      <w:r w:rsidRPr="0047494B">
        <w:rPr>
          <w:rFonts w:ascii="Arial Narrow" w:hAnsi="Arial Narrow" w:cs="Times New Roman"/>
          <w:noProof/>
          <w:sz w:val="24"/>
          <w:szCs w:val="24"/>
        </w:rPr>
        <w:t>(3), 1532–1543. https://lptnunganjuk.com/ojs/index.php/kartika/article/view/361</w:t>
      </w:r>
    </w:p>
    <w:p w14:paraId="1034D44C"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Aulia, M. Z. (2018). Hukum progresif dari Satjipto Rahardjo. </w:t>
      </w:r>
      <w:r w:rsidRPr="0047494B">
        <w:rPr>
          <w:rFonts w:ascii="Arial Narrow" w:hAnsi="Arial Narrow" w:cs="Times New Roman"/>
          <w:i/>
          <w:iCs/>
          <w:noProof/>
          <w:sz w:val="24"/>
          <w:szCs w:val="24"/>
        </w:rPr>
        <w:t>Undang: Jurnal Hukum</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w:t>
      </w:r>
      <w:r w:rsidRPr="0047494B">
        <w:rPr>
          <w:rFonts w:ascii="Arial Narrow" w:hAnsi="Arial Narrow" w:cs="Times New Roman"/>
          <w:noProof/>
          <w:sz w:val="24"/>
          <w:szCs w:val="24"/>
        </w:rPr>
        <w:t>(1), 159–185. https://doi.org/10.22437/ujh.1.1.159-185</w:t>
      </w:r>
    </w:p>
    <w:p w14:paraId="55C12520"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Bella Harviani Prasasty, A. W. dan A. W. P. (2025). Perlindungan hukum anak terhadap korban eksploitasi sexual komersial berdasarkan kajian viktimolgi. </w:t>
      </w:r>
      <w:r w:rsidRPr="0047494B">
        <w:rPr>
          <w:rFonts w:ascii="Arial Narrow" w:hAnsi="Arial Narrow" w:cs="Times New Roman"/>
          <w:i/>
          <w:iCs/>
          <w:noProof/>
          <w:sz w:val="24"/>
          <w:szCs w:val="24"/>
        </w:rPr>
        <w:t>Rewang Rencang</w:t>
      </w:r>
      <w:r w:rsidRPr="0047494B">
        <w:rPr>
          <w:rFonts w:ascii="Arial" w:hAnsi="Arial" w:cs="Arial"/>
          <w:i/>
          <w:iCs/>
          <w:noProof/>
          <w:sz w:val="24"/>
          <w:szCs w:val="24"/>
        </w:rPr>
        <w:t> </w:t>
      </w:r>
      <w:r w:rsidRPr="0047494B">
        <w:rPr>
          <w:rFonts w:ascii="Arial Narrow" w:hAnsi="Arial Narrow" w:cs="Times New Roman"/>
          <w:i/>
          <w:iCs/>
          <w:noProof/>
          <w:sz w:val="24"/>
          <w:szCs w:val="24"/>
        </w:rPr>
        <w:t>: Jurnal Hukum Lex Generalis</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6</w:t>
      </w:r>
      <w:r w:rsidRPr="0047494B">
        <w:rPr>
          <w:rFonts w:ascii="Arial Narrow" w:hAnsi="Arial Narrow" w:cs="Times New Roman"/>
          <w:noProof/>
          <w:sz w:val="24"/>
          <w:szCs w:val="24"/>
        </w:rPr>
        <w:t>(7), 1–16.</w:t>
      </w:r>
    </w:p>
    <w:p w14:paraId="6DBA1B55"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Dian Rizky Rahmawati. (2025). Joki cilik pacoa jara: berpacu dalam tradisi dan hukum perlindungan anak. </w:t>
      </w:r>
      <w:r w:rsidRPr="0047494B">
        <w:rPr>
          <w:rFonts w:ascii="Arial Narrow" w:hAnsi="Arial Narrow" w:cs="Times New Roman"/>
          <w:i/>
          <w:iCs/>
          <w:noProof/>
          <w:sz w:val="24"/>
          <w:szCs w:val="24"/>
        </w:rPr>
        <w:t>Khatulistiwa: Jurnal Pendidikan Dan Sosial Humaniora</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5</w:t>
      </w:r>
      <w:r w:rsidRPr="0047494B">
        <w:rPr>
          <w:rFonts w:ascii="Arial Narrow" w:hAnsi="Arial Narrow" w:cs="Times New Roman"/>
          <w:noProof/>
          <w:sz w:val="24"/>
          <w:szCs w:val="24"/>
        </w:rPr>
        <w:t>(2), 326–340. https://doi.org/10.55606/khatulistiwa.v5i2.5847</w:t>
      </w:r>
    </w:p>
    <w:p w14:paraId="17B77C80"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Erdianti Novita Ratri, &amp; Alfatih Sholahuddin. (2019). Mewujudkan desa layak anak sebagai bentuk perlindungan hukum terhadap anak di indonesia. </w:t>
      </w:r>
      <w:r w:rsidRPr="0047494B">
        <w:rPr>
          <w:rFonts w:ascii="Arial Narrow" w:hAnsi="Arial Narrow" w:cs="Times New Roman"/>
          <w:i/>
          <w:iCs/>
          <w:noProof/>
          <w:sz w:val="24"/>
          <w:szCs w:val="24"/>
        </w:rPr>
        <w:t>Justitia Jurnal Hukum</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3</w:t>
      </w:r>
      <w:r w:rsidRPr="0047494B">
        <w:rPr>
          <w:rFonts w:ascii="Arial Narrow" w:hAnsi="Arial Narrow" w:cs="Times New Roman"/>
          <w:noProof/>
          <w:sz w:val="24"/>
          <w:szCs w:val="24"/>
        </w:rPr>
        <w:t>(2), 305–318.</w:t>
      </w:r>
    </w:p>
    <w:p w14:paraId="752FEE46"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Faisal, A., Saleh, A., &amp; Hendra Najwin, A. (2024). Analisis dampak wisata pacuan kuda dalam meningkatkan kesejahteraan komunitas lokal di desa Lepadi Kecamatan Pajo Dompu. </w:t>
      </w:r>
      <w:r w:rsidRPr="0047494B">
        <w:rPr>
          <w:rFonts w:ascii="Arial Narrow" w:hAnsi="Arial Narrow" w:cs="Times New Roman"/>
          <w:i/>
          <w:iCs/>
          <w:noProof/>
          <w:sz w:val="24"/>
          <w:szCs w:val="24"/>
        </w:rPr>
        <w:t>MARAS: Jurnal Penelitian Multidisiplin</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2</w:t>
      </w:r>
      <w:r w:rsidRPr="0047494B">
        <w:rPr>
          <w:rFonts w:ascii="Arial Narrow" w:hAnsi="Arial Narrow" w:cs="Times New Roman"/>
          <w:noProof/>
          <w:sz w:val="24"/>
          <w:szCs w:val="24"/>
        </w:rPr>
        <w:t>(1), 589–598. https://doi.org/10.60126/maras.v2i1.220</w:t>
      </w:r>
    </w:p>
    <w:p w14:paraId="4AD4E0F9"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Gisa Inggit Maulidia, Trisna Muhamad Rofiqi, Krisna Nur Fadilah WP, G. A. N. (2023). Hukum dan perubahan masyarakat</w:t>
      </w:r>
      <w:r w:rsidRPr="0047494B">
        <w:rPr>
          <w:rFonts w:ascii="Arial" w:hAnsi="Arial" w:cs="Arial"/>
          <w:noProof/>
          <w:sz w:val="24"/>
          <w:szCs w:val="24"/>
        </w:rPr>
        <w:t> </w:t>
      </w:r>
      <w:r w:rsidRPr="0047494B">
        <w:rPr>
          <w:rFonts w:ascii="Arial Narrow" w:hAnsi="Arial Narrow" w:cs="Times New Roman"/>
          <w:noProof/>
          <w:sz w:val="24"/>
          <w:szCs w:val="24"/>
        </w:rPr>
        <w:t xml:space="preserve">: pendekatan filsafat Roscoe Pound. </w:t>
      </w:r>
      <w:r w:rsidRPr="0047494B">
        <w:rPr>
          <w:rFonts w:ascii="Arial Narrow" w:hAnsi="Arial Narrow" w:cs="Times New Roman"/>
          <w:i/>
          <w:iCs/>
          <w:noProof/>
          <w:sz w:val="24"/>
          <w:szCs w:val="24"/>
        </w:rPr>
        <w:t>Jurnal Filsafat Terapan</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April</w:t>
      </w:r>
      <w:r w:rsidRPr="0047494B">
        <w:rPr>
          <w:rFonts w:ascii="Arial Narrow" w:hAnsi="Arial Narrow" w:cs="Times New Roman"/>
          <w:noProof/>
          <w:sz w:val="24"/>
          <w:szCs w:val="24"/>
        </w:rPr>
        <w:t>, 1–12. https://doi.org/10.11111/praxis.xxxxxxx</w:t>
      </w:r>
    </w:p>
    <w:p w14:paraId="63C79FE0"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Gustawinata, M. A., Abubakar, L., &amp; Rahmawati, E. (2021). Analisis hukum terhadap perlindungan dan integrasi hak anak sebagai hak asasi manusia dalam sistem hukum indonesia. </w:t>
      </w:r>
      <w:r w:rsidRPr="0047494B">
        <w:rPr>
          <w:rFonts w:ascii="Arial Narrow" w:hAnsi="Arial Narrow" w:cs="Times New Roman"/>
          <w:i/>
          <w:iCs/>
          <w:noProof/>
          <w:sz w:val="24"/>
          <w:szCs w:val="24"/>
        </w:rPr>
        <w:t>Jurnal Tana Mana</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2</w:t>
      </w:r>
      <w:r w:rsidRPr="0047494B">
        <w:rPr>
          <w:rFonts w:ascii="Arial Narrow" w:hAnsi="Arial Narrow" w:cs="Times New Roman"/>
          <w:noProof/>
          <w:sz w:val="24"/>
          <w:szCs w:val="24"/>
        </w:rPr>
        <w:t>(1), 46–48. https://ojs.staialfurqan.ac.id/jtm/article/download/736/452/</w:t>
      </w:r>
    </w:p>
    <w:p w14:paraId="7C4D3208"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Hasan, I., Yufiarti, Y., &amp; Edwita, E. (2021). Horse Racing: A Traditional Game to Improve Children’s Motor Gross Skill (Ethnopedagogy study on Dompu Tribe). </w:t>
      </w:r>
      <w:r w:rsidRPr="0047494B">
        <w:rPr>
          <w:rFonts w:ascii="Arial Narrow" w:hAnsi="Arial Narrow" w:cs="Times New Roman"/>
          <w:i/>
          <w:iCs/>
          <w:noProof/>
          <w:sz w:val="24"/>
          <w:szCs w:val="24"/>
        </w:rPr>
        <w:t>Jurnal Obsesi</w:t>
      </w:r>
      <w:r w:rsidRPr="0047494B">
        <w:rPr>
          <w:rFonts w:ascii="Arial" w:hAnsi="Arial" w:cs="Arial"/>
          <w:i/>
          <w:iCs/>
          <w:noProof/>
          <w:sz w:val="24"/>
          <w:szCs w:val="24"/>
        </w:rPr>
        <w:t> </w:t>
      </w:r>
      <w:r w:rsidRPr="0047494B">
        <w:rPr>
          <w:rFonts w:ascii="Arial Narrow" w:hAnsi="Arial Narrow" w:cs="Times New Roman"/>
          <w:i/>
          <w:iCs/>
          <w:noProof/>
          <w:sz w:val="24"/>
          <w:szCs w:val="24"/>
        </w:rPr>
        <w:t>: Jurnal Pendidikan Anak Usia Dini</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6</w:t>
      </w:r>
      <w:r w:rsidRPr="0047494B">
        <w:rPr>
          <w:rFonts w:ascii="Arial Narrow" w:hAnsi="Arial Narrow" w:cs="Times New Roman"/>
          <w:noProof/>
          <w:sz w:val="24"/>
          <w:szCs w:val="24"/>
        </w:rPr>
        <w:t>(3), 1247–1258. https://doi.org/10.31004/obsesi.v6i3.1646</w:t>
      </w:r>
    </w:p>
    <w:p w14:paraId="38855F0F"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Latipulhayat, A. (2014). Khazanah: Roscoe Pound. </w:t>
      </w:r>
      <w:r w:rsidRPr="0047494B">
        <w:rPr>
          <w:rFonts w:ascii="Arial Narrow" w:hAnsi="Arial Narrow" w:cs="Times New Roman"/>
          <w:i/>
          <w:iCs/>
          <w:noProof/>
          <w:sz w:val="24"/>
          <w:szCs w:val="24"/>
        </w:rPr>
        <w:t>PADJADJARAN Jurnal Ilmu Hukum (Journal of Law)</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w:t>
      </w:r>
      <w:r w:rsidRPr="0047494B">
        <w:rPr>
          <w:rFonts w:ascii="Arial Narrow" w:hAnsi="Arial Narrow" w:cs="Times New Roman"/>
          <w:noProof/>
          <w:sz w:val="24"/>
          <w:szCs w:val="24"/>
        </w:rPr>
        <w:t>(2), 413–424.</w:t>
      </w:r>
    </w:p>
    <w:p w14:paraId="6F9C898E"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Lika, F. A. R., Haris Supratno, &amp; Suyatno. (2021). Kearifan lokal dalam cerita rakyat Sumba Timur. </w:t>
      </w:r>
      <w:r w:rsidRPr="0047494B">
        <w:rPr>
          <w:rFonts w:ascii="Arial Narrow" w:hAnsi="Arial Narrow" w:cs="Times New Roman"/>
          <w:i/>
          <w:iCs/>
          <w:noProof/>
          <w:sz w:val="24"/>
          <w:szCs w:val="24"/>
        </w:rPr>
        <w:t>Jurnal Education and Development</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9</w:t>
      </w:r>
      <w:r w:rsidRPr="0047494B">
        <w:rPr>
          <w:rFonts w:ascii="Arial Narrow" w:hAnsi="Arial Narrow" w:cs="Times New Roman"/>
          <w:noProof/>
          <w:sz w:val="24"/>
          <w:szCs w:val="24"/>
        </w:rPr>
        <w:t>(1), 294–299. https://journal.ipts.ac.id/index.php/ED/article/download/2377/1297</w:t>
      </w:r>
    </w:p>
    <w:p w14:paraId="6355F4E2"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Madung, O. G. (2012). Martabat Manusia Sebagai Basis Etis. </w:t>
      </w:r>
      <w:r w:rsidRPr="0047494B">
        <w:rPr>
          <w:rFonts w:ascii="Arial Narrow" w:hAnsi="Arial Narrow" w:cs="Times New Roman"/>
          <w:i/>
          <w:iCs/>
          <w:noProof/>
          <w:sz w:val="24"/>
          <w:szCs w:val="24"/>
        </w:rPr>
        <w:t>Diskursus: Jurnal Filsafat Dan Teologi Sekolah Tinggi Filsafat Driyarkara</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11</w:t>
      </w:r>
      <w:r w:rsidRPr="0047494B">
        <w:rPr>
          <w:rFonts w:ascii="Arial Narrow" w:hAnsi="Arial Narrow" w:cs="Times New Roman"/>
          <w:noProof/>
          <w:sz w:val="24"/>
          <w:szCs w:val="24"/>
        </w:rPr>
        <w:t>(2), 160–173.</w:t>
      </w:r>
    </w:p>
    <w:p w14:paraId="73A07C4F"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Marzuki, P. M. (2024). </w:t>
      </w:r>
      <w:r w:rsidRPr="0047494B">
        <w:rPr>
          <w:rFonts w:ascii="Arial Narrow" w:hAnsi="Arial Narrow" w:cs="Times New Roman"/>
          <w:i/>
          <w:iCs/>
          <w:noProof/>
          <w:sz w:val="24"/>
          <w:szCs w:val="24"/>
        </w:rPr>
        <w:t>Penelitian hukum</w:t>
      </w:r>
      <w:r w:rsidRPr="0047494B">
        <w:rPr>
          <w:rFonts w:ascii="Arial Narrow" w:hAnsi="Arial Narrow" w:cs="Times New Roman"/>
          <w:noProof/>
          <w:sz w:val="24"/>
          <w:szCs w:val="24"/>
        </w:rPr>
        <w:t>.</w:t>
      </w:r>
    </w:p>
    <w:p w14:paraId="6ECDC65A"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Nahak, H. M. I. (2019). Upaya melestarikan budaya indonesia di era globalisasi (Effort To Preserve Inddonesian Culture In The Era Of Globalization). </w:t>
      </w:r>
      <w:r w:rsidRPr="0047494B">
        <w:rPr>
          <w:rFonts w:ascii="Arial Narrow" w:hAnsi="Arial Narrow" w:cs="Times New Roman"/>
          <w:i/>
          <w:iCs/>
          <w:noProof/>
          <w:sz w:val="24"/>
          <w:szCs w:val="24"/>
        </w:rPr>
        <w:t>Jurnal Sosiologi Nusantara</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5</w:t>
      </w:r>
      <w:r w:rsidRPr="0047494B">
        <w:rPr>
          <w:rFonts w:ascii="Arial Narrow" w:hAnsi="Arial Narrow" w:cs="Times New Roman"/>
          <w:noProof/>
          <w:sz w:val="24"/>
          <w:szCs w:val="24"/>
        </w:rPr>
        <w:t>(1), 65–76.</w:t>
      </w:r>
    </w:p>
    <w:p w14:paraId="673F5B03"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Nurfitriani, Hidayatullah, S., Mahmudah, H., Zuhrah, &amp; Sanusi, G. (2023). Eksploitasi anak pada tradisi pacuan kuda perspektif hukum islam dan hukum positif. </w:t>
      </w:r>
      <w:r w:rsidRPr="0047494B">
        <w:rPr>
          <w:rFonts w:ascii="Arial Narrow" w:hAnsi="Arial Narrow" w:cs="Times New Roman"/>
          <w:i/>
          <w:iCs/>
          <w:noProof/>
          <w:sz w:val="24"/>
          <w:szCs w:val="24"/>
        </w:rPr>
        <w:t>Fundamental: Jurnal Ilmiah Hukum</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12</w:t>
      </w:r>
      <w:r w:rsidRPr="0047494B">
        <w:rPr>
          <w:rFonts w:ascii="Arial Narrow" w:hAnsi="Arial Narrow" w:cs="Times New Roman"/>
          <w:noProof/>
          <w:sz w:val="24"/>
          <w:szCs w:val="24"/>
        </w:rPr>
        <w:t>(1), 153–181. https://doi.org/10.34304/jf.v12i1.102</w:t>
      </w:r>
    </w:p>
    <w:p w14:paraId="049366B9"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Pound, R. (1942). </w:t>
      </w:r>
      <w:r w:rsidRPr="0047494B">
        <w:rPr>
          <w:rFonts w:ascii="Arial Narrow" w:hAnsi="Arial Narrow" w:cs="Times New Roman"/>
          <w:i/>
          <w:iCs/>
          <w:noProof/>
          <w:sz w:val="24"/>
          <w:szCs w:val="24"/>
        </w:rPr>
        <w:t>Social control through law</w:t>
      </w:r>
      <w:r w:rsidRPr="0047494B">
        <w:rPr>
          <w:rFonts w:ascii="Arial Narrow" w:hAnsi="Arial Narrow" w:cs="Times New Roman"/>
          <w:noProof/>
          <w:sz w:val="24"/>
          <w:szCs w:val="24"/>
        </w:rPr>
        <w:t>.</w:t>
      </w:r>
    </w:p>
    <w:p w14:paraId="25D87883"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Rasji, &amp; Harmono, H. (2025). Hukum sebagai alat rekayasa sosial: gagasan Roscoe Pound dan relevansinya bagi reformasi hukum di indonesia law as a tool of social engineering: Roscoe Pound’s concept and its relevance to legal reform in indonesia. </w:t>
      </w:r>
      <w:r w:rsidRPr="0047494B">
        <w:rPr>
          <w:rFonts w:ascii="Arial Narrow" w:hAnsi="Arial Narrow" w:cs="Times New Roman"/>
          <w:i/>
          <w:iCs/>
          <w:noProof/>
          <w:sz w:val="24"/>
          <w:szCs w:val="24"/>
        </w:rPr>
        <w:t>Rewang Rencang</w:t>
      </w:r>
      <w:r w:rsidRPr="0047494B">
        <w:rPr>
          <w:rFonts w:ascii="Arial" w:hAnsi="Arial" w:cs="Arial"/>
          <w:i/>
          <w:iCs/>
          <w:noProof/>
          <w:sz w:val="24"/>
          <w:szCs w:val="24"/>
        </w:rPr>
        <w:t> </w:t>
      </w:r>
      <w:r w:rsidRPr="0047494B">
        <w:rPr>
          <w:rFonts w:ascii="Arial Narrow" w:hAnsi="Arial Narrow" w:cs="Times New Roman"/>
          <w:i/>
          <w:iCs/>
          <w:noProof/>
          <w:sz w:val="24"/>
          <w:szCs w:val="24"/>
        </w:rPr>
        <w:t>: Jurnal Hukum Lex Generalis</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Vol. 5,</w:t>
      </w:r>
      <w:r w:rsidRPr="0047494B">
        <w:rPr>
          <w:rFonts w:ascii="Arial Narrow" w:hAnsi="Arial Narrow" w:cs="Times New Roman"/>
          <w:noProof/>
          <w:sz w:val="24"/>
          <w:szCs w:val="24"/>
        </w:rPr>
        <w:t>(No. 10), p.4. https://ojs.rewangrencang.com/index.php/JHLG/article/view/939</w:t>
      </w:r>
    </w:p>
    <w:p w14:paraId="7C9400FE"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Trihastuti, N., &amp; Putri, S. A. (2020). Reposition of child protection through the Enforcement of Human Rights and Constitutional Rights. </w:t>
      </w:r>
      <w:r w:rsidRPr="0047494B">
        <w:rPr>
          <w:rFonts w:ascii="Arial Narrow" w:hAnsi="Arial Narrow" w:cs="Times New Roman"/>
          <w:i/>
          <w:iCs/>
          <w:noProof/>
          <w:sz w:val="24"/>
          <w:szCs w:val="24"/>
        </w:rPr>
        <w:t>Jurnal Hukum Dan Peradilan</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9</w:t>
      </w:r>
      <w:r w:rsidRPr="0047494B">
        <w:rPr>
          <w:rFonts w:ascii="Arial Narrow" w:hAnsi="Arial Narrow" w:cs="Times New Roman"/>
          <w:noProof/>
          <w:sz w:val="24"/>
          <w:szCs w:val="24"/>
        </w:rPr>
        <w:t>(2), 314. https://doi.org/10.25216/jhp.9.2.2020.314-335</w:t>
      </w:r>
    </w:p>
    <w:p w14:paraId="54F71472"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cs="Times New Roman"/>
          <w:noProof/>
          <w:sz w:val="24"/>
          <w:szCs w:val="24"/>
        </w:rPr>
      </w:pPr>
      <w:r w:rsidRPr="0047494B">
        <w:rPr>
          <w:rFonts w:ascii="Arial Narrow" w:hAnsi="Arial Narrow" w:cs="Times New Roman"/>
          <w:noProof/>
          <w:sz w:val="24"/>
          <w:szCs w:val="24"/>
        </w:rPr>
        <w:t xml:space="preserve">Wajdi, F., &amp; Imran, I. (2022). Pelanggaran hak asasi manusia dan tanggung jawab negara terhadap korban. </w:t>
      </w:r>
      <w:r w:rsidRPr="0047494B">
        <w:rPr>
          <w:rFonts w:ascii="Arial Narrow" w:hAnsi="Arial Narrow" w:cs="Times New Roman"/>
          <w:i/>
          <w:iCs/>
          <w:noProof/>
          <w:sz w:val="24"/>
          <w:szCs w:val="24"/>
        </w:rPr>
        <w:t>Jurnal Yudisial</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14</w:t>
      </w:r>
      <w:r w:rsidRPr="0047494B">
        <w:rPr>
          <w:rFonts w:ascii="Arial Narrow" w:hAnsi="Arial Narrow" w:cs="Times New Roman"/>
          <w:noProof/>
          <w:sz w:val="24"/>
          <w:szCs w:val="24"/>
        </w:rPr>
        <w:t>(2), 229. https://doi.org/10.29123/jy.v14i2.445</w:t>
      </w:r>
    </w:p>
    <w:p w14:paraId="25D84324" w14:textId="77777777" w:rsidR="0047494B" w:rsidRPr="0047494B" w:rsidRDefault="0047494B" w:rsidP="009F3AF8">
      <w:pPr>
        <w:widowControl w:val="0"/>
        <w:autoSpaceDE w:val="0"/>
        <w:autoSpaceDN w:val="0"/>
        <w:adjustRightInd w:val="0"/>
        <w:spacing w:before="120" w:after="0" w:line="240" w:lineRule="auto"/>
        <w:ind w:left="480" w:hanging="480"/>
        <w:jc w:val="both"/>
        <w:rPr>
          <w:rFonts w:ascii="Arial Narrow" w:hAnsi="Arial Narrow"/>
          <w:noProof/>
          <w:sz w:val="24"/>
        </w:rPr>
      </w:pPr>
      <w:r w:rsidRPr="0047494B">
        <w:rPr>
          <w:rFonts w:ascii="Arial Narrow" w:hAnsi="Arial Narrow" w:cs="Times New Roman"/>
          <w:noProof/>
          <w:sz w:val="24"/>
          <w:szCs w:val="24"/>
        </w:rPr>
        <w:t xml:space="preserve">Yeni Triana, Wandi Hartono, Jetmiko Setiawan, D. M. (2024). Peran teori social engineering Roscoe Pound dalam mewujudkan keadilan sosial melalui penemuan hukum di indonesia. </w:t>
      </w:r>
      <w:r w:rsidRPr="0047494B">
        <w:rPr>
          <w:rFonts w:ascii="Arial Narrow" w:hAnsi="Arial Narrow" w:cs="Times New Roman"/>
          <w:i/>
          <w:iCs/>
          <w:noProof/>
          <w:sz w:val="24"/>
          <w:szCs w:val="24"/>
        </w:rPr>
        <w:t>Journal of Social Science and Education Research</w:t>
      </w:r>
      <w:r w:rsidRPr="0047494B">
        <w:rPr>
          <w:rFonts w:ascii="Arial Narrow" w:hAnsi="Arial Narrow" w:cs="Times New Roman"/>
          <w:noProof/>
          <w:sz w:val="24"/>
          <w:szCs w:val="24"/>
        </w:rPr>
        <w:t xml:space="preserve">, </w:t>
      </w:r>
      <w:r w:rsidRPr="0047494B">
        <w:rPr>
          <w:rFonts w:ascii="Arial Narrow" w:hAnsi="Arial Narrow" w:cs="Times New Roman"/>
          <w:i/>
          <w:iCs/>
          <w:noProof/>
          <w:sz w:val="24"/>
          <w:szCs w:val="24"/>
        </w:rPr>
        <w:t>1</w:t>
      </w:r>
      <w:r w:rsidRPr="0047494B">
        <w:rPr>
          <w:rFonts w:ascii="Arial Narrow" w:hAnsi="Arial Narrow" w:cs="Times New Roman"/>
          <w:noProof/>
          <w:sz w:val="24"/>
          <w:szCs w:val="24"/>
        </w:rPr>
        <w:t>(2), 58–71.</w:t>
      </w:r>
    </w:p>
    <w:p w14:paraId="6A79B0F6" w14:textId="01366EEF" w:rsidR="00B90239" w:rsidRDefault="0047494B" w:rsidP="009F3AF8">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Pr>
          <w:rFonts w:ascii="Arial Narrow" w:eastAsia="Book Antiqua" w:hAnsi="Arial Narrow" w:cs="Book Antiqua"/>
          <w:b/>
          <w:color w:val="000000"/>
          <w:sz w:val="24"/>
          <w:szCs w:val="24"/>
        </w:rPr>
        <w:fldChar w:fldCharType="end"/>
      </w:r>
    </w:p>
    <w:p w14:paraId="1EA1043B" w14:textId="77777777" w:rsidR="00B90239" w:rsidRDefault="00B90239"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p>
    <w:p w14:paraId="0C7A66D9" w14:textId="77777777" w:rsidR="00B90239" w:rsidRDefault="00B90239"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p>
    <w:p w14:paraId="72CB470D" w14:textId="77777777" w:rsidR="00B90239" w:rsidRDefault="00B90239"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p>
    <w:p w14:paraId="54ACE8FC" w14:textId="77777777" w:rsidR="00B90239" w:rsidRDefault="00B90239"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p>
    <w:p w14:paraId="3D943915" w14:textId="77777777" w:rsidR="00B90239" w:rsidRDefault="00B90239"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p>
    <w:p w14:paraId="1CF68003" w14:textId="77777777" w:rsidR="00B90239" w:rsidRPr="00E57D8C" w:rsidRDefault="00B90239"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p>
    <w:p w14:paraId="6665303D" w14:textId="77777777" w:rsidR="002421A7" w:rsidRDefault="002421A7" w:rsidP="002421A7">
      <w:pPr>
        <w:pStyle w:val="ListParagraph"/>
        <w:spacing w:after="0" w:line="360" w:lineRule="auto"/>
        <w:ind w:left="360"/>
        <w:jc w:val="both"/>
        <w:rPr>
          <w:rFonts w:ascii="Arial Narrow" w:eastAsia="Times New Roman" w:hAnsi="Arial Narrow"/>
          <w:b/>
          <w:sz w:val="24"/>
          <w:szCs w:val="24"/>
          <w:lang w:val="id-ID"/>
        </w:rPr>
      </w:pPr>
    </w:p>
    <w:p w14:paraId="68466D61" w14:textId="77777777" w:rsidR="00C675DE" w:rsidRPr="00C675DE" w:rsidRDefault="00C675DE" w:rsidP="00C675DE">
      <w:pPr>
        <w:rPr>
          <w:lang w:val="id-ID"/>
        </w:rPr>
      </w:pPr>
    </w:p>
    <w:p w14:paraId="3B757802" w14:textId="77777777" w:rsidR="00C675DE" w:rsidRDefault="00C675DE" w:rsidP="00C675DE">
      <w:pPr>
        <w:rPr>
          <w:rFonts w:ascii="Arial Narrow" w:eastAsia="Times New Roman" w:hAnsi="Arial Narrow"/>
          <w:b/>
          <w:sz w:val="24"/>
          <w:szCs w:val="24"/>
          <w:lang w:val="id-ID"/>
        </w:rPr>
      </w:pPr>
    </w:p>
    <w:p w14:paraId="51D9A3EF" w14:textId="2572F898" w:rsidR="00C675DE" w:rsidRPr="00C675DE" w:rsidRDefault="00C675DE" w:rsidP="00C675DE">
      <w:pPr>
        <w:tabs>
          <w:tab w:val="left" w:pos="4951"/>
        </w:tabs>
        <w:rPr>
          <w:lang w:val="id-ID"/>
        </w:rPr>
      </w:pPr>
      <w:r>
        <w:rPr>
          <w:lang w:val="id-ID"/>
        </w:rPr>
        <w:tab/>
      </w:r>
    </w:p>
    <w:sectPr w:rsidR="00C675DE" w:rsidRPr="00C675DE" w:rsidSect="00080E2E">
      <w:headerReference w:type="even" r:id="rId11"/>
      <w:headerReference w:type="default" r:id="rId12"/>
      <w:footerReference w:type="even" r:id="rId13"/>
      <w:footerReference w:type="default" r:id="rId14"/>
      <w:headerReference w:type="first" r:id="rId15"/>
      <w:footerReference w:type="first" r:id="rId16"/>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F32B6" w14:textId="77777777" w:rsidR="00A72CCB" w:rsidRDefault="00A72CCB" w:rsidP="00AA467B">
      <w:pPr>
        <w:spacing w:after="0" w:line="240" w:lineRule="auto"/>
      </w:pPr>
      <w:r>
        <w:separator/>
      </w:r>
    </w:p>
  </w:endnote>
  <w:endnote w:type="continuationSeparator" w:id="0">
    <w:p w14:paraId="7878CD9A" w14:textId="77777777" w:rsidR="00A72CCB" w:rsidRDefault="00A72CCB"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F823" w14:textId="77777777" w:rsidR="0082181C" w:rsidRDefault="0082181C">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14:paraId="78261B45" w14:textId="77777777" w:rsidR="0082181C" w:rsidRDefault="0082181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1228"/>
      <w:docPartObj>
        <w:docPartGallery w:val="Page Numbers (Bottom of Page)"/>
        <w:docPartUnique/>
      </w:docPartObj>
    </w:sdtPr>
    <w:sdtContent>
      <w:p w14:paraId="077E0992" w14:textId="77777777" w:rsidR="00BA20A0" w:rsidRDefault="00F214B7">
        <w:pPr>
          <w:pStyle w:val="Footer"/>
          <w:jc w:val="right"/>
        </w:pPr>
        <w:r>
          <w:fldChar w:fldCharType="begin"/>
        </w:r>
        <w:r w:rsidR="005D2BB4">
          <w:instrText xml:space="preserve"> PAGE   \* MERGEFORMAT </w:instrText>
        </w:r>
        <w:r>
          <w:fldChar w:fldCharType="separate"/>
        </w:r>
        <w:r w:rsidR="00DA0680">
          <w:rPr>
            <w:noProof/>
          </w:rPr>
          <w:t>33</w:t>
        </w:r>
        <w:r>
          <w:rPr>
            <w:noProof/>
          </w:rPr>
          <w:fldChar w:fldCharType="end"/>
        </w:r>
      </w:p>
    </w:sdtContent>
  </w:sdt>
  <w:p w14:paraId="0941E488" w14:textId="77777777" w:rsidR="0082181C" w:rsidRDefault="0082181C">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888310"/>
      <w:docPartObj>
        <w:docPartGallery w:val="Page Numbers (Bottom of Page)"/>
        <w:docPartUnique/>
      </w:docPartObj>
    </w:sdtPr>
    <w:sdtEndPr>
      <w:rPr>
        <w:noProof/>
      </w:rPr>
    </w:sdtEndPr>
    <w:sdtContent>
      <w:p w14:paraId="6E770CED" w14:textId="77777777" w:rsidR="004F32EE" w:rsidRDefault="004F32EE">
        <w:pPr>
          <w:pStyle w:val="Footer"/>
          <w:jc w:val="right"/>
        </w:pPr>
        <w:r>
          <w:fldChar w:fldCharType="begin"/>
        </w:r>
        <w:r>
          <w:instrText xml:space="preserve"> PAGE   \* MERGEFORMAT </w:instrText>
        </w:r>
        <w:r>
          <w:fldChar w:fldCharType="separate"/>
        </w:r>
        <w:r w:rsidR="00DA0680">
          <w:rPr>
            <w:noProof/>
          </w:rPr>
          <w:t>32</w:t>
        </w:r>
        <w:r>
          <w:rPr>
            <w:noProof/>
          </w:rPr>
          <w:fldChar w:fldCharType="end"/>
        </w:r>
      </w:p>
    </w:sdtContent>
  </w:sdt>
  <w:p w14:paraId="6837E4CB" w14:textId="77777777" w:rsidR="004F32EE" w:rsidRDefault="004F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FF68" w14:textId="77777777" w:rsidR="00A72CCB" w:rsidRDefault="00A72CCB" w:rsidP="00AA467B">
      <w:pPr>
        <w:spacing w:after="0" w:line="240" w:lineRule="auto"/>
      </w:pPr>
      <w:r>
        <w:separator/>
      </w:r>
    </w:p>
  </w:footnote>
  <w:footnote w:type="continuationSeparator" w:id="0">
    <w:p w14:paraId="79CAD85B" w14:textId="77777777" w:rsidR="00A72CCB" w:rsidRDefault="00A72CCB" w:rsidP="00AA4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3DCB" w14:textId="77777777" w:rsidR="002E505A" w:rsidRDefault="00000000">
    <w:pPr>
      <w:pStyle w:val="Header"/>
    </w:pPr>
    <w:r>
      <w:rPr>
        <w:noProof/>
        <w:lang w:val="id-ID"/>
      </w:rPr>
      <w:pict w14:anchorId="3620FB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1036"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74FB" w14:textId="77777777" w:rsidR="004F32EE" w:rsidRDefault="004865B0"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5CBB206D"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11D7E70B"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4YwIAAB8FAAAOAAAAZHJzL2Uyb0RvYy54bWysVG1v2jAQ/j5p/8Hy9zVAoS9RQ8WoOk1C&#10;bTU69bNxbIjm+Dz7IGG/vmcn0K6bJm3aF+ece+79OV9dt7VhO+VDBbbgw5MBZ8pKKCu7LvjXx9sP&#10;F5wFFLYUBqwq+F4Ffj19/+6qcbkawQZMqTwjJzbkjSv4BtHlWRbkRtUinIBTlpQafC2Qrn6dlV40&#10;5L022WgwOMsa8KXzIFUI9PemU/Jp8q+1knivdVDITMEpN0ynT+cqntn0SuRrL9ymkn0a4h+yqEVl&#10;KejR1Y1Awba++sVVXUkPATSeSKgz0LqSKtVA1QwHb6pZboRTqRZqTnDHNoX/51be7ZbuwTNsP0JL&#10;A0xFBLcA+S1Qb7LGhbzHxJ6GPBA6FtpqX8cvlcDIkHq7P/ZTtchk9HZxPr4cnXEmSTcZT8Znk9jw&#10;7MXa+YCfFNQsCgX3NK+UgdgtAnbQAyQGM/aQU5dGSgj3RnXKL0qzqqTAp10ZkURqbjzbCRq/wWEf&#10;3VhCRhNdGXM06mv/2UhIqSye9oY9PpqqRK6/MT5apMhg8WhcVxb8n1PWHb6fSOhqjuVju2qpKVFc&#10;QbmnUXroWB6cvK2orQsR8EF4ojUNiVYV7+nQBpqCQy9xtgH/43f/I57YRlrOGlqTgofvW+EVZ+az&#10;JR5eDsfjuFfpMp6cj+jiX2tWrzV2W8+BRjGkR8HJJEY8moOoPdRPtNGzGJVUwkqKXXA8iHPslpde&#10;BKlmswSiTXICF3bp5IHBkTSP7ZPwrmcWEifv4LBQIn9DsA4bB2NhtkXQVWLfS1f7xtMWJv72L0Zc&#10;89f3hHp516bPAAAA//8DAFBLAwQUAAYACAAAACEAUEK22d0AAAAJAQAADwAAAGRycy9kb3ducmV2&#10;LnhtbEyPzWrDMBCE74W+g9hCbomcpHUS13IIhkJPpfl5ANneWibSyliK4759t6f2NssMM9/m+8lZ&#10;MeIQOk8KlosEBFLtm45aBZfz23wLIkRNjbaeUME3BtgXjw+5zhp/pyOOp9gKLqGQaQUmxj6TMtQG&#10;nQ4L3yOx9+UHpyOfQyubQd+53Fm5SpJUOt0RLxjdY2mwvp5ujkfkaLvLhx+vu81hXb2b8vy5K5Wa&#10;PU2HVxARp/gXhl98RoeCmSp/oyYIq+Bls1xzVMH8OQXBgW2asqhYsCGLXP7/oPgBAAD//wMAUEsB&#10;Ai0AFAAGAAgAAAAhALaDOJL+AAAA4QEAABMAAAAAAAAAAAAAAAAAAAAAAFtDb250ZW50X1R5cGVz&#10;XS54bWxQSwECLQAUAAYACAAAACEAOP0h/9YAAACUAQAACwAAAAAAAAAAAAAAAAAvAQAAX3JlbHMv&#10;LnJlbHNQSwECLQAUAAYACAAAACEAv1lTeGMCAAAfBQAADgAAAAAAAAAAAAAAAAAuAgAAZHJzL2Uy&#10;b0RvYy54bWxQSwECLQAUAAYACAAAACEAUEK22d0AAAAJAQAADwAAAAAAAAAAAAAAAAC9BAAAZHJz&#10;L2Rvd25yZXYueG1sUEsFBgAAAAAEAAQA8wAAAMcFAAAAAA==&#10;" fillcolor="#9bbb59 [3206]" strokecolor="white [3201]" strokeweight="3pt">
              <v:shadow on="t" color="black" opacity="24903f" origin=",.5" offset="0,.55556mm"/>
              <v:path arrowok="t"/>
              <v:textbox>
                <w:txbxContent>
                  <w:p w14:paraId="5CBB206D"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11D7E70B"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000000">
      <w:rPr>
        <w:noProof/>
        <w:lang w:val="id-ID"/>
      </w:rPr>
      <w:pict w14:anchorId="2A5032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1037"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eastAsia="en-US"/>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1612815027" name="Picture 1612815027"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61BDAE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1435079528" name="Picture 143507952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62D09BFF" w14:textId="77777777" w:rsidR="004F32EE" w:rsidRPr="005A60CA" w:rsidRDefault="00000000" w:rsidP="004F32EE">
    <w:pPr>
      <w:spacing w:after="0" w:line="240" w:lineRule="auto"/>
      <w:contextualSpacing/>
      <w:jc w:val="center"/>
      <w:rPr>
        <w:rFonts w:ascii="Century Gothic" w:hAnsi="Century Gothic"/>
        <w:b/>
        <w:lang w:val="id-ID"/>
      </w:rPr>
    </w:pPr>
    <w:r>
      <w:rPr>
        <w:noProof/>
        <w:lang w:val="id-ID"/>
      </w:rPr>
      <w:pict w14:anchorId="44CACBF0">
        <v:shape id="_x0000_s1043"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14:paraId="77FD652B" w14:textId="77777777" w:rsidR="004F32EE" w:rsidRDefault="00000000" w:rsidP="004F32EE">
    <w:pPr>
      <w:pStyle w:val="Header"/>
      <w:tabs>
        <w:tab w:val="clear" w:pos="4513"/>
        <w:tab w:val="clear" w:pos="9026"/>
        <w:tab w:val="left" w:pos="1977"/>
        <w:tab w:val="left" w:pos="4814"/>
      </w:tabs>
    </w:pPr>
    <w:r>
      <w:rPr>
        <w:noProof/>
        <w:lang w:val="id-ID"/>
      </w:rPr>
      <w:pict w14:anchorId="32FE9E44">
        <v:shape id="_x0000_s1045"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w14:anchorId="6D0A55A4">
        <v:shape id="_x0000_s1044"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14:paraId="4F1F132A" w14:textId="77777777" w:rsidR="0082181C"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eastAsia="en-US"/>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16901AF"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RinwEAAIsDAAAOAAAAZHJzL2Uyb0RvYy54bWysU8tu2zAQvBfoPxC815JdJ0gFyznYaC9F&#10;EqTpBzDU0iJKcgmSteS/z5K25aItcghyWfExs7szXK1uR2vYHkLU6Fo+n9WcgZPYabdr+c+nr59u&#10;OItJuE4YdNDyA0R+u/74YTX4BhbYo+kgMEriYjP4lvcp+aaqouzBijhDD44uFQYrEm3DruqCGCi7&#10;NdWirq+rAUPnA0qIkU63x0u+LvmVApnulYqQmGk59ZZKDCU+51itV6LZBeF7LU9tiDd0YYV2VHRK&#10;tRVJsN9B/5PKahkwokozibZCpbSEooHUzOu/1PzohYeihcyJfrIpvl9aebffuIdANgw+NtE/hKxi&#10;VMHmL/XHxmLWYTILxsQkHV5dffm8rJecSbq7vlkss5fVhetDTN8ALcuLlhvtshTRiP33mI7QM4R4&#10;l+pllQ4GMti4R1BMd1RvUdhlMGBjAtsLetLu1/xUtiAzRWljJlL9OumEzTQowzIR568TJ3SpiC5N&#10;RKsdhv+R03huVR3xZ9VHrVn2M3aH8hbFDnrxYuhpOvNI/bkv9Ms/tH4BAAD//wMAUEsDBBQABgAI&#10;AAAAIQAJTEAg3QAAAAgBAAAPAAAAZHJzL2Rvd25yZXYueG1sTI9BT8MwDIXvSPyHyEhc0JaOwVpK&#10;0wkhOCDtwkCcs8YkFY1TNdka/j3mBDfb7+n5e802+0GccIp9IAWrZQECqQumJ6vg/e15UYGISZPR&#10;QyBU8I0Rtu35WaNrE2Z6xdM+WcEhFGutwKU01lLGzqHXcRlGJNY+w+R14nWy0kx65nA/yOui2Eiv&#10;e+IPTo/46LD72h+9gi7LfOWejJ1t+WJ2OlYf8nan1OVFfrgHkTCnPzP84jM6tMx0CEcyUQwKFqsN&#10;OxWsyzUI1qvyjocDH6obkG0j/xdofwAAAP//AwBQSwECLQAUAAYACAAAACEAtoM4kv4AAADhAQAA&#10;EwAAAAAAAAAAAAAAAAAAAAAAW0NvbnRlbnRfVHlwZXNdLnhtbFBLAQItABQABgAIAAAAIQA4/SH/&#10;1gAAAJQBAAALAAAAAAAAAAAAAAAAAC8BAABfcmVscy8ucmVsc1BLAQItABQABgAIAAAAIQAcl8Ri&#10;nwEAAIsDAAAOAAAAAAAAAAAAAAAAAC4CAABkcnMvZTJvRG9jLnhtbFBLAQItABQABgAIAAAAIQAJ&#10;TEAg3QAAAAgBAAAPAAAAAAAAAAAAAAAAAPkDAABkcnMvZG93bnJldi54bWxQSwUGAAAAAAQABADz&#10;AAAAAwU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9771" w14:textId="77777777" w:rsidR="004F32EE" w:rsidRDefault="00080E2E"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51A0675F"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14:paraId="11AA78AA"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DB18"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uTZgIAACYFAAAOAAAAZHJzL2Uyb0RvYy54bWysVN9v0zAQfkfif7D8TtN27WDR0ql0GkKq&#10;tokO7dl17DXC8Rn72qT89Ts7aVcGQgLx4pxz3/3+zpdXbW3YTvlQgS34aDDkTFkJZWWfCv714ebd&#10;B84CClsKA1YVfK8Cv5q9fXPZuFyNYQOmVJ6RExvyxhV8g+jyLAtyo2oRBuCUJaUGXwukq3/KSi8a&#10;8l6bbDwcnmcN+NJ5kCoE+nvdKfks+ddaSbzTOihkpuCUG6bTp3Mdz2x2KfInL9ymkn0a4h+yqEVl&#10;KejR1bVAwba++sVVXUkPATQOJNQZaF1JlWqgakbDV9WsNsKpVAs1J7hjm8L/cytvdyt37xm2H6Gl&#10;AaYigluC/BaoN1njQt5jYk9DHggdC221r+OXSmBkSL3dH/upWmQyersYn03PJ5xJ0k0n08n5NDY8&#10;e7F2PuAnBTWLQsE9zStlIHbLgB30AInBjD3k1KWREsK9UZ3yi9KsKinwWVdGJJFaGM92gsZvcNRH&#10;N5aQ0URXxhyN+tp/NhJSKotnvWGPj6YqketvjI8WKTJYPBrXlQX/55R1h+8nErqaY/nYrlsqOo6O&#10;ehP/rKHc00Q9dGQPTt5U1N2lCHgvPLGbZkUbi3d0aANNwaGXONuA//G7/xFPpCMtZw1tS8HD963w&#10;ijPz2RIdL0aTSVyvdJlM34/p4k8161ON3dYLoImM6G1wMokRj+Ygag/1Iy32PEYllbCSYhccD+IC&#10;ux2mh0Gq+TyBaKGcwKVdOXkgcuTOQ/sovOsJhkTNWzjslchf8azDxvlYmG8RdJVI+NLVvv+0jInG&#10;/cMRt/30nlAvz9vsGQAA//8DAFBLAwQUAAYACAAAACEACwqb2N0AAAAJAQAADwAAAGRycy9kb3du&#10;cmV2LnhtbEyPy2rDMBBF94X+g5hCd4mcR+PEtRyCodBVaR4fIFtTy8QaGUtx3L/vdNXuZriH+8j3&#10;k+vEiENoPSlYzBMQSLU3LTUKLue32RZEiJqM7jyhgm8MsC8eH3KdGX+nI46n2Ag2oZBpBTbGPpMy&#10;1BadDnPfI7H25QenI79DI82g72zuOrlMko10uiVOsLrH0mJ9Pd0ch8ixay8ffrzu0sOqerfl+XNX&#10;KvX8NB1eQUSc4h8Mv/W5OhTcqfI3MkF0Cl7SxYpRBbP1BgQD23S9BFHxwYIscvl/QfEDAAD//wMA&#10;UEsBAi0AFAAGAAgAAAAhALaDOJL+AAAA4QEAABMAAAAAAAAAAAAAAAAAAAAAAFtDb250ZW50X1R5&#10;cGVzXS54bWxQSwECLQAUAAYACAAAACEAOP0h/9YAAACUAQAACwAAAAAAAAAAAAAAAAAvAQAAX3Jl&#10;bHMvLnJlbHNQSwECLQAUAAYACAAAACEAj59rk2YCAAAmBQAADgAAAAAAAAAAAAAAAAAuAgAAZHJz&#10;L2Uyb0RvYy54bWxQSwECLQAUAAYACAAAACEACwqb2N0AAAAJAQAADwAAAAAAAAAAAAAAAADABAAA&#10;ZHJzL2Rvd25yZXYueG1sUEsFBgAAAAAEAAQA8wAAAMoFAAAAAA==&#10;" fillcolor="#9bbb59 [3206]" strokecolor="white [3201]" strokeweight="3pt">
              <v:shadow on="t" color="black" opacity="24903f" origin=",.5" offset="0,.55556mm"/>
              <v:path arrowok="t"/>
              <v:textbox>
                <w:txbxContent>
                  <w:p w14:paraId="51A0675F"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14:paraId="11AA78AA"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eastAsia="en-US"/>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703729335" name="Picture 1703729335"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408464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482164388" name="Picture 148216438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5303A8FC" w14:textId="77777777" w:rsidR="004F32EE" w:rsidRPr="005A60CA" w:rsidRDefault="00000000" w:rsidP="004F32EE">
    <w:pPr>
      <w:spacing w:after="0" w:line="240" w:lineRule="auto"/>
      <w:contextualSpacing/>
      <w:jc w:val="center"/>
      <w:rPr>
        <w:rFonts w:ascii="Century Gothic" w:hAnsi="Century Gothic"/>
        <w:b/>
        <w:lang w:val="id-ID"/>
      </w:rPr>
    </w:pPr>
    <w:r>
      <w:rPr>
        <w:noProof/>
        <w:lang w:val="id-ID"/>
      </w:rPr>
      <w:pict w14:anchorId="32140A57">
        <v:shape id="_x0000_s1039"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14:paraId="4E76AAB5" w14:textId="77777777" w:rsidR="004F32EE" w:rsidRDefault="00000000" w:rsidP="004F32EE">
    <w:pPr>
      <w:pStyle w:val="Header"/>
      <w:tabs>
        <w:tab w:val="clear" w:pos="4513"/>
        <w:tab w:val="clear" w:pos="9026"/>
        <w:tab w:val="left" w:pos="1977"/>
        <w:tab w:val="left" w:pos="4814"/>
      </w:tabs>
    </w:pPr>
    <w:r>
      <w:rPr>
        <w:noProof/>
        <w:lang w:val="id-ID"/>
      </w:rPr>
      <w:pict w14:anchorId="45DD6D64">
        <v:shape id="_x0000_s1041"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w14:anchorId="5ABA8199">
        <v:shape id="_x0000_s1040"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14:paraId="397FAF75" w14:textId="77777777" w:rsidR="009F2384" w:rsidRPr="004F32EE" w:rsidRDefault="00785D12" w:rsidP="009C0B64">
    <w:pPr>
      <w:pStyle w:val="Header"/>
      <w:tabs>
        <w:tab w:val="clear" w:pos="4513"/>
        <w:tab w:val="clear" w:pos="9026"/>
        <w:tab w:val="left" w:pos="5889"/>
      </w:tabs>
      <w:rPr>
        <w:lang w:val="id-ID"/>
      </w:rPr>
    </w:pPr>
    <w:r>
      <w:rPr>
        <w:noProof/>
        <w:lang w:eastAsia="en-US"/>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1485DDB"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77nwEAAIsDAAAOAAAAZHJzL2Uyb0RvYy54bWysU8tu2zAQvBfoPxC815LcxEgFyzkkaC5F&#10;G7TJBzDU0iJCcgmSteS/75K25aINcghyWfExs7szXK2vJ2vYDkLU6DreLGrOwEnstdt2/PHh66cr&#10;zmISrhcGHXR8D5Ffbz5+WI++hSUOaHoIjJK42I6+40NKvq2qKAewIi7Qg6NLhcGKRNuwrfogRspu&#10;TbWs61U1Yuh9QAkx0unt4ZJvSn6lQKYfSkVIzHScekslhhKfcqw2a9Fug/CDlsc2xBu6sEI7Kjqn&#10;uhVJsN9B/5fKahkwokoLibZCpbSEooHUNPU/an4NwkPRQuZEP9sU3y+t/L67cfeBbBh9bKO/D1nF&#10;pILNX+qPTcWs/WwWTIlJOry8bD6vvqw4k3S3ulpeZC+rM9eHmO4ALcuLjhvtshTRit23mA7QE4R4&#10;5+pllfYGMti4n6CY7qnesrDLYMCNCWwn6En75+ZYtiAzRWljZlL9OumIzTQowzITm9eJM7pURJdm&#10;otUOw0vkNJ1aVQf8SfVBa5b9hP2+vEWxg168GHqczjxSf+8L/fwPbf4AAAD//wMAUEsDBBQABgAI&#10;AAAAIQCDeMJN3AAAAAcBAAAPAAAAZHJzL2Rvd25yZXYueG1sTI/BTsMwEETvSPyDtUhcEHUKpQkh&#10;ToUQHJB6oSDObrzYEfE6it3G/D3LiR5nZzTzttlkP4gjTrEPpGC5KEAgdcH0ZBV8vL9cVyBi0mT0&#10;EAgV/GCETXt+1ujahJne8LhLVnAJxVorcCmNtZSxc+h1XIQRib2vMHmdWE5WmknPXO4HeVMUa+l1&#10;T7zg9IhPDrvv3cEr6LLMV+7Z2NmWr2arY/Up77ZKXV7kxwcQCXP6D8MfPqNDy0z7cCATxaBgveKg&#10;gtuKP2K7KlcliD0f7pcg20ae8re/AAAA//8DAFBLAQItABQABgAIAAAAIQC2gziS/gAAAOEBAAAT&#10;AAAAAAAAAAAAAAAAAAAAAABbQ29udGVudF9UeXBlc10ueG1sUEsBAi0AFAAGAAgAAAAhADj9If/W&#10;AAAAlAEAAAsAAAAAAAAAAAAAAAAALwEAAF9yZWxzLy5yZWxzUEsBAi0AFAAGAAgAAAAhAPqc/vuf&#10;AQAAiwMAAA4AAAAAAAAAAAAAAAAALgIAAGRycy9lMm9Eb2MueG1sUEsBAi0AFAAGAAgAAAAhAIN4&#10;wk3cAAAABwEAAA8AAAAAAAAAAAAAAAAA+QMAAGRycy9kb3ducmV2LnhtbFBLBQYAAAAABAAEAPMA&#10;AAAC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6" w15:restartNumberingAfterBreak="0">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2" w15:restartNumberingAfterBreak="0">
    <w:nsid w:val="401E7A01"/>
    <w:multiLevelType w:val="multilevel"/>
    <w:tmpl w:val="A5A4FD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AD6331"/>
    <w:multiLevelType w:val="hybridMultilevel"/>
    <w:tmpl w:val="A1585B66"/>
    <w:lvl w:ilvl="0" w:tplc="F63E6AE0">
      <w:start w:val="1"/>
      <w:numFmt w:val="decimal"/>
      <w:lvlText w:val="%1."/>
      <w:lvlJc w:val="left"/>
      <w:pPr>
        <w:ind w:left="720" w:hanging="360"/>
      </w:pPr>
      <w:rPr>
        <w:rFonts w:eastAsia="Calibri" w:cs="Times New Roman"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6F21355"/>
    <w:multiLevelType w:val="hybridMultilevel"/>
    <w:tmpl w:val="9BEEA4C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89736788">
    <w:abstractNumId w:val="16"/>
  </w:num>
  <w:num w:numId="2" w16cid:durableId="522476097">
    <w:abstractNumId w:val="13"/>
  </w:num>
  <w:num w:numId="3" w16cid:durableId="2015258774">
    <w:abstractNumId w:val="0"/>
  </w:num>
  <w:num w:numId="4" w16cid:durableId="1518350313">
    <w:abstractNumId w:val="5"/>
  </w:num>
  <w:num w:numId="5" w16cid:durableId="235020911">
    <w:abstractNumId w:val="1"/>
  </w:num>
  <w:num w:numId="6" w16cid:durableId="1592812689">
    <w:abstractNumId w:val="11"/>
  </w:num>
  <w:num w:numId="7" w16cid:durableId="1409423541">
    <w:abstractNumId w:val="3"/>
  </w:num>
  <w:num w:numId="8" w16cid:durableId="222833797">
    <w:abstractNumId w:val="14"/>
  </w:num>
  <w:num w:numId="9" w16cid:durableId="683476222">
    <w:abstractNumId w:val="9"/>
  </w:num>
  <w:num w:numId="10" w16cid:durableId="494684040">
    <w:abstractNumId w:val="7"/>
  </w:num>
  <w:num w:numId="11" w16cid:durableId="1433476157">
    <w:abstractNumId w:val="6"/>
  </w:num>
  <w:num w:numId="12" w16cid:durableId="1693342591">
    <w:abstractNumId w:val="17"/>
  </w:num>
  <w:num w:numId="13" w16cid:durableId="1210412337">
    <w:abstractNumId w:val="8"/>
  </w:num>
  <w:num w:numId="14" w16cid:durableId="840513559">
    <w:abstractNumId w:val="2"/>
  </w:num>
  <w:num w:numId="15" w16cid:durableId="1878198774">
    <w:abstractNumId w:val="10"/>
  </w:num>
  <w:num w:numId="16" w16cid:durableId="1825509364">
    <w:abstractNumId w:val="4"/>
  </w:num>
  <w:num w:numId="17" w16cid:durableId="1591356524">
    <w:abstractNumId w:val="20"/>
  </w:num>
  <w:num w:numId="18" w16cid:durableId="2095276600">
    <w:abstractNumId w:val="19"/>
  </w:num>
  <w:num w:numId="19" w16cid:durableId="1948855315">
    <w:abstractNumId w:val="12"/>
  </w:num>
  <w:num w:numId="20" w16cid:durableId="20622901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72736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34AD"/>
    <w:rsid w:val="00014590"/>
    <w:rsid w:val="000203D2"/>
    <w:rsid w:val="00021F3A"/>
    <w:rsid w:val="000224E3"/>
    <w:rsid w:val="00022E43"/>
    <w:rsid w:val="000234E2"/>
    <w:rsid w:val="00023769"/>
    <w:rsid w:val="00024C32"/>
    <w:rsid w:val="000251FE"/>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86095"/>
    <w:rsid w:val="000867D7"/>
    <w:rsid w:val="00091403"/>
    <w:rsid w:val="00093F6B"/>
    <w:rsid w:val="00094108"/>
    <w:rsid w:val="00094B5E"/>
    <w:rsid w:val="00095A80"/>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2885"/>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A6B"/>
    <w:rsid w:val="000F4D45"/>
    <w:rsid w:val="000F56F8"/>
    <w:rsid w:val="000F5F45"/>
    <w:rsid w:val="000F68C5"/>
    <w:rsid w:val="000F6E61"/>
    <w:rsid w:val="000F7EDD"/>
    <w:rsid w:val="00100EFF"/>
    <w:rsid w:val="0010165C"/>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76B2"/>
    <w:rsid w:val="00127E2D"/>
    <w:rsid w:val="001310DC"/>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6D88"/>
    <w:rsid w:val="001470F3"/>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3F7B"/>
    <w:rsid w:val="00174ED1"/>
    <w:rsid w:val="00175302"/>
    <w:rsid w:val="00175477"/>
    <w:rsid w:val="00176F48"/>
    <w:rsid w:val="00180CA6"/>
    <w:rsid w:val="00181440"/>
    <w:rsid w:val="001814B9"/>
    <w:rsid w:val="00181E28"/>
    <w:rsid w:val="00183B91"/>
    <w:rsid w:val="00184C88"/>
    <w:rsid w:val="00184DCC"/>
    <w:rsid w:val="0018510F"/>
    <w:rsid w:val="00186234"/>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C15"/>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490"/>
    <w:rsid w:val="001C6CD2"/>
    <w:rsid w:val="001C735F"/>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7E7"/>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807"/>
    <w:rsid w:val="002D59F6"/>
    <w:rsid w:val="002D6F73"/>
    <w:rsid w:val="002D75A9"/>
    <w:rsid w:val="002D7BA4"/>
    <w:rsid w:val="002E0202"/>
    <w:rsid w:val="002E42F0"/>
    <w:rsid w:val="002E4A3C"/>
    <w:rsid w:val="002E4DDF"/>
    <w:rsid w:val="002E505A"/>
    <w:rsid w:val="002E79E8"/>
    <w:rsid w:val="002E7D1A"/>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75C"/>
    <w:rsid w:val="00367D85"/>
    <w:rsid w:val="00370DA2"/>
    <w:rsid w:val="00371A39"/>
    <w:rsid w:val="00371A42"/>
    <w:rsid w:val="00371E99"/>
    <w:rsid w:val="003720F7"/>
    <w:rsid w:val="003731BE"/>
    <w:rsid w:val="00373F14"/>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5FA2"/>
    <w:rsid w:val="00396922"/>
    <w:rsid w:val="00396FEF"/>
    <w:rsid w:val="00397560"/>
    <w:rsid w:val="0039766F"/>
    <w:rsid w:val="00397E2A"/>
    <w:rsid w:val="003A0DF5"/>
    <w:rsid w:val="003A2069"/>
    <w:rsid w:val="003A3CE6"/>
    <w:rsid w:val="003A59DA"/>
    <w:rsid w:val="003A7033"/>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4E42"/>
    <w:rsid w:val="003C51D5"/>
    <w:rsid w:val="003C685B"/>
    <w:rsid w:val="003C74ED"/>
    <w:rsid w:val="003C7BBB"/>
    <w:rsid w:val="003C7D7E"/>
    <w:rsid w:val="003D04A3"/>
    <w:rsid w:val="003D11EA"/>
    <w:rsid w:val="003D2A5F"/>
    <w:rsid w:val="003D2CDA"/>
    <w:rsid w:val="003D405E"/>
    <w:rsid w:val="003D41F8"/>
    <w:rsid w:val="003D42C8"/>
    <w:rsid w:val="003D74E1"/>
    <w:rsid w:val="003D754F"/>
    <w:rsid w:val="003D78F7"/>
    <w:rsid w:val="003D7FBD"/>
    <w:rsid w:val="003E0692"/>
    <w:rsid w:val="003E1263"/>
    <w:rsid w:val="003E49A8"/>
    <w:rsid w:val="003E5367"/>
    <w:rsid w:val="003E69C1"/>
    <w:rsid w:val="003E7586"/>
    <w:rsid w:val="003E7F5A"/>
    <w:rsid w:val="003F0BF2"/>
    <w:rsid w:val="003F0F4C"/>
    <w:rsid w:val="003F17AF"/>
    <w:rsid w:val="003F232C"/>
    <w:rsid w:val="003F30F0"/>
    <w:rsid w:val="003F452B"/>
    <w:rsid w:val="003F4D3C"/>
    <w:rsid w:val="003F6C8B"/>
    <w:rsid w:val="003F72BA"/>
    <w:rsid w:val="00400DB5"/>
    <w:rsid w:val="00403718"/>
    <w:rsid w:val="00406A24"/>
    <w:rsid w:val="0040721D"/>
    <w:rsid w:val="004079FB"/>
    <w:rsid w:val="00407CD8"/>
    <w:rsid w:val="004102AA"/>
    <w:rsid w:val="00410717"/>
    <w:rsid w:val="00410EF6"/>
    <w:rsid w:val="00411DD0"/>
    <w:rsid w:val="00412375"/>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010A"/>
    <w:rsid w:val="0043015D"/>
    <w:rsid w:val="00432330"/>
    <w:rsid w:val="004325B3"/>
    <w:rsid w:val="00434E1A"/>
    <w:rsid w:val="004367F7"/>
    <w:rsid w:val="00436D37"/>
    <w:rsid w:val="004412C7"/>
    <w:rsid w:val="004414B9"/>
    <w:rsid w:val="00442CE3"/>
    <w:rsid w:val="0044357E"/>
    <w:rsid w:val="00443B0F"/>
    <w:rsid w:val="004442F0"/>
    <w:rsid w:val="004448BC"/>
    <w:rsid w:val="00445487"/>
    <w:rsid w:val="00445DBF"/>
    <w:rsid w:val="00445FF2"/>
    <w:rsid w:val="0044624F"/>
    <w:rsid w:val="0044656E"/>
    <w:rsid w:val="00450870"/>
    <w:rsid w:val="0045192A"/>
    <w:rsid w:val="0045233A"/>
    <w:rsid w:val="004526A8"/>
    <w:rsid w:val="00452757"/>
    <w:rsid w:val="00452882"/>
    <w:rsid w:val="00452B07"/>
    <w:rsid w:val="00453C33"/>
    <w:rsid w:val="00453E6C"/>
    <w:rsid w:val="00455432"/>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94B"/>
    <w:rsid w:val="00474F04"/>
    <w:rsid w:val="00475E71"/>
    <w:rsid w:val="00476139"/>
    <w:rsid w:val="0047691D"/>
    <w:rsid w:val="00476C47"/>
    <w:rsid w:val="0047717E"/>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50B8"/>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2C45"/>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4D2E"/>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6593"/>
    <w:rsid w:val="00586B96"/>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1F47"/>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76D"/>
    <w:rsid w:val="005D1967"/>
    <w:rsid w:val="005D2A07"/>
    <w:rsid w:val="005D2BB4"/>
    <w:rsid w:val="005D360B"/>
    <w:rsid w:val="005D36D8"/>
    <w:rsid w:val="005D3A67"/>
    <w:rsid w:val="005D4426"/>
    <w:rsid w:val="005D6BD7"/>
    <w:rsid w:val="005D6C80"/>
    <w:rsid w:val="005D7641"/>
    <w:rsid w:val="005E2B94"/>
    <w:rsid w:val="005E2FE1"/>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3EA5"/>
    <w:rsid w:val="0062451E"/>
    <w:rsid w:val="006247CC"/>
    <w:rsid w:val="006250E1"/>
    <w:rsid w:val="00625CB9"/>
    <w:rsid w:val="00627008"/>
    <w:rsid w:val="006277A6"/>
    <w:rsid w:val="0063027D"/>
    <w:rsid w:val="00632DEC"/>
    <w:rsid w:val="006344A2"/>
    <w:rsid w:val="00634815"/>
    <w:rsid w:val="00635048"/>
    <w:rsid w:val="0063765E"/>
    <w:rsid w:val="006376D2"/>
    <w:rsid w:val="00640C26"/>
    <w:rsid w:val="00640F3A"/>
    <w:rsid w:val="00641830"/>
    <w:rsid w:val="00642B79"/>
    <w:rsid w:val="00643086"/>
    <w:rsid w:val="0064374B"/>
    <w:rsid w:val="00644BDC"/>
    <w:rsid w:val="00644F8B"/>
    <w:rsid w:val="0064510E"/>
    <w:rsid w:val="0064649A"/>
    <w:rsid w:val="0064693E"/>
    <w:rsid w:val="00646B9D"/>
    <w:rsid w:val="00647256"/>
    <w:rsid w:val="006502E8"/>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2E0C"/>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6F98"/>
    <w:rsid w:val="006D7CB1"/>
    <w:rsid w:val="006E0475"/>
    <w:rsid w:val="006E049A"/>
    <w:rsid w:val="006E0ED8"/>
    <w:rsid w:val="006E0F70"/>
    <w:rsid w:val="006E2309"/>
    <w:rsid w:val="006E4F99"/>
    <w:rsid w:val="006E54CB"/>
    <w:rsid w:val="006E59F1"/>
    <w:rsid w:val="006E61CC"/>
    <w:rsid w:val="006E65BB"/>
    <w:rsid w:val="006E7137"/>
    <w:rsid w:val="006F01AD"/>
    <w:rsid w:val="006F0ECB"/>
    <w:rsid w:val="006F3728"/>
    <w:rsid w:val="006F3D16"/>
    <w:rsid w:val="006F424F"/>
    <w:rsid w:val="006F4327"/>
    <w:rsid w:val="006F55FD"/>
    <w:rsid w:val="006F5788"/>
    <w:rsid w:val="006F622A"/>
    <w:rsid w:val="0070014D"/>
    <w:rsid w:val="007002B6"/>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5976"/>
    <w:rsid w:val="0074649D"/>
    <w:rsid w:val="00746F7D"/>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033"/>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874CA"/>
    <w:rsid w:val="00790DC9"/>
    <w:rsid w:val="00791329"/>
    <w:rsid w:val="0079157A"/>
    <w:rsid w:val="007919F3"/>
    <w:rsid w:val="007952DE"/>
    <w:rsid w:val="007954C2"/>
    <w:rsid w:val="00795F38"/>
    <w:rsid w:val="00796B26"/>
    <w:rsid w:val="0079745C"/>
    <w:rsid w:val="00797536"/>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B5C"/>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252"/>
    <w:rsid w:val="007F3ABA"/>
    <w:rsid w:val="007F3B6E"/>
    <w:rsid w:val="007F3C5B"/>
    <w:rsid w:val="007F3D49"/>
    <w:rsid w:val="007F5226"/>
    <w:rsid w:val="007F6872"/>
    <w:rsid w:val="00800270"/>
    <w:rsid w:val="008002BB"/>
    <w:rsid w:val="00800EEC"/>
    <w:rsid w:val="0080172B"/>
    <w:rsid w:val="008033DF"/>
    <w:rsid w:val="00803FA7"/>
    <w:rsid w:val="00804CB3"/>
    <w:rsid w:val="00806137"/>
    <w:rsid w:val="00806E6C"/>
    <w:rsid w:val="008101B3"/>
    <w:rsid w:val="0081038E"/>
    <w:rsid w:val="00810C30"/>
    <w:rsid w:val="00811D86"/>
    <w:rsid w:val="0081248D"/>
    <w:rsid w:val="008132F8"/>
    <w:rsid w:val="00813FE2"/>
    <w:rsid w:val="0081443E"/>
    <w:rsid w:val="0081524E"/>
    <w:rsid w:val="008153BA"/>
    <w:rsid w:val="00815888"/>
    <w:rsid w:val="00815C1A"/>
    <w:rsid w:val="0081760C"/>
    <w:rsid w:val="00817FC1"/>
    <w:rsid w:val="0082151C"/>
    <w:rsid w:val="0082181C"/>
    <w:rsid w:val="00822142"/>
    <w:rsid w:val="00822262"/>
    <w:rsid w:val="0082237B"/>
    <w:rsid w:val="00824089"/>
    <w:rsid w:val="0082531E"/>
    <w:rsid w:val="008253A1"/>
    <w:rsid w:val="00826C59"/>
    <w:rsid w:val="00827442"/>
    <w:rsid w:val="0083080A"/>
    <w:rsid w:val="0083140A"/>
    <w:rsid w:val="008348AC"/>
    <w:rsid w:val="00837D77"/>
    <w:rsid w:val="00837FCF"/>
    <w:rsid w:val="00840B64"/>
    <w:rsid w:val="00840F2A"/>
    <w:rsid w:val="008417DC"/>
    <w:rsid w:val="008421AE"/>
    <w:rsid w:val="0084366A"/>
    <w:rsid w:val="00843A53"/>
    <w:rsid w:val="00845977"/>
    <w:rsid w:val="00846F7D"/>
    <w:rsid w:val="008470F4"/>
    <w:rsid w:val="008507ED"/>
    <w:rsid w:val="0085238D"/>
    <w:rsid w:val="00853576"/>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B99"/>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040C"/>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2D40"/>
    <w:rsid w:val="008F308E"/>
    <w:rsid w:val="008F333D"/>
    <w:rsid w:val="008F3953"/>
    <w:rsid w:val="008F467A"/>
    <w:rsid w:val="008F6AAE"/>
    <w:rsid w:val="008F72E9"/>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57673"/>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85FC7"/>
    <w:rsid w:val="00991104"/>
    <w:rsid w:val="00991A2C"/>
    <w:rsid w:val="00992167"/>
    <w:rsid w:val="00992554"/>
    <w:rsid w:val="009926EC"/>
    <w:rsid w:val="00994AC8"/>
    <w:rsid w:val="00994EE2"/>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2EFB"/>
    <w:rsid w:val="009B3B0B"/>
    <w:rsid w:val="009B3C62"/>
    <w:rsid w:val="009B5916"/>
    <w:rsid w:val="009B5AB0"/>
    <w:rsid w:val="009B677C"/>
    <w:rsid w:val="009B69DC"/>
    <w:rsid w:val="009B79C1"/>
    <w:rsid w:val="009C096A"/>
    <w:rsid w:val="009C0B64"/>
    <w:rsid w:val="009C169A"/>
    <w:rsid w:val="009C19DF"/>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9B4"/>
    <w:rsid w:val="009F0F92"/>
    <w:rsid w:val="009F1A92"/>
    <w:rsid w:val="009F2384"/>
    <w:rsid w:val="009F2616"/>
    <w:rsid w:val="009F33C0"/>
    <w:rsid w:val="009F3AF8"/>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6EC9"/>
    <w:rsid w:val="00A31F8E"/>
    <w:rsid w:val="00A3446C"/>
    <w:rsid w:val="00A34E68"/>
    <w:rsid w:val="00A34E6D"/>
    <w:rsid w:val="00A36099"/>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0A61"/>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CCB"/>
    <w:rsid w:val="00A72F89"/>
    <w:rsid w:val="00A740A0"/>
    <w:rsid w:val="00A743A4"/>
    <w:rsid w:val="00A74D89"/>
    <w:rsid w:val="00A75511"/>
    <w:rsid w:val="00A75792"/>
    <w:rsid w:val="00A76BD7"/>
    <w:rsid w:val="00A77896"/>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16B"/>
    <w:rsid w:val="00B122C1"/>
    <w:rsid w:val="00B124DA"/>
    <w:rsid w:val="00B1371E"/>
    <w:rsid w:val="00B14013"/>
    <w:rsid w:val="00B15797"/>
    <w:rsid w:val="00B15B54"/>
    <w:rsid w:val="00B17479"/>
    <w:rsid w:val="00B17AFC"/>
    <w:rsid w:val="00B201AB"/>
    <w:rsid w:val="00B2036E"/>
    <w:rsid w:val="00B20AB0"/>
    <w:rsid w:val="00B20B7B"/>
    <w:rsid w:val="00B213B4"/>
    <w:rsid w:val="00B252B9"/>
    <w:rsid w:val="00B25E32"/>
    <w:rsid w:val="00B26861"/>
    <w:rsid w:val="00B27694"/>
    <w:rsid w:val="00B277F5"/>
    <w:rsid w:val="00B30B48"/>
    <w:rsid w:val="00B317C6"/>
    <w:rsid w:val="00B31FC8"/>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337"/>
    <w:rsid w:val="00B463B4"/>
    <w:rsid w:val="00B47284"/>
    <w:rsid w:val="00B47A16"/>
    <w:rsid w:val="00B51A5F"/>
    <w:rsid w:val="00B51B29"/>
    <w:rsid w:val="00B5386E"/>
    <w:rsid w:val="00B54058"/>
    <w:rsid w:val="00B54E1B"/>
    <w:rsid w:val="00B55157"/>
    <w:rsid w:val="00B55167"/>
    <w:rsid w:val="00B563F3"/>
    <w:rsid w:val="00B56A24"/>
    <w:rsid w:val="00B56DAF"/>
    <w:rsid w:val="00B60727"/>
    <w:rsid w:val="00B6239D"/>
    <w:rsid w:val="00B623FA"/>
    <w:rsid w:val="00B62B11"/>
    <w:rsid w:val="00B62FA6"/>
    <w:rsid w:val="00B63A84"/>
    <w:rsid w:val="00B64E22"/>
    <w:rsid w:val="00B657E9"/>
    <w:rsid w:val="00B65D62"/>
    <w:rsid w:val="00B666BC"/>
    <w:rsid w:val="00B669E2"/>
    <w:rsid w:val="00B66A13"/>
    <w:rsid w:val="00B7038E"/>
    <w:rsid w:val="00B70505"/>
    <w:rsid w:val="00B70DE6"/>
    <w:rsid w:val="00B7116B"/>
    <w:rsid w:val="00B7148F"/>
    <w:rsid w:val="00B71A3B"/>
    <w:rsid w:val="00B72364"/>
    <w:rsid w:val="00B72558"/>
    <w:rsid w:val="00B74AE8"/>
    <w:rsid w:val="00B74B07"/>
    <w:rsid w:val="00B75588"/>
    <w:rsid w:val="00B758AF"/>
    <w:rsid w:val="00B76938"/>
    <w:rsid w:val="00B802A2"/>
    <w:rsid w:val="00B84A3C"/>
    <w:rsid w:val="00B84FA1"/>
    <w:rsid w:val="00B85928"/>
    <w:rsid w:val="00B85F17"/>
    <w:rsid w:val="00B86D31"/>
    <w:rsid w:val="00B876C7"/>
    <w:rsid w:val="00B90239"/>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B60"/>
    <w:rsid w:val="00BC2D69"/>
    <w:rsid w:val="00BC3CD8"/>
    <w:rsid w:val="00BC473C"/>
    <w:rsid w:val="00BC49AF"/>
    <w:rsid w:val="00BC5227"/>
    <w:rsid w:val="00BC54E3"/>
    <w:rsid w:val="00BC5B21"/>
    <w:rsid w:val="00BC6084"/>
    <w:rsid w:val="00BD03AE"/>
    <w:rsid w:val="00BD5B08"/>
    <w:rsid w:val="00BD7840"/>
    <w:rsid w:val="00BD7E52"/>
    <w:rsid w:val="00BE055B"/>
    <w:rsid w:val="00BE24EB"/>
    <w:rsid w:val="00BE2E44"/>
    <w:rsid w:val="00BE3314"/>
    <w:rsid w:val="00BE51CE"/>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5FD"/>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2244"/>
    <w:rsid w:val="00C44DED"/>
    <w:rsid w:val="00C46070"/>
    <w:rsid w:val="00C46A7B"/>
    <w:rsid w:val="00C47B87"/>
    <w:rsid w:val="00C50D42"/>
    <w:rsid w:val="00C51581"/>
    <w:rsid w:val="00C51E1E"/>
    <w:rsid w:val="00C521C2"/>
    <w:rsid w:val="00C530D0"/>
    <w:rsid w:val="00C5439B"/>
    <w:rsid w:val="00C55817"/>
    <w:rsid w:val="00C55D19"/>
    <w:rsid w:val="00C567D3"/>
    <w:rsid w:val="00C569BE"/>
    <w:rsid w:val="00C57A6C"/>
    <w:rsid w:val="00C617A4"/>
    <w:rsid w:val="00C61AB8"/>
    <w:rsid w:val="00C62CCF"/>
    <w:rsid w:val="00C636E1"/>
    <w:rsid w:val="00C637B7"/>
    <w:rsid w:val="00C6407A"/>
    <w:rsid w:val="00C65CD5"/>
    <w:rsid w:val="00C671E9"/>
    <w:rsid w:val="00C675DE"/>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483"/>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6C0D"/>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385F"/>
    <w:rsid w:val="00D143CC"/>
    <w:rsid w:val="00D14820"/>
    <w:rsid w:val="00D148AF"/>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384F"/>
    <w:rsid w:val="00D544E4"/>
    <w:rsid w:val="00D55144"/>
    <w:rsid w:val="00D553E0"/>
    <w:rsid w:val="00D556D5"/>
    <w:rsid w:val="00D562BF"/>
    <w:rsid w:val="00D565E0"/>
    <w:rsid w:val="00D57AD4"/>
    <w:rsid w:val="00D60E29"/>
    <w:rsid w:val="00D61CFD"/>
    <w:rsid w:val="00D627F1"/>
    <w:rsid w:val="00D62B0C"/>
    <w:rsid w:val="00D62C6B"/>
    <w:rsid w:val="00D64B2F"/>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4B80"/>
    <w:rsid w:val="00D8588C"/>
    <w:rsid w:val="00D85ED9"/>
    <w:rsid w:val="00D86C72"/>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680"/>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303"/>
    <w:rsid w:val="00DF5B8A"/>
    <w:rsid w:val="00DF7437"/>
    <w:rsid w:val="00DF759A"/>
    <w:rsid w:val="00DF7718"/>
    <w:rsid w:val="00DF7FF3"/>
    <w:rsid w:val="00E016D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0932"/>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223"/>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48F"/>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0E89"/>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46B"/>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C64"/>
    <w:rsid w:val="00F123B7"/>
    <w:rsid w:val="00F13251"/>
    <w:rsid w:val="00F13642"/>
    <w:rsid w:val="00F13911"/>
    <w:rsid w:val="00F13CE9"/>
    <w:rsid w:val="00F143EB"/>
    <w:rsid w:val="00F1549D"/>
    <w:rsid w:val="00F17172"/>
    <w:rsid w:val="00F17571"/>
    <w:rsid w:val="00F17E7A"/>
    <w:rsid w:val="00F203DE"/>
    <w:rsid w:val="00F2131B"/>
    <w:rsid w:val="00F213AA"/>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262"/>
    <w:rsid w:val="00F44DDE"/>
    <w:rsid w:val="00F45693"/>
    <w:rsid w:val="00F459CA"/>
    <w:rsid w:val="00F4608D"/>
    <w:rsid w:val="00F463A0"/>
    <w:rsid w:val="00F4665C"/>
    <w:rsid w:val="00F46B81"/>
    <w:rsid w:val="00F516A2"/>
    <w:rsid w:val="00F52AB3"/>
    <w:rsid w:val="00F55B3D"/>
    <w:rsid w:val="00F55BB2"/>
    <w:rsid w:val="00F56FC7"/>
    <w:rsid w:val="00F57478"/>
    <w:rsid w:val="00F619E3"/>
    <w:rsid w:val="00F622DC"/>
    <w:rsid w:val="00F62CEB"/>
    <w:rsid w:val="00F6389A"/>
    <w:rsid w:val="00F640D8"/>
    <w:rsid w:val="00F64A01"/>
    <w:rsid w:val="00F6562A"/>
    <w:rsid w:val="00F67147"/>
    <w:rsid w:val="00F67313"/>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202"/>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6B1"/>
    <w:rsid w:val="00FD7892"/>
    <w:rsid w:val="00FD791B"/>
    <w:rsid w:val="00FE2454"/>
    <w:rsid w:val="00FE359A"/>
    <w:rsid w:val="00FE42A9"/>
    <w:rsid w:val="00FE43C5"/>
    <w:rsid w:val="00FE57D2"/>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885E"/>
  <w15:docId w15:val="{9D56A728-A133-4650-83D2-E7BF8DAC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character" w:styleId="CommentReference">
    <w:name w:val="annotation reference"/>
    <w:basedOn w:val="DefaultParagraphFont"/>
    <w:uiPriority w:val="99"/>
    <w:semiHidden/>
    <w:unhideWhenUsed/>
    <w:rsid w:val="00B76938"/>
    <w:rPr>
      <w:sz w:val="16"/>
      <w:szCs w:val="16"/>
    </w:rPr>
  </w:style>
  <w:style w:type="paragraph" w:styleId="CommentText">
    <w:name w:val="annotation text"/>
    <w:basedOn w:val="Normal"/>
    <w:link w:val="CommentTextChar"/>
    <w:uiPriority w:val="99"/>
    <w:unhideWhenUsed/>
    <w:rsid w:val="00B76938"/>
    <w:pPr>
      <w:spacing w:line="240" w:lineRule="auto"/>
    </w:pPr>
    <w:rPr>
      <w:sz w:val="20"/>
      <w:szCs w:val="20"/>
    </w:rPr>
  </w:style>
  <w:style w:type="character" w:customStyle="1" w:styleId="CommentTextChar">
    <w:name w:val="Comment Text Char"/>
    <w:basedOn w:val="DefaultParagraphFont"/>
    <w:link w:val="CommentText"/>
    <w:uiPriority w:val="99"/>
    <w:rsid w:val="00B76938"/>
    <w:rPr>
      <w:rFonts w:ascii="Calibri" w:eastAsia="Calibri" w:hAnsi="Calibri" w:cs="Calibri"/>
      <w:sz w:val="20"/>
      <w:szCs w:val="20"/>
      <w:lang w:val="en-US" w:eastAsia="id-ID"/>
    </w:rPr>
  </w:style>
  <w:style w:type="paragraph" w:styleId="CommentSubject">
    <w:name w:val="annotation subject"/>
    <w:basedOn w:val="CommentText"/>
    <w:next w:val="CommentText"/>
    <w:link w:val="CommentSubjectChar"/>
    <w:uiPriority w:val="99"/>
    <w:semiHidden/>
    <w:unhideWhenUsed/>
    <w:rsid w:val="00B76938"/>
    <w:rPr>
      <w:b/>
      <w:bCs/>
    </w:rPr>
  </w:style>
  <w:style w:type="character" w:customStyle="1" w:styleId="CommentSubjectChar">
    <w:name w:val="Comment Subject Char"/>
    <w:basedOn w:val="CommentTextChar"/>
    <w:link w:val="CommentSubject"/>
    <w:uiPriority w:val="99"/>
    <w:semiHidden/>
    <w:rsid w:val="00B76938"/>
    <w:rPr>
      <w:rFonts w:ascii="Calibri" w:eastAsia="Calibri" w:hAnsi="Calibri" w:cs="Calibri"/>
      <w:b/>
      <w:bCs/>
      <w:sz w:val="20"/>
      <w:szCs w:val="20"/>
      <w:lang w:val="en-US" w:eastAsia="id-ID"/>
    </w:rPr>
  </w:style>
  <w:style w:type="paragraph" w:customStyle="1" w:styleId="Default">
    <w:name w:val="Default"/>
    <w:rsid w:val="002A37E7"/>
    <w:pPr>
      <w:autoSpaceDE w:val="0"/>
      <w:autoSpaceDN w:val="0"/>
      <w:adjustRightInd w:val="0"/>
      <w:spacing w:after="0" w:line="240" w:lineRule="auto"/>
    </w:pPr>
    <w:rPr>
      <w:rFonts w:ascii="Book Antiqua" w:hAnsi="Book Antiqua" w:cs="Book Antiqua"/>
      <w:color w:val="000000"/>
      <w:sz w:val="24"/>
      <w:szCs w:val="24"/>
      <w:lang w:val="en-US"/>
    </w:rPr>
  </w:style>
  <w:style w:type="character" w:styleId="UnresolvedMention">
    <w:name w:val="Unresolved Mention"/>
    <w:basedOn w:val="DefaultParagraphFont"/>
    <w:uiPriority w:val="99"/>
    <w:semiHidden/>
    <w:unhideWhenUsed/>
    <w:rsid w:val="003F2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0365">
      <w:bodyDiv w:val="1"/>
      <w:marLeft w:val="0"/>
      <w:marRight w:val="0"/>
      <w:marTop w:val="0"/>
      <w:marBottom w:val="0"/>
      <w:divBdr>
        <w:top w:val="none" w:sz="0" w:space="0" w:color="auto"/>
        <w:left w:val="none" w:sz="0" w:space="0" w:color="auto"/>
        <w:bottom w:val="none" w:sz="0" w:space="0" w:color="auto"/>
        <w:right w:val="none" w:sz="0" w:space="0" w:color="auto"/>
      </w:divBdr>
    </w:div>
    <w:div w:id="269358464">
      <w:bodyDiv w:val="1"/>
      <w:marLeft w:val="0"/>
      <w:marRight w:val="0"/>
      <w:marTop w:val="0"/>
      <w:marBottom w:val="0"/>
      <w:divBdr>
        <w:top w:val="none" w:sz="0" w:space="0" w:color="auto"/>
        <w:left w:val="none" w:sz="0" w:space="0" w:color="auto"/>
        <w:bottom w:val="none" w:sz="0" w:space="0" w:color="auto"/>
        <w:right w:val="none" w:sz="0" w:space="0" w:color="auto"/>
      </w:divBdr>
      <w:divsChild>
        <w:div w:id="1913929229">
          <w:marLeft w:val="0"/>
          <w:marRight w:val="0"/>
          <w:marTop w:val="0"/>
          <w:marBottom w:val="0"/>
          <w:divBdr>
            <w:top w:val="none" w:sz="0" w:space="0" w:color="auto"/>
            <w:left w:val="none" w:sz="0" w:space="0" w:color="auto"/>
            <w:bottom w:val="none" w:sz="0" w:space="0" w:color="auto"/>
            <w:right w:val="none" w:sz="0" w:space="0" w:color="auto"/>
          </w:divBdr>
        </w:div>
      </w:divsChild>
    </w:div>
    <w:div w:id="472019277">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822234571">
      <w:bodyDiv w:val="1"/>
      <w:marLeft w:val="0"/>
      <w:marRight w:val="0"/>
      <w:marTop w:val="0"/>
      <w:marBottom w:val="0"/>
      <w:divBdr>
        <w:top w:val="none" w:sz="0" w:space="0" w:color="auto"/>
        <w:left w:val="none" w:sz="0" w:space="0" w:color="auto"/>
        <w:bottom w:val="none" w:sz="0" w:space="0" w:color="auto"/>
        <w:right w:val="none" w:sz="0" w:space="0" w:color="auto"/>
      </w:divBdr>
      <w:divsChild>
        <w:div w:id="389227872">
          <w:marLeft w:val="0"/>
          <w:marRight w:val="0"/>
          <w:marTop w:val="0"/>
          <w:marBottom w:val="0"/>
          <w:divBdr>
            <w:top w:val="none" w:sz="0" w:space="0" w:color="auto"/>
            <w:left w:val="none" w:sz="0" w:space="0" w:color="auto"/>
            <w:bottom w:val="none" w:sz="0" w:space="0" w:color="auto"/>
            <w:right w:val="none" w:sz="0" w:space="0" w:color="auto"/>
          </w:divBdr>
        </w:div>
        <w:div w:id="1880972903">
          <w:marLeft w:val="0"/>
          <w:marRight w:val="0"/>
          <w:marTop w:val="0"/>
          <w:marBottom w:val="0"/>
          <w:divBdr>
            <w:top w:val="none" w:sz="0" w:space="0" w:color="auto"/>
            <w:left w:val="none" w:sz="0" w:space="0" w:color="auto"/>
            <w:bottom w:val="none" w:sz="0" w:space="0" w:color="auto"/>
            <w:right w:val="none" w:sz="0" w:space="0" w:color="auto"/>
          </w:divBdr>
        </w:div>
      </w:divsChild>
    </w:div>
    <w:div w:id="1537697377">
      <w:bodyDiv w:val="1"/>
      <w:marLeft w:val="0"/>
      <w:marRight w:val="0"/>
      <w:marTop w:val="0"/>
      <w:marBottom w:val="0"/>
      <w:divBdr>
        <w:top w:val="none" w:sz="0" w:space="0" w:color="auto"/>
        <w:left w:val="none" w:sz="0" w:space="0" w:color="auto"/>
        <w:bottom w:val="none" w:sz="0" w:space="0" w:color="auto"/>
        <w:right w:val="none" w:sz="0" w:space="0" w:color="auto"/>
      </w:divBdr>
      <w:divsChild>
        <w:div w:id="847863283">
          <w:marLeft w:val="0"/>
          <w:marRight w:val="0"/>
          <w:marTop w:val="0"/>
          <w:marBottom w:val="0"/>
          <w:divBdr>
            <w:top w:val="none" w:sz="0" w:space="0" w:color="auto"/>
            <w:left w:val="none" w:sz="0" w:space="0" w:color="auto"/>
            <w:bottom w:val="none" w:sz="0" w:space="0" w:color="auto"/>
            <w:right w:val="none" w:sz="0" w:space="0" w:color="auto"/>
          </w:divBdr>
          <w:divsChild>
            <w:div w:id="772751764">
              <w:marLeft w:val="0"/>
              <w:marRight w:val="0"/>
              <w:marTop w:val="0"/>
              <w:marBottom w:val="0"/>
              <w:divBdr>
                <w:top w:val="none" w:sz="0" w:space="0" w:color="auto"/>
                <w:left w:val="none" w:sz="0" w:space="0" w:color="auto"/>
                <w:bottom w:val="none" w:sz="0" w:space="0" w:color="auto"/>
                <w:right w:val="none" w:sz="0" w:space="0" w:color="auto"/>
              </w:divBdr>
            </w:div>
            <w:div w:id="1940946619">
              <w:marLeft w:val="0"/>
              <w:marRight w:val="0"/>
              <w:marTop w:val="0"/>
              <w:marBottom w:val="0"/>
              <w:divBdr>
                <w:top w:val="none" w:sz="0" w:space="0" w:color="auto"/>
                <w:left w:val="none" w:sz="0" w:space="0" w:color="auto"/>
                <w:bottom w:val="none" w:sz="0" w:space="0" w:color="auto"/>
                <w:right w:val="none" w:sz="0" w:space="0" w:color="auto"/>
              </w:divBdr>
            </w:div>
            <w:div w:id="2046710132">
              <w:marLeft w:val="0"/>
              <w:marRight w:val="0"/>
              <w:marTop w:val="0"/>
              <w:marBottom w:val="0"/>
              <w:divBdr>
                <w:top w:val="none" w:sz="0" w:space="0" w:color="auto"/>
                <w:left w:val="none" w:sz="0" w:space="0" w:color="auto"/>
                <w:bottom w:val="none" w:sz="0" w:space="0" w:color="auto"/>
                <w:right w:val="none" w:sz="0" w:space="0" w:color="auto"/>
              </w:divBdr>
            </w:div>
            <w:div w:id="1755516225">
              <w:marLeft w:val="0"/>
              <w:marRight w:val="0"/>
              <w:marTop w:val="0"/>
              <w:marBottom w:val="0"/>
              <w:divBdr>
                <w:top w:val="none" w:sz="0" w:space="0" w:color="auto"/>
                <w:left w:val="none" w:sz="0" w:space="0" w:color="auto"/>
                <w:bottom w:val="none" w:sz="0" w:space="0" w:color="auto"/>
                <w:right w:val="none" w:sz="0" w:space="0" w:color="auto"/>
              </w:divBdr>
            </w:div>
            <w:div w:id="338236339">
              <w:marLeft w:val="0"/>
              <w:marRight w:val="0"/>
              <w:marTop w:val="0"/>
              <w:marBottom w:val="0"/>
              <w:divBdr>
                <w:top w:val="none" w:sz="0" w:space="0" w:color="auto"/>
                <w:left w:val="none" w:sz="0" w:space="0" w:color="auto"/>
                <w:bottom w:val="none" w:sz="0" w:space="0" w:color="auto"/>
                <w:right w:val="none" w:sz="0" w:space="0" w:color="auto"/>
              </w:divBdr>
            </w:div>
            <w:div w:id="1422874248">
              <w:marLeft w:val="0"/>
              <w:marRight w:val="0"/>
              <w:marTop w:val="0"/>
              <w:marBottom w:val="0"/>
              <w:divBdr>
                <w:top w:val="none" w:sz="0" w:space="0" w:color="auto"/>
                <w:left w:val="none" w:sz="0" w:space="0" w:color="auto"/>
                <w:bottom w:val="none" w:sz="0" w:space="0" w:color="auto"/>
                <w:right w:val="none" w:sz="0" w:space="0" w:color="auto"/>
              </w:divBdr>
            </w:div>
            <w:div w:id="1105804103">
              <w:marLeft w:val="0"/>
              <w:marRight w:val="0"/>
              <w:marTop w:val="0"/>
              <w:marBottom w:val="0"/>
              <w:divBdr>
                <w:top w:val="none" w:sz="0" w:space="0" w:color="auto"/>
                <w:left w:val="none" w:sz="0" w:space="0" w:color="auto"/>
                <w:bottom w:val="none" w:sz="0" w:space="0" w:color="auto"/>
                <w:right w:val="none" w:sz="0" w:space="0" w:color="auto"/>
              </w:divBdr>
            </w:div>
            <w:div w:id="645470623">
              <w:marLeft w:val="0"/>
              <w:marRight w:val="0"/>
              <w:marTop w:val="0"/>
              <w:marBottom w:val="0"/>
              <w:divBdr>
                <w:top w:val="none" w:sz="0" w:space="0" w:color="auto"/>
                <w:left w:val="none" w:sz="0" w:space="0" w:color="auto"/>
                <w:bottom w:val="none" w:sz="0" w:space="0" w:color="auto"/>
                <w:right w:val="none" w:sz="0" w:space="0" w:color="auto"/>
              </w:divBdr>
            </w:div>
            <w:div w:id="166017904">
              <w:marLeft w:val="0"/>
              <w:marRight w:val="0"/>
              <w:marTop w:val="0"/>
              <w:marBottom w:val="0"/>
              <w:divBdr>
                <w:top w:val="none" w:sz="0" w:space="0" w:color="auto"/>
                <w:left w:val="none" w:sz="0" w:space="0" w:color="auto"/>
                <w:bottom w:val="none" w:sz="0" w:space="0" w:color="auto"/>
                <w:right w:val="none" w:sz="0" w:space="0" w:color="auto"/>
              </w:divBdr>
            </w:div>
            <w:div w:id="1246183017">
              <w:marLeft w:val="0"/>
              <w:marRight w:val="0"/>
              <w:marTop w:val="0"/>
              <w:marBottom w:val="0"/>
              <w:divBdr>
                <w:top w:val="none" w:sz="0" w:space="0" w:color="auto"/>
                <w:left w:val="none" w:sz="0" w:space="0" w:color="auto"/>
                <w:bottom w:val="none" w:sz="0" w:space="0" w:color="auto"/>
                <w:right w:val="none" w:sz="0" w:space="0" w:color="auto"/>
              </w:divBdr>
            </w:div>
            <w:div w:id="126657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vistamuboku@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ureenplaikoil@unkriswina.ac.id" TargetMode="External"/><Relationship Id="rId4" Type="http://schemas.openxmlformats.org/officeDocument/2006/relationships/settings" Target="settings.xml"/><Relationship Id="rId9" Type="http://schemas.openxmlformats.org/officeDocument/2006/relationships/hyperlink" Target="mailto:fransiskus@unkriswin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7F1C4-E732-48AC-975F-D5A6367E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13</Pages>
  <Words>14077</Words>
  <Characters>80245</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erlinpindindjola@outlook.com</cp:lastModifiedBy>
  <cp:revision>84</cp:revision>
  <cp:lastPrinted>2020-07-13T09:32:00Z</cp:lastPrinted>
  <dcterms:created xsi:type="dcterms:W3CDTF">2020-07-13T08:54:00Z</dcterms:created>
  <dcterms:modified xsi:type="dcterms:W3CDTF">2026-05-02T03:28:00Z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45539494-c87f-3e80-8294-97e1e4534baf</vt:lpwstr>
  </property>
  <property fmtid="{D5CDD505-2E9C-101B-9397-08002B2CF9AE}" pid="24" name="Mendeley Citation Style_1">
    <vt:lpwstr>http://www.zotero.org/styles/apa</vt:lpwstr>
  </property>
</Properties>
</file>