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CEF4" w14:textId="77777777" w:rsidR="004B2B9D" w:rsidRDefault="00000000">
      <w:r>
        <w:rPr>
          <w:noProof/>
        </w:rPr>
        <mc:AlternateContent>
          <mc:Choice Requires="wps">
            <w:drawing>
              <wp:anchor distT="0" distB="0" distL="114300" distR="114300" simplePos="0" relativeHeight="251657728" behindDoc="0" locked="0" layoutInCell="1" allowOverlap="1" wp14:anchorId="3CDDBD30" wp14:editId="21AFA704">
                <wp:simplePos x="0" y="0"/>
                <wp:positionH relativeFrom="leftMargin">
                  <wp:align>left</wp:align>
                </wp:positionH>
                <wp:positionV relativeFrom="page">
                  <wp:posOffset>0</wp:posOffset>
                </wp:positionV>
                <wp:extent cx="7765415" cy="21971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ln>
                      </wps:spPr>
                      <wps:txbx>
                        <w:txbxContent>
                          <w:p w14:paraId="64EA3DAE" w14:textId="77777777" w:rsidR="004B2B9D" w:rsidRDefault="00000000">
                            <w:pPr>
                              <w:contextualSpacing/>
                              <w:jc w:val="left"/>
                            </w:pPr>
                            <w:r>
                              <w:rPr>
                                <w:noProof/>
                                <w:position w:val="-6"/>
                              </w:rPr>
                              <w:drawing>
                                <wp:inline distT="0" distB="0" distL="0" distR="0" wp14:anchorId="2EBC93F9" wp14:editId="13857F2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0" w:tooltip="Doc Translator - www.onlinedoctranslator.com" w:history="1">
                              <w:r>
                                <w:rPr>
                                  <w:rFonts w:ascii="Roboto" w:hAnsi="Roboto"/>
                                  <w:color w:val="0F2B46"/>
                                  <w:szCs w:val="18"/>
                                </w:rPr>
                                <w:t xml:space="preserve">Translated from Indonesian to English - </w:t>
                              </w:r>
                              <w:r>
                                <w:rPr>
                                  <w:rFonts w:ascii="Roboto" w:hAnsi="Roboto"/>
                                  <w:color w:val="0F2B46"/>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page">
                  <wp14:pctHeight>0</wp14:pctHeight>
                </wp14:sizeRelV>
              </wp:anchor>
            </w:drawing>
          </mc:Choice>
          <mc:Fallback xmlns:wpsCustomData="http://www.wps.cn/officeDocument/2013/wpsCustomData">
            <w:pict>
              <v:shape id="ODT_ATTR_LBL_SHAPE" o:spid="_x0000_s1026" o:spt="202" type="#_x0000_t202" style="position:absolute;left:0pt;margin-left:0pt;margin-top:0pt;height:17.3pt;width:611.45pt;mso-position-horizontal-relative:page;mso-position-vertical-relative:page;z-index:251666432;mso-width-relative:page;mso-height-relative:page;mso-width-percent:1000;" fillcolor="#F2F2F2" filled="t" stroked="f" coordsize="21600,21600" o:gfxdata="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etPqn1QAAAAUBAAAPAAAAAAAAAAEAIAAAACIAAABkcnMvZG93bnJldi54&#10;bWxQSwECFAAUAAAACACHTuJAVQ/LPjYCAABZBAAADgAAAAAAAAABACAAAAAkAQAAZHJzL2Uyb0Rv&#10;Yy54bWxQSwUGAAAAAAYABgBZAQAAzAUAAAAA&#10;">
                <v:fill on="t" focussize="0,0"/>
                <v:stroke on="f" miterlimit="8" joinstyle="miter"/>
                <v:imagedata o:title=""/>
                <o:lock v:ext="edit" aspectratio="f"/>
                <v:textbox inset="2.54mm,0mm,2.54mm,0mm">
                  <w:txbxContent>
                    <w:p w14:paraId="18481B47">
                      <w:pPr>
                        <w:spacing w:line="240" w:lineRule="auto"/>
                        <w:contextualSpacing/>
                        <w:jc w:val="left"/>
                      </w:pPr>
                      <w:r>
                        <w:rPr>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r>
                        <w:fldChar w:fldCharType="begin"/>
                      </w:r>
                      <w:r>
                        <w:instrText xml:space="preserve"> HYPERLINK "https://www.onlinedoctranslator.com/en/?utm_source=onlinedoctranslator&amp;utm_medium=docx&amp;utm_campaign=attribution" \o "Doc Translator - www.onlinedoctranslator.com" </w:instrText>
                      </w:r>
                      <w:r>
                        <w:fldChar w:fldCharType="separate"/>
                      </w:r>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r>
                        <w:rPr>
                          <w:rFonts w:ascii="Roboto" w:hAnsi="Roboto"/>
                          <w:color w:val="0F2B46"/>
                          <w:sz w:val="18"/>
                          <w:szCs w:val="18"/>
                          <w:u w:val="single"/>
                        </w:rPr>
                        <w:fldChar w:fldCharType="end"/>
                      </w:r>
                    </w:p>
                  </w:txbxContent>
                </v:textbox>
              </v:shape>
            </w:pict>
          </mc:Fallback>
        </mc:AlternateContent>
      </w:r>
    </w:p>
    <w:p w14:paraId="5E1311F3" w14:textId="77777777" w:rsidR="004B2B9D" w:rsidRDefault="00000000">
      <w:pPr>
        <w:jc w:val="center"/>
        <w:rPr>
          <w:rFonts w:ascii="Book Antiqua" w:hAnsi="Book Antiqua"/>
          <w:b/>
          <w:bCs/>
          <w:sz w:val="28"/>
          <w:lang w:val="sv-SE"/>
        </w:rPr>
      </w:pPr>
      <w:r>
        <w:rPr>
          <w:rFonts w:ascii="Book Antiqua" w:hAnsi="Book Antiqua"/>
          <w:b/>
          <w:bCs/>
          <w:sz w:val="28"/>
          <w:lang w:val="sv-SE"/>
        </w:rPr>
        <w:t>THE IMPACT OF THE CONTRIBUTION OF THE MINING AND QUARRYING SECTOR AND THE PROCESSING INDUSTRY ON ECONOMIC GROWTH IN BENGKALIS REGENCY 2011-2024</w:t>
      </w:r>
    </w:p>
    <w:p w14:paraId="1CA487AC" w14:textId="77777777" w:rsidR="004B2B9D" w:rsidRDefault="004B2B9D">
      <w:pPr>
        <w:pStyle w:val="Authors"/>
        <w:rPr>
          <w:rFonts w:ascii="Book Antiqua" w:hAnsi="Book Antiqua"/>
          <w:b w:val="0"/>
          <w:sz w:val="24"/>
          <w:lang w:val="id-ID"/>
        </w:rPr>
      </w:pPr>
    </w:p>
    <w:p w14:paraId="6EF596A4" w14:textId="77777777" w:rsidR="004B2B9D" w:rsidRDefault="00000000">
      <w:pPr>
        <w:pStyle w:val="Authors"/>
        <w:rPr>
          <w:rFonts w:ascii="Times New Roman" w:hAnsi="Times New Roman"/>
          <w:bCs/>
          <w:sz w:val="24"/>
          <w:lang w:val="id-ID"/>
        </w:rPr>
      </w:pPr>
      <w:r>
        <w:rPr>
          <w:rFonts w:ascii="Book Antiqua" w:hAnsi="Book Antiqua"/>
          <w:bCs/>
          <w:sz w:val="24"/>
          <w:lang w:val="id-ID"/>
        </w:rPr>
        <w:t xml:space="preserve">Della Novita Sari1 Melani </w:t>
      </w:r>
      <w:r>
        <w:rPr>
          <w:rFonts w:ascii="Book Antiqua" w:hAnsi="Book Antiqua"/>
          <w:bCs/>
          <w:sz w:val="24"/>
          <w:vertAlign w:val="superscript"/>
          <w:lang w:val="en-US"/>
        </w:rPr>
        <w:t>1</w:t>
      </w:r>
      <w:r>
        <w:rPr>
          <w:rFonts w:ascii="Book Antiqua" w:hAnsi="Book Antiqua"/>
          <w:bCs/>
          <w:sz w:val="24"/>
          <w:lang w:val="id-ID"/>
        </w:rPr>
        <w:t>Noviantori Ramadhan</w:t>
      </w:r>
      <w:r>
        <w:rPr>
          <w:rFonts w:ascii="Book Antiqua" w:hAnsi="Book Antiqua"/>
          <w:bCs/>
          <w:sz w:val="24"/>
          <w:vertAlign w:val="superscript"/>
          <w:lang w:val="id-ID"/>
        </w:rPr>
        <w:t>2</w:t>
      </w:r>
      <w:r>
        <w:rPr>
          <w:rFonts w:ascii="Book Antiqua" w:hAnsi="Book Antiqua"/>
          <w:bCs/>
          <w:sz w:val="24"/>
          <w:lang w:val="id-ID"/>
        </w:rPr>
        <w:t>, Farraz Yuni Syafitri</w:t>
      </w:r>
      <w:r>
        <w:rPr>
          <w:rFonts w:ascii="Book Antiqua" w:hAnsi="Book Antiqua"/>
          <w:bCs/>
          <w:sz w:val="24"/>
          <w:vertAlign w:val="superscript"/>
          <w:lang w:val="id-ID"/>
        </w:rPr>
        <w:t>3</w:t>
      </w:r>
      <w:r>
        <w:rPr>
          <w:rFonts w:ascii="Book Antiqua" w:hAnsi="Book Antiqua"/>
          <w:bCs/>
          <w:sz w:val="24"/>
          <w:lang w:val="id-ID"/>
        </w:rPr>
        <w:t>, Wiwi</w:t>
      </w:r>
      <w:r>
        <w:rPr>
          <w:rFonts w:ascii="Book Antiqua" w:hAnsi="Book Antiqua"/>
          <w:bCs/>
          <w:sz w:val="24"/>
          <w:lang w:val="en-US"/>
        </w:rPr>
        <w:t xml:space="preserve"> </w:t>
      </w:r>
      <w:r>
        <w:rPr>
          <w:rFonts w:ascii="Book Antiqua" w:hAnsi="Book Antiqua"/>
          <w:bCs/>
          <w:sz w:val="24"/>
          <w:lang w:val="id-ID"/>
        </w:rPr>
        <w:t>Jupiani</w:t>
      </w:r>
      <w:r>
        <w:rPr>
          <w:rFonts w:ascii="Book Antiqua" w:hAnsi="Book Antiqua"/>
          <w:bCs/>
          <w:sz w:val="24"/>
          <w:vertAlign w:val="superscript"/>
          <w:lang w:val="id-ID"/>
        </w:rPr>
        <w:t>4</w:t>
      </w:r>
      <w:r>
        <w:rPr>
          <w:rFonts w:ascii="Times New Roman" w:hAnsi="Times New Roman"/>
          <w:bCs/>
          <w:sz w:val="24"/>
          <w:lang w:val="id-ID"/>
        </w:rPr>
        <w:t xml:space="preserve"> </w:t>
      </w:r>
    </w:p>
    <w:p w14:paraId="5EA10484" w14:textId="77777777" w:rsidR="004B2B9D" w:rsidRDefault="00000000">
      <w:pPr>
        <w:pStyle w:val="Authors"/>
        <w:rPr>
          <w:bCs/>
          <w:szCs w:val="20"/>
          <w:vertAlign w:val="superscript"/>
        </w:rPr>
      </w:pPr>
      <w:r>
        <w:rPr>
          <w:rFonts w:ascii="Book Antiqua" w:hAnsi="Book Antiqua"/>
          <w:bCs/>
          <w:szCs w:val="20"/>
          <w:lang w:val="id-ID"/>
        </w:rPr>
        <w:t>University of Riau1234</w:t>
      </w:r>
    </w:p>
    <w:p w14:paraId="62372E5E" w14:textId="77777777" w:rsidR="004B2B9D" w:rsidRDefault="00000000">
      <w:pPr>
        <w:pStyle w:val="AuthorsAffiliations"/>
        <w:rPr>
          <w:rFonts w:ascii="Book Antiqua" w:hAnsi="Book Antiqua" w:cs="Book Antiqua"/>
          <w:i w:val="0"/>
          <w:sz w:val="20"/>
          <w:szCs w:val="20"/>
          <w:lang w:val="id-ID"/>
        </w:rPr>
      </w:pPr>
      <w:hyperlink r:id="rId12" w:history="1">
        <w:r>
          <w:rPr>
            <w:rStyle w:val="Hyperlink"/>
            <w:rFonts w:ascii="Book Antiqua" w:hAnsi="Book Antiqua" w:cs="Book Antiqua"/>
            <w:i w:val="0"/>
            <w:sz w:val="20"/>
            <w:szCs w:val="20"/>
            <w:lang w:val="id-ID"/>
          </w:rPr>
          <w:t>della.novita1061@student.unri.ac.id</w:t>
        </w:r>
      </w:hyperlink>
    </w:p>
    <w:p w14:paraId="79FAB3FF" w14:textId="77777777" w:rsidR="004B2B9D" w:rsidRDefault="004B2B9D">
      <w:pPr>
        <w:pStyle w:val="AuthorsAffiliations"/>
        <w:rPr>
          <w:rFonts w:ascii="Book Antiqua" w:hAnsi="Book Antiqua" w:cs="Book Antiqua"/>
          <w:i w:val="0"/>
          <w:sz w:val="20"/>
          <w:szCs w:val="20"/>
          <w:lang w:val="id-ID"/>
        </w:rPr>
      </w:pPr>
    </w:p>
    <w:p w14:paraId="21D83466" w14:textId="77777777" w:rsidR="004B2B9D" w:rsidRDefault="004B2B9D">
      <w:pPr>
        <w:pStyle w:val="AbstractTitle"/>
        <w:ind w:left="0"/>
        <w:jc w:val="both"/>
        <w:rPr>
          <w:rFonts w:ascii="Times New Roman" w:hAnsi="Times New Roman"/>
          <w:b w:val="0"/>
          <w:sz w:val="24"/>
          <w:szCs w:val="24"/>
          <w:lang w:val="id-ID"/>
        </w:rPr>
      </w:pPr>
    </w:p>
    <w:p w14:paraId="7E5F0325" w14:textId="77777777" w:rsidR="004B2B9D" w:rsidRDefault="004B2B9D">
      <w:pPr>
        <w:pStyle w:val="AbstractTitle"/>
        <w:ind w:left="0"/>
        <w:jc w:val="both"/>
        <w:rPr>
          <w:rFonts w:ascii="Times New Roman" w:hAnsi="Times New Roman"/>
          <w:b w:val="0"/>
          <w:sz w:val="8"/>
          <w:szCs w:val="24"/>
          <w:lang w:val="id-ID"/>
        </w:rPr>
      </w:pPr>
    </w:p>
    <w:p w14:paraId="1E089755" w14:textId="77777777" w:rsidR="004B2B9D" w:rsidRDefault="00000000">
      <w:pPr>
        <w:pStyle w:val="AbstractTitle"/>
        <w:ind w:left="0"/>
        <w:rPr>
          <w:rFonts w:ascii="Book Antiqua" w:hAnsi="Book Antiqua" w:cs="Book Antiqua"/>
          <w:sz w:val="20"/>
        </w:rPr>
      </w:pPr>
      <w:r>
        <w:rPr>
          <w:rFonts w:ascii="Book Antiqua" w:hAnsi="Book Antiqua" w:cs="Book Antiqua"/>
          <w:i/>
          <w:sz w:val="20"/>
          <w:lang w:val="id-ID"/>
        </w:rPr>
        <w:t>ABSTRACT</w:t>
      </w:r>
    </w:p>
    <w:p w14:paraId="4AA25924" w14:textId="77777777" w:rsidR="004B2B9D" w:rsidRDefault="004B2B9D">
      <w:pPr>
        <w:rPr>
          <w:rFonts w:ascii="Book Antiqua" w:eastAsia="Wingdings" w:hAnsi="Book Antiqua" w:cs="Book Antiqua"/>
          <w:color w:val="000000"/>
          <w:sz w:val="20"/>
          <w:szCs w:val="20"/>
          <w:lang w:val="id-ID"/>
        </w:rPr>
      </w:pPr>
    </w:p>
    <w:p w14:paraId="51429BEF" w14:textId="77777777" w:rsidR="004B2B9D" w:rsidRDefault="00000000">
      <w:pPr>
        <w:rPr>
          <w:rFonts w:ascii="Book Antiqua" w:eastAsia="Wingdings" w:hAnsi="Book Antiqua" w:cs="Book Antiqua"/>
          <w:b/>
          <w:bCs/>
          <w:i/>
          <w:iCs/>
          <w:color w:val="000000"/>
          <w:sz w:val="20"/>
          <w:szCs w:val="20"/>
          <w:lang w:val="id-ID"/>
        </w:rPr>
      </w:pPr>
      <w:r>
        <w:rPr>
          <w:rFonts w:ascii="Book Antiqua" w:eastAsia="Wingdings" w:hAnsi="Book Antiqua" w:cs="Book Antiqua"/>
          <w:b/>
          <w:bCs/>
          <w:i/>
          <w:iCs/>
          <w:color w:val="000000"/>
          <w:sz w:val="20"/>
          <w:szCs w:val="20"/>
          <w:lang w:val="id-ID"/>
        </w:rPr>
        <w:t>This study aims to analyze the influence of the mining and quarrying sector and the manufacturing industry sector on economic growth in Bengkalis Regency for the period 2011–2024. Economic growth is measured using Gross Regional Domestic Product (GRDP) at constant prices which describes the real economic performance of the region. This study uses a quantitative method with a descriptive approach and multiple linear regression analysis, based on secondary data obtained from the Central Statistics Agency (BPS) of Bengkalis Regency. The results of the analysis show that partially, the mining and quarrying sector has a significant effect on economic growth with a significance value of 0.000 &lt; 0.05. Conversely, the manufacturing industry sector does not have a significant effect with a significance value of 0.539 &gt; 0.05. Simultaneously, both sectors have a significant effect on economic growth with a significance value of 0.000 &lt; 0.05 and an Adjusted R² value of 0.926, which means that 92.6% of the variation in economic growth can be explained by these two sectors. These findings indicate that the economy of Bengkalis Regency is still dominated by mining and quarrying sector activities, while the manufacturing industry sector has not provided an optimal contribution to regional economic growth. Therefore, a strategy is needed to strengthen the processing industry sector through investment, technological innovation, and downstream development so that the regional economic structure becomes more balanced and sustainable.</w:t>
      </w:r>
    </w:p>
    <w:p w14:paraId="03650236" w14:textId="77777777" w:rsidR="004B2B9D" w:rsidRDefault="004B2B9D">
      <w:pPr>
        <w:rPr>
          <w:rFonts w:ascii="Book Antiqua" w:eastAsia="Wingdings" w:hAnsi="Book Antiqua" w:cs="Book Antiqua"/>
          <w:color w:val="000000"/>
          <w:sz w:val="20"/>
          <w:szCs w:val="20"/>
          <w:lang w:val="id-ID"/>
        </w:rPr>
      </w:pPr>
    </w:p>
    <w:p w14:paraId="551271AF" w14:textId="77777777" w:rsidR="004B2B9D" w:rsidRDefault="00000000">
      <w:pPr>
        <w:rPr>
          <w:rFonts w:ascii="Book Antiqua" w:eastAsia="Wingdings" w:hAnsi="Book Antiqua" w:cs="Book Antiqua"/>
          <w:b/>
          <w:bCs/>
          <w:i/>
          <w:iCs/>
          <w:color w:val="000000"/>
          <w:sz w:val="20"/>
          <w:szCs w:val="20"/>
          <w:lang w:val="zh-CN"/>
        </w:rPr>
      </w:pPr>
      <w:r>
        <w:rPr>
          <w:rFonts w:ascii="Book Antiqua" w:eastAsia="Wingdings" w:hAnsi="Book Antiqua" w:cs="Book Antiqua"/>
          <w:b/>
          <w:bCs/>
          <w:i/>
          <w:iCs/>
          <w:color w:val="000000"/>
          <w:sz w:val="20"/>
          <w:szCs w:val="20"/>
          <w:lang w:val="zh-CN"/>
        </w:rPr>
        <w:t>Keywords: mining and quarrying sector, manufacturing industry, economic growth, GRDP, Bengkalis</w:t>
      </w:r>
    </w:p>
    <w:p w14:paraId="3FA03CE3" w14:textId="77777777" w:rsidR="004B2B9D" w:rsidRDefault="004B2B9D"/>
    <w:p w14:paraId="014CA30A" w14:textId="77777777" w:rsidR="004B2B9D" w:rsidRDefault="004B2B9D">
      <w:pPr>
        <w:pStyle w:val="AbstractTitle"/>
        <w:rPr>
          <w:sz w:val="24"/>
          <w:szCs w:val="24"/>
        </w:rPr>
      </w:pPr>
    </w:p>
    <w:p w14:paraId="7417708D" w14:textId="77777777" w:rsidR="004B2B9D" w:rsidRDefault="004B2B9D">
      <w:pPr>
        <w:pStyle w:val="AbstractTitle"/>
        <w:ind w:left="0"/>
        <w:jc w:val="both"/>
        <w:rPr>
          <w:rFonts w:ascii="Times New Roman" w:hAnsi="Times New Roman"/>
          <w:b w:val="0"/>
          <w:color w:val="0000FF"/>
          <w:sz w:val="24"/>
          <w:szCs w:val="24"/>
          <w:lang w:val="fi-FI"/>
        </w:rPr>
      </w:pPr>
    </w:p>
    <w:p w14:paraId="4245BAB9" w14:textId="77777777" w:rsidR="004B2B9D" w:rsidRDefault="004B2B9D">
      <w:pPr>
        <w:sectPr w:rsidR="004B2B9D">
          <w:headerReference w:type="default" r:id="rId13"/>
          <w:pgSz w:w="11906" w:h="16838"/>
          <w:pgMar w:top="1418" w:right="1134" w:bottom="1134" w:left="1418" w:header="720" w:footer="0" w:gutter="0"/>
          <w:cols w:space="720"/>
          <w:formProt w:val="0"/>
          <w:docGrid w:linePitch="360"/>
        </w:sectPr>
      </w:pPr>
    </w:p>
    <w:p w14:paraId="081926FF" w14:textId="77777777" w:rsidR="004B2B9D" w:rsidRDefault="00000000">
      <w:pPr>
        <w:pStyle w:val="Heading1"/>
        <w:numPr>
          <w:ilvl w:val="0"/>
          <w:numId w:val="1"/>
        </w:numPr>
        <w:rPr>
          <w:rFonts w:ascii="Book Antiqua" w:hAnsi="Book Antiqua" w:cs="Book Antiqua"/>
          <w:sz w:val="24"/>
          <w:szCs w:val="24"/>
        </w:rPr>
      </w:pPr>
      <w:r>
        <w:rPr>
          <w:rFonts w:ascii="Book Antiqua" w:hAnsi="Book Antiqua" w:cs="Book Antiqua"/>
          <w:bCs/>
          <w:sz w:val="24"/>
          <w:szCs w:val="24"/>
          <w:lang w:val="id-ID"/>
        </w:rPr>
        <w:t>INTRODUCTION</w:t>
      </w:r>
    </w:p>
    <w:p w14:paraId="47F9CBAB"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Bengkalis Regency is a region in Riau Province known for its abundant natural resources. Its strategic geographic location along the Strait of Malacca makes it not only a potential hub for trade development but also rich in mining and other natural resources. This makes Bengkalis one of the driving forces of the economy on the east coast of Sumatra.</w:t>
      </w:r>
    </w:p>
    <w:p w14:paraId="55074074"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The mining and quarrying sector is one of the leading sectors in Bengkalis Regency. The presence of oil and natural gas resources, for example, has long been the backbone of the regional economy. This sector contributes significantly to the region's Gross Regional Domestic Product (GRDP) and is a major source of regional revenue. With this potential, the local government has a significant opportunity to promote more equitable and sustainable economic development.</w:t>
      </w:r>
    </w:p>
    <w:p w14:paraId="12407A1C"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In addition to the mining sector, the manufacturing industry is also developing as a downstream form of natural resource utilization. The processing industry for oil, gas, and other natural product-based products plays a role in increasing the added value of Bengkalis' primary commodities. This sector is expected to create new jobs, investment opportunities, and improve the regional economic structure, eliminating the need for a reliance solely on raw resources.</w:t>
      </w:r>
    </w:p>
    <w:p w14:paraId="4E994117"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 xml:space="preserve">Theoretically, these two sectors should make a positive contribution to improving public welfare. Economic growth generated by mining and the manufacturing industry is expected to increase community incomes, expand employment opportunities, and accelerate regional </w:t>
      </w:r>
      <w:r>
        <w:rPr>
          <w:rFonts w:ascii="Times New Roman" w:hAnsi="Times New Roman"/>
          <w:color w:val="000000"/>
          <w:sz w:val="24"/>
          <w:szCs w:val="22"/>
          <w:lang w:val="sv-SE" w:eastAsia="en-US"/>
        </w:rPr>
        <w:lastRenderedPageBreak/>
        <w:t>infrastructure development. Thus, the presence of leading sectors not only improves macroeconomic statistics but also has a direct impact on people's daily lives.</w:t>
      </w:r>
    </w:p>
    <w:p w14:paraId="6862DCAE"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However, the reality on the ground does not always align with these expectations. A development paradox often occurs, where resource-rich regions fail to fully improve the well-being of their communities. High macroeconomic growth does not automatically guarantee increased prosperity. The majority of the profits are enjoyed by large corporations or the central government, while local communities face limited access to directly benefit from them.</w:t>
      </w:r>
    </w:p>
    <w:p w14:paraId="33B8EA6F"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In Bengkalis Regency, socio-economic issues persist, stemming from the growth of the mining and manufacturing sectors. Issues such as unemployment, income inequality, and low quality education and healthcare remain significant challenges. Furthermore, environmental damage caused by the exploitation of natural resources also impacts the livelihoods of the community, particularly those whose livelihoods depend on the fisheries and agriculture sectors.</w:t>
      </w:r>
    </w:p>
    <w:p w14:paraId="58067B64"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This raises a major question about the extent to which the mining, quarrying, and manufacturing sectors truly influence economic growth in Bengkalis Regency. Is the growth of these two sectors directly felt by the community through improved living standards, or is it merely a mere speck of paper in regional economic reports? This question provides an important basis for further in-depth research.</w:t>
      </w:r>
    </w:p>
    <w:p w14:paraId="0BB887B8"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The period 2011–2024 was chosen as the focus of this research because it encompasses various important dynamics in regional development. During this period, both regional and central governments implemented numerous development acceleration programs, including industrial downstreaming and optimizing natural resource utilization. Furthermore, this period also witnessed external dynamics, such as fluctuations in global oil prices, the COVID-19 pandemic disrupting economic activity, and the global energy transition trend impacting the oil and gas sector. All of these factors can influence the contribution of these two leading sectors to public welfare.</w:t>
      </w:r>
    </w:p>
    <w:p w14:paraId="413B4FE5"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The urgency of this research becomes even clearer when viewed from the perspective of the local government's responsibilities. As a natural resource-producing region, Bengkalis has an obligation to ensure that its natural resources not only generate superficial economic growth but also genuinely improve the quality of life for its residents. The local government needs an empirical understanding of the relationship between growth in the mining and processing sectors and community well-being to formulate more targeted policies.</w:t>
      </w:r>
    </w:p>
    <w:p w14:paraId="1B74EAEC"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Thus, research into the influence of the mining, quarrying, and manufacturing sectors on the well-being of the Bengkalis Regency community is highly relevant. The results are expected to address concerns about the actual contribution of these two sectors and provide input for more inclusive regional development planning. Through this analysis, the local government is expected to be able to develop development strategies that not only pursue economic growth but also ensure the realization of equitable and sustainable community well-being.</w:t>
      </w:r>
    </w:p>
    <w:p w14:paraId="6F651455" w14:textId="77777777" w:rsidR="004B2B9D" w:rsidRDefault="00000000">
      <w:pPr>
        <w:ind w:firstLine="454"/>
        <w:rPr>
          <w:rFonts w:ascii="Times New Roman" w:hAnsi="Times New Roman"/>
          <w:color w:val="000000"/>
          <w:sz w:val="24"/>
          <w:szCs w:val="22"/>
          <w:lang w:val="sv-SE" w:eastAsia="en-US"/>
        </w:rPr>
      </w:pPr>
      <w:r>
        <w:rPr>
          <w:rFonts w:ascii="Times New Roman" w:hAnsi="Times New Roman"/>
          <w:color w:val="000000"/>
          <w:sz w:val="24"/>
          <w:szCs w:val="22"/>
          <w:lang w:val="sv-SE" w:eastAsia="en-US"/>
        </w:rPr>
        <w:t>The aim of this study is to analyze the development of the mining and quarrying sector and the processing industry sector in Bengkalis Regency in 2011–2024.</w:t>
      </w:r>
    </w:p>
    <w:p w14:paraId="13C9EE5A" w14:textId="77777777" w:rsidR="004B2B9D" w:rsidRDefault="00000000">
      <w:pPr>
        <w:numPr>
          <w:ilvl w:val="0"/>
          <w:numId w:val="2"/>
        </w:numPr>
        <w:rPr>
          <w:rFonts w:ascii="Times New Roman" w:hAnsi="Times New Roman"/>
          <w:color w:val="000000"/>
          <w:sz w:val="24"/>
          <w:szCs w:val="22"/>
          <w:lang w:val="sv-SE" w:eastAsia="en-US"/>
        </w:rPr>
      </w:pPr>
      <w:r>
        <w:rPr>
          <w:rFonts w:ascii="Times New Roman" w:hAnsi="Times New Roman"/>
          <w:color w:val="000000"/>
          <w:sz w:val="24"/>
          <w:szCs w:val="22"/>
          <w:lang w:val="sv-SE" w:eastAsia="en-US"/>
        </w:rPr>
        <w:t>To determine the influence of the mining and quarrying sector on Economic Growth in Bengkalis Regency 2011-2025.</w:t>
      </w:r>
    </w:p>
    <w:p w14:paraId="44C9B4B5" w14:textId="77777777" w:rsidR="004B2B9D" w:rsidRDefault="00000000">
      <w:pPr>
        <w:numPr>
          <w:ilvl w:val="0"/>
          <w:numId w:val="2"/>
        </w:numPr>
        <w:rPr>
          <w:rFonts w:ascii="Times New Roman" w:hAnsi="Times New Roman"/>
          <w:color w:val="CE181E"/>
          <w:sz w:val="24"/>
          <w:lang w:val="id-ID"/>
        </w:rPr>
      </w:pPr>
      <w:r>
        <w:rPr>
          <w:rFonts w:ascii="Times New Roman" w:hAnsi="Times New Roman"/>
          <w:color w:val="000000"/>
          <w:sz w:val="24"/>
          <w:szCs w:val="22"/>
          <w:lang w:val="sv-SE" w:eastAsia="en-US"/>
        </w:rPr>
        <w:t>To determine the influence of the processing industry sector on Economic Growth in Bengkalis Regency 2011-2025.</w:t>
      </w:r>
    </w:p>
    <w:p w14:paraId="09265E92" w14:textId="77777777" w:rsidR="004B2B9D" w:rsidRDefault="004B2B9D">
      <w:pPr>
        <w:ind w:firstLine="454"/>
        <w:rPr>
          <w:rFonts w:ascii="Times New Roman" w:hAnsi="Times New Roman"/>
          <w:color w:val="CE181E"/>
          <w:sz w:val="24"/>
          <w:lang w:val="id-ID"/>
        </w:rPr>
      </w:pPr>
    </w:p>
    <w:p w14:paraId="2006C036" w14:textId="77777777" w:rsidR="004B2B9D" w:rsidRDefault="00000000">
      <w:pPr>
        <w:pStyle w:val="Heading1"/>
        <w:numPr>
          <w:ilvl w:val="0"/>
          <w:numId w:val="1"/>
        </w:numPr>
        <w:rPr>
          <w:rFonts w:ascii="Book Antiqua" w:hAnsi="Book Antiqua" w:cs="Book Antiqua"/>
        </w:rPr>
      </w:pPr>
      <w:bookmarkStart w:id="0" w:name="__DdeLink__339_2724692058"/>
      <w:bookmarkEnd w:id="0"/>
      <w:r>
        <w:rPr>
          <w:rFonts w:ascii="Book Antiqua" w:hAnsi="Book Antiqua" w:cs="Book Antiqua"/>
          <w:sz w:val="24"/>
          <w:szCs w:val="24"/>
          <w:lang w:val="id-ID"/>
        </w:rPr>
        <w:t>LITERATURE REVIEW</w:t>
      </w:r>
    </w:p>
    <w:p w14:paraId="3E08A1CC" w14:textId="77777777" w:rsidR="004B2B9D" w:rsidRDefault="00000000">
      <w:pPr>
        <w:pStyle w:val="ListParagraph"/>
        <w:numPr>
          <w:ilvl w:val="0"/>
          <w:numId w:val="3"/>
        </w:numPr>
        <w:spacing w:after="120" w:line="240" w:lineRule="auto"/>
        <w:ind w:left="454" w:hanging="454"/>
        <w:jc w:val="both"/>
        <w:rPr>
          <w:rFonts w:ascii="Book Antiqua" w:hAnsi="Book Antiqua" w:cs="Book Antiqua"/>
        </w:rPr>
      </w:pPr>
      <w:r>
        <w:rPr>
          <w:rFonts w:ascii="Book Antiqua" w:hAnsi="Book Antiqua" w:cs="Book Antiqua"/>
          <w:i/>
          <w:sz w:val="24"/>
          <w:szCs w:val="24"/>
          <w:lang w:val="id-ID"/>
        </w:rPr>
        <w:t>The Concept of Economic Growth</w:t>
      </w:r>
    </w:p>
    <w:p w14:paraId="6C33E234" w14:textId="77777777" w:rsidR="004B2B9D" w:rsidRDefault="00000000">
      <w:pPr>
        <w:spacing w:after="160"/>
        <w:ind w:left="360" w:firstLine="360"/>
        <w:rPr>
          <w:rFonts w:asciiTheme="minorHAnsi" w:hAnsiTheme="minorHAnsi"/>
          <w:sz w:val="22"/>
          <w:szCs w:val="22"/>
          <w:lang w:val="sv-SE" w:eastAsia="en-US"/>
        </w:rPr>
      </w:pPr>
      <w:r>
        <w:rPr>
          <w:rFonts w:ascii="Times New Roman" w:hAnsi="Times New Roman"/>
          <w:sz w:val="24"/>
          <w:lang w:val="sv-SE"/>
        </w:rPr>
        <w:t xml:space="preserve">Economic growth is a condition of a region that reflects sustainable economic changes over a certain period of time towards achieving a better situation. This improvement in economic conditions is a benchmark for a country's success at the international, national, and regional levels, with the primary goal of improving public welfare. The success of a region's economic </w:t>
      </w:r>
      <w:r>
        <w:rPr>
          <w:rFonts w:ascii="Times New Roman" w:hAnsi="Times New Roman"/>
          <w:sz w:val="24"/>
          <w:lang w:val="sv-SE"/>
        </w:rPr>
        <w:lastRenderedPageBreak/>
        <w:t>growth can be measured through the Gross Regional Domestic Product (GRDP). The GRDP value is used to measure regional income and is divided into two categories: GRDP at constant prices and current prices. GRDP at constant prices reflects real economic growth each year, so price changes are not affected. Meanwhile, GRDP at current prices is used to assess the strength of the economic structure, shifts, and potential economic resources of the region.</w:t>
      </w:r>
    </w:p>
    <w:p w14:paraId="1D79CF97" w14:textId="77777777" w:rsidR="004B2B9D" w:rsidRDefault="00000000">
      <w:pPr>
        <w:spacing w:after="160"/>
        <w:ind w:left="360" w:firstLine="360"/>
        <w:rPr>
          <w:lang w:val="sv-SE"/>
        </w:rPr>
      </w:pPr>
      <w:r>
        <w:rPr>
          <w:rFonts w:ascii="Times New Roman" w:hAnsi="Times New Roman"/>
          <w:sz w:val="24"/>
          <w:lang w:val="sv-SE"/>
        </w:rPr>
        <w:t>Economic growth reflects a country's economic condition, measured by a faster increase in total income, resulting in increased per capita income and a more prosperous standard of living. Regional income is measured using Gross Regional Domestic Product (GRDP) data. GRDP can be calculated using three approaches: the expenditure approach, the income approach, and the production approach. The expenditure approach calculates GRDP based on the accumulation of various expenditures made by economic actors. The income approach calculates GRDP by summing all income factors obtained from production activities, such as profits, investments, wages, and rent. The production approach, on the other hand, takes into account the total production output from various economic sectors. The GRDP value in a region provides a general overview of the level of community welfare and the level of economic growth in that region. An increase in GRDP indicates higher economic growth and improved community welfare in that region.</w:t>
      </w:r>
      <w:r>
        <w:rPr>
          <w:rFonts w:ascii="Times New Roman" w:hAnsi="Times New Roman"/>
          <w:sz w:val="24"/>
          <w:lang w:val="sv-SE"/>
        </w:rPr>
        <w:fldChar w:fldCharType="begin" w:fldLock="1"/>
      </w:r>
      <w:r>
        <w:rPr>
          <w:rFonts w:ascii="Times New Roman" w:hAnsi="Times New Roman"/>
          <w:sz w:val="24"/>
          <w:lang w:val="sv-SE"/>
        </w:rPr>
        <w:instrText>ADDIN CSL_CITATION {"citationItems":[{"id":"ITEM-1","itemData":{"abstract":"The processing industry is one of the sectors that support the economy in the region. This can be seen in the results of various studies and research which show that the manufacturing sector contributes to GRDP in addition to various other sectors, in the form of the agricultural sector. This study aims to determine partially or simultaneously the contribution of the manufacturing sector to economic growth and to find out which sub-sectors of the manufacturing industry are part of the basis and non-base in impacting the GRDP growth of a region. West Sumatra Province is one of the regions whose economic growth is quite good, it is known from the sectors that make up the GRDP and the growth of the Province's GRDP. This research is a descriptive research with a quantitative approach. The data analysis technique used is simple linear regression analysis followed by location quotient (LQ) analysis. This study uses secondary data published by the Central Bureau of Statistics (BPS). The results of this study show the magnitude of the contribution of the manufacturing sector to economic growth, and which sub-sector of the manufacturing industry forms the basis of the economy. Keywords: P r o ce s s i n g I n d u s t r y S e ct o r , G R D P , E co n o m i c G r o w t h PENDAHULUAN","author":[{"dropping-particle":"","family":"Pratiwi","given":"Nadya Jhonly","non-dropping-particle":"","parse-names":false,"suffix":""},{"dropping-particle":"","family":"Anwar","given":"Syaiful","non-dropping-particle":"","parse-names":false,"suffix":""},{"dropping-particle":"","family":"Srivani","given":"Musbatiq","non-dropping-particle":"","parse-names":false,"suffix":""},{"dropping-particle":"","family":"Pratiwi","given":"Resi","non-dropping-particle":"","parse-names":false,"suffix":""}],"container-title":"INNOVATIVE: Journal Of Social Science Research Volume","id":"ITEM-1","issue":"2","issued":{"date-parts":[["2023"]]},"page":"6722-6735","title":"Analisis Kontribusi Sektor Industri Pengolahan Terhadap Pertumbuhan Ekonomi Provinsi Sumatera Barat","type":"article-journal","volume":"Vol. 3"},"uris":["http://www.mendeley.com/documents/?uuid=e4197c7b-93e6-4336-84a7-cb12dde85754","http://www.mendeley.com/documents/?uuid=391b7bd8-78f8-4f3c-9a05-ce10cf651aee"]}],"mendeley":{"formattedCitation":"(Pratiwi &lt;i&gt;et al.&lt;/i&gt;, 2023)","plainTextFormattedCitation":"(Pratiwi et al., 2023)","previouslyFormattedCitation":"(Pratiwi &lt;i&gt;et al.&lt;/i&gt;, 2023)"},"properties":{"noteIndex":0},"schema":"https://github.com/citation-style-language/schema/raw/master/csl-citation.json"}</w:instrText>
      </w:r>
      <w:r>
        <w:rPr>
          <w:rFonts w:ascii="Times New Roman" w:hAnsi="Times New Roman"/>
          <w:sz w:val="24"/>
          <w:lang w:val="sv-SE"/>
        </w:rPr>
        <w:fldChar w:fldCharType="separate"/>
      </w:r>
      <w:r>
        <w:rPr>
          <w:rFonts w:ascii="Times New Roman" w:hAnsi="Times New Roman"/>
          <w:sz w:val="24"/>
          <w:lang w:val="sv-SE"/>
        </w:rPr>
        <w:t>(Pratiwi et al., 2023)</w:t>
      </w:r>
      <w:r>
        <w:rPr>
          <w:rFonts w:ascii="Times New Roman" w:hAnsi="Times New Roman"/>
          <w:sz w:val="24"/>
          <w:lang w:val="sv-SE"/>
        </w:rPr>
        <w:fldChar w:fldCharType="end"/>
      </w:r>
      <w:r>
        <w:rPr>
          <w:rFonts w:ascii="Times New Roman" w:hAnsi="Times New Roman"/>
          <w:sz w:val="24"/>
          <w:lang w:val="sv-SE"/>
        </w:rPr>
        <w:t>.</w:t>
      </w:r>
    </w:p>
    <w:p w14:paraId="651DA081" w14:textId="77777777" w:rsidR="004B2B9D" w:rsidRDefault="00000000">
      <w:pPr>
        <w:spacing w:before="120" w:after="120"/>
        <w:ind w:left="360" w:firstLine="360"/>
        <w:rPr>
          <w:rFonts w:ascii="Times New Roman" w:hAnsi="Times New Roman"/>
          <w:color w:val="1B1C1D"/>
          <w:sz w:val="24"/>
          <w:lang w:val="sv-SE"/>
        </w:rPr>
      </w:pPr>
      <w:r>
        <w:rPr>
          <w:rFonts w:ascii="Times New Roman" w:hAnsi="Times New Roman"/>
          <w:color w:val="1B1C1D"/>
          <w:sz w:val="24"/>
          <w:lang w:val="sv-SE"/>
        </w:rPr>
        <w:t>The economy in Bengkalis Regency is faced with economic growth from year to year as indicated by the Gross Regional Domestic Product (GRDP) figures. The magnitude of economic growth should be a flexibility that can be used optimally in encouraging the regional economy to return to normal. The economic growth owned by which is supported by 17 sectors, namely: Social Activities and Health Services; Education Services; Mandatory Social Security, Defense, and Government Administration; Corporate Services; Real Estate; Insurance and Financial Services; Communication and Information; Food and Beverage Provision and Accommodation; Warehousing and Transportation; Motorcycle and Car Repair; Retail and Wholesale Trade; Construction; Waste Management, Recycling and Waste; Water Supply; Gas and Electricity Supply; Processing Industry; Quarrying and Mining; Fisheries, Forestry and Agriculture; and other Services. Based on data from the Bengkalis Regency Statistics Agency (BPS), the contribution regarding the amount of production results from several sectors is the most important, namely Mining and Quarrying, but it cannot be denied that other sectors also contribute to the economy, including the processing industry sector. The impressive performance of economic sectors has returned GDP to a positive level. (Central Statistics Agency (BPS), 2024)</w:t>
      </w:r>
    </w:p>
    <w:p w14:paraId="3CA36E19" w14:textId="77777777" w:rsidR="004B2B9D" w:rsidRDefault="00000000">
      <w:pPr>
        <w:pStyle w:val="ListParagraph"/>
        <w:numPr>
          <w:ilvl w:val="0"/>
          <w:numId w:val="3"/>
        </w:numPr>
        <w:spacing w:before="120" w:after="120"/>
        <w:rPr>
          <w:rFonts w:ascii="Times New Roman" w:hAnsi="Times New Roman"/>
          <w:color w:val="1B1C1D"/>
          <w:sz w:val="24"/>
          <w:lang w:val="sv-SE"/>
        </w:rPr>
      </w:pPr>
      <w:r>
        <w:rPr>
          <w:rFonts w:ascii="Book Antiqua" w:hAnsi="Book Antiqua"/>
          <w:i/>
          <w:iCs/>
          <w:sz w:val="24"/>
          <w:lang w:val="id-ID"/>
        </w:rPr>
        <w:t>Mining and Excavation Sector Concept</w:t>
      </w:r>
    </w:p>
    <w:p w14:paraId="64C38ADF" w14:textId="77777777" w:rsidR="004B2B9D" w:rsidRDefault="00000000">
      <w:pPr>
        <w:pStyle w:val="ListParagraph"/>
        <w:spacing w:before="120" w:after="120" w:line="240" w:lineRule="auto"/>
        <w:ind w:left="360" w:firstLine="360"/>
        <w:jc w:val="both"/>
        <w:rPr>
          <w:rFonts w:ascii="Times New Roman" w:hAnsi="Times New Roman"/>
          <w:sz w:val="24"/>
          <w:lang w:val="sv-SE"/>
        </w:rPr>
      </w:pPr>
      <w:r>
        <w:rPr>
          <w:rFonts w:ascii="Times New Roman" w:hAnsi="Times New Roman"/>
          <w:sz w:val="24"/>
          <w:lang w:val="sv-SE"/>
        </w:rPr>
        <w:t>Businesses in the Mining and Quarrying sector essentially aim to obtain various types of mining products, minerals, and excavated materials, whether solid, liquid, or gaseous, found within or on the earth's surface. The use of these mining products and excavated materials aims to create added value, allowing them to be further utilized, sold to others, or exported.</w:t>
      </w:r>
    </w:p>
    <w:p w14:paraId="3CB38C64" w14:textId="77777777" w:rsidR="004B2B9D" w:rsidRDefault="00000000">
      <w:pPr>
        <w:pStyle w:val="ListParagraph"/>
        <w:spacing w:before="120" w:after="120" w:line="240" w:lineRule="auto"/>
        <w:ind w:left="360" w:firstLine="360"/>
        <w:jc w:val="both"/>
        <w:rPr>
          <w:rFonts w:ascii="Times New Roman" w:hAnsi="Times New Roman"/>
          <w:sz w:val="24"/>
          <w:lang w:val="sv-SE"/>
        </w:rPr>
      </w:pPr>
      <w:r>
        <w:rPr>
          <w:rFonts w:ascii="Times New Roman" w:hAnsi="Times New Roman"/>
          <w:sz w:val="24"/>
          <w:lang w:val="sv-SE"/>
        </w:rPr>
        <w:t>Based on Law Number 4 of 2009 concerning Mineral and Coal Mining, Article 1 paragraph (1), mining includes some or all stages of activities including research, management, and exploitation of minerals or coal. The mining and quarrying sector remains a key pillar of Indonesia in supporting economic growth and employment. This is reflected in the high level of investment interest in this sector, driven by Indonesia's abundance of natural resources, such as coal.</w:t>
      </w:r>
    </w:p>
    <w:p w14:paraId="4F1DAA13" w14:textId="77777777" w:rsidR="004B2B9D" w:rsidRDefault="00000000">
      <w:pPr>
        <w:pStyle w:val="ListParagraph"/>
        <w:numPr>
          <w:ilvl w:val="0"/>
          <w:numId w:val="3"/>
        </w:numPr>
        <w:spacing w:before="120" w:after="120"/>
        <w:rPr>
          <w:rFonts w:ascii="Book Antiqua" w:hAnsi="Book Antiqua"/>
          <w:i/>
          <w:iCs/>
          <w:color w:val="1B1C1D"/>
          <w:sz w:val="24"/>
          <w:lang w:val="sv-SE"/>
        </w:rPr>
      </w:pPr>
      <w:r>
        <w:rPr>
          <w:rFonts w:ascii="Book Antiqua" w:hAnsi="Book Antiqua"/>
          <w:i/>
          <w:iCs/>
          <w:color w:val="1B1C1D"/>
          <w:sz w:val="24"/>
          <w:lang w:val="sv-SE"/>
        </w:rPr>
        <w:t>The Concept of the Manufacturing Industry Sector</w:t>
      </w:r>
    </w:p>
    <w:p w14:paraId="40127B43" w14:textId="77777777" w:rsidR="004B2B9D" w:rsidRDefault="00000000">
      <w:pPr>
        <w:pStyle w:val="ListParagraph"/>
        <w:spacing w:after="160" w:line="240" w:lineRule="auto"/>
        <w:ind w:left="360" w:firstLine="360"/>
        <w:jc w:val="both"/>
        <w:rPr>
          <w:rFonts w:ascii="Times New Roman" w:hAnsi="Times New Roman"/>
          <w:sz w:val="24"/>
          <w:lang w:val="sv-SE"/>
        </w:rPr>
      </w:pPr>
      <w:r>
        <w:rPr>
          <w:rFonts w:ascii="Times New Roman" w:hAnsi="Times New Roman"/>
          <w:sz w:val="24"/>
          <w:lang w:val="sv-SE"/>
        </w:rPr>
        <w:t xml:space="preserve">The processing industry is an economic activity focused on transforming raw or semi-finished materials into higher-value products. This process can be carried out through physical, </w:t>
      </w:r>
      <w:r>
        <w:rPr>
          <w:rFonts w:ascii="Times New Roman" w:hAnsi="Times New Roman"/>
          <w:sz w:val="24"/>
          <w:lang w:val="sv-SE"/>
        </w:rPr>
        <w:lastRenderedPageBreak/>
        <w:t>chemical, or biological mechanisms, with the aim of producing products with different functions, forms, and qualities than the original materials. The processing industry plays a crucial role as a link between primary sectors, such as agriculture, plantations, and mining, and downstream sectors that produce ready-to-consume products and advanced raw materials for other industries. In addition to increasing the added value of natural resources, the processing industry also contributes to job creation, increased exports, and stimulated regional and national economic growth, making it a strategic sector in economic development.</w:t>
      </w:r>
    </w:p>
    <w:p w14:paraId="200F8372" w14:textId="77777777" w:rsidR="004B2B9D" w:rsidRDefault="00000000">
      <w:pPr>
        <w:pStyle w:val="ListParagraph"/>
        <w:spacing w:after="160" w:line="240" w:lineRule="auto"/>
        <w:ind w:left="360" w:firstLine="360"/>
        <w:jc w:val="both"/>
        <w:rPr>
          <w:rFonts w:ascii="Times New Roman" w:hAnsi="Times New Roman"/>
          <w:sz w:val="24"/>
          <w:lang w:val="sv-SE"/>
        </w:rPr>
      </w:pPr>
      <w:r>
        <w:rPr>
          <w:noProof/>
        </w:rPr>
        <w:drawing>
          <wp:anchor distT="0" distB="0" distL="114300" distR="114300" simplePos="0" relativeHeight="251658752" behindDoc="0" locked="0" layoutInCell="1" allowOverlap="1" wp14:anchorId="6AA7105A" wp14:editId="262B4CF9">
            <wp:simplePos x="0" y="0"/>
            <wp:positionH relativeFrom="column">
              <wp:posOffset>1054100</wp:posOffset>
            </wp:positionH>
            <wp:positionV relativeFrom="paragraph">
              <wp:posOffset>9525</wp:posOffset>
            </wp:positionV>
            <wp:extent cx="3956050" cy="2790190"/>
            <wp:effectExtent l="0" t="0" r="6350" b="0"/>
            <wp:wrapNone/>
            <wp:docPr id="49934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693"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56365" cy="2789963"/>
                    </a:xfrm>
                    <a:prstGeom prst="rect">
                      <a:avLst/>
                    </a:prstGeom>
                  </pic:spPr>
                </pic:pic>
              </a:graphicData>
            </a:graphic>
          </wp:anchor>
        </w:drawing>
      </w:r>
    </w:p>
    <w:p w14:paraId="0E32788B" w14:textId="77777777" w:rsidR="004B2B9D" w:rsidRDefault="004B2B9D">
      <w:pPr>
        <w:pStyle w:val="ListParagraph"/>
        <w:spacing w:before="120" w:after="120"/>
        <w:ind w:left="360"/>
        <w:rPr>
          <w:rFonts w:ascii="Times New Roman" w:hAnsi="Times New Roman"/>
          <w:color w:val="1B1C1D"/>
          <w:sz w:val="24"/>
          <w:lang w:val="sv-SE"/>
        </w:rPr>
      </w:pPr>
    </w:p>
    <w:p w14:paraId="414734F4" w14:textId="77777777" w:rsidR="004B2B9D" w:rsidRDefault="004B2B9D">
      <w:pPr>
        <w:pStyle w:val="ListParagraph"/>
        <w:spacing w:before="120" w:after="120"/>
        <w:ind w:left="360"/>
        <w:rPr>
          <w:rFonts w:ascii="Times New Roman" w:hAnsi="Times New Roman"/>
          <w:color w:val="1B1C1D"/>
          <w:sz w:val="24"/>
        </w:rPr>
      </w:pPr>
    </w:p>
    <w:p w14:paraId="63C740EA" w14:textId="77777777" w:rsidR="004B2B9D" w:rsidRDefault="004B2B9D">
      <w:pPr>
        <w:pStyle w:val="ListParagraph"/>
        <w:spacing w:before="120" w:after="120"/>
        <w:ind w:left="360"/>
        <w:rPr>
          <w:rFonts w:ascii="Times New Roman" w:hAnsi="Times New Roman"/>
          <w:color w:val="1B1C1D"/>
          <w:sz w:val="24"/>
          <w:lang w:val="sv-SE"/>
        </w:rPr>
      </w:pPr>
    </w:p>
    <w:p w14:paraId="6E124DC3" w14:textId="77777777" w:rsidR="004B2B9D" w:rsidRDefault="004B2B9D">
      <w:pPr>
        <w:rPr>
          <w:lang w:val="id-ID"/>
        </w:rPr>
      </w:pPr>
    </w:p>
    <w:p w14:paraId="4F3E1C3D" w14:textId="77777777" w:rsidR="004B2B9D" w:rsidRDefault="004B2B9D">
      <w:pPr>
        <w:rPr>
          <w:lang w:val="id-ID"/>
        </w:rPr>
      </w:pPr>
    </w:p>
    <w:p w14:paraId="1CCE274E" w14:textId="77777777" w:rsidR="004B2B9D" w:rsidRDefault="004B2B9D">
      <w:pPr>
        <w:rPr>
          <w:lang w:val="id-ID"/>
        </w:rPr>
      </w:pPr>
    </w:p>
    <w:p w14:paraId="2BC69854" w14:textId="77777777" w:rsidR="004B2B9D" w:rsidRDefault="004B2B9D">
      <w:pPr>
        <w:rPr>
          <w:lang w:val="id-ID"/>
        </w:rPr>
      </w:pPr>
    </w:p>
    <w:p w14:paraId="7CCEA2CE" w14:textId="77777777" w:rsidR="004B2B9D" w:rsidRDefault="004B2B9D">
      <w:pPr>
        <w:rPr>
          <w:lang w:val="id-ID"/>
        </w:rPr>
      </w:pPr>
    </w:p>
    <w:p w14:paraId="1E48C64E" w14:textId="77777777" w:rsidR="004B2B9D" w:rsidRDefault="004B2B9D">
      <w:pPr>
        <w:rPr>
          <w:lang w:val="id-ID"/>
        </w:rPr>
      </w:pPr>
    </w:p>
    <w:p w14:paraId="68EC4F69" w14:textId="77777777" w:rsidR="004B2B9D" w:rsidRDefault="004B2B9D">
      <w:pPr>
        <w:rPr>
          <w:lang w:val="id-ID"/>
        </w:rPr>
      </w:pPr>
    </w:p>
    <w:p w14:paraId="4CAF6E5F" w14:textId="77777777" w:rsidR="004B2B9D" w:rsidRDefault="004B2B9D">
      <w:pPr>
        <w:rPr>
          <w:lang w:val="id-ID"/>
        </w:rPr>
      </w:pPr>
    </w:p>
    <w:p w14:paraId="012A1CB0" w14:textId="77777777" w:rsidR="004B2B9D" w:rsidRDefault="004B2B9D">
      <w:pPr>
        <w:rPr>
          <w:lang w:val="id-ID"/>
        </w:rPr>
      </w:pPr>
    </w:p>
    <w:p w14:paraId="479B4E2D" w14:textId="77777777" w:rsidR="004B2B9D" w:rsidRDefault="004B2B9D">
      <w:pPr>
        <w:rPr>
          <w:lang w:val="id-ID"/>
        </w:rPr>
      </w:pPr>
    </w:p>
    <w:p w14:paraId="2C12DDB5" w14:textId="77777777" w:rsidR="004B2B9D" w:rsidRDefault="004B2B9D">
      <w:pPr>
        <w:rPr>
          <w:lang w:val="id-ID"/>
        </w:rPr>
      </w:pPr>
    </w:p>
    <w:p w14:paraId="6AD02106" w14:textId="77777777" w:rsidR="004B2B9D" w:rsidRDefault="004B2B9D">
      <w:pPr>
        <w:rPr>
          <w:lang w:val="id-ID"/>
        </w:rPr>
      </w:pPr>
    </w:p>
    <w:p w14:paraId="4D8FCCD4" w14:textId="77777777" w:rsidR="004B2B9D" w:rsidRDefault="004B2B9D">
      <w:pPr>
        <w:rPr>
          <w:lang w:val="id-ID"/>
        </w:rPr>
      </w:pPr>
    </w:p>
    <w:p w14:paraId="20B1BF5A" w14:textId="77777777" w:rsidR="004B2B9D" w:rsidRDefault="00000000">
      <w:pPr>
        <w:rPr>
          <w:rFonts w:ascii="Times New Roman" w:hAnsi="Times New Roman"/>
          <w:sz w:val="24"/>
          <w:lang w:val="id-ID"/>
        </w:rPr>
      </w:pPr>
      <w:r>
        <w:rPr>
          <w:rFonts w:ascii="Times New Roman" w:hAnsi="Times New Roman"/>
          <w:noProof/>
          <w:color w:val="1B1C1D"/>
          <w:sz w:val="24"/>
          <w:szCs w:val="22"/>
          <w:lang w:val="en-US" w:eastAsia="en-US"/>
        </w:rPr>
        <mc:AlternateContent>
          <mc:Choice Requires="wps">
            <w:drawing>
              <wp:anchor distT="45720" distB="45720" distL="114300" distR="114300" simplePos="0" relativeHeight="251650560" behindDoc="0" locked="0" layoutInCell="1" allowOverlap="1" wp14:anchorId="6634C518" wp14:editId="117A255B">
                <wp:simplePos x="0" y="0"/>
                <wp:positionH relativeFrom="column">
                  <wp:posOffset>951230</wp:posOffset>
                </wp:positionH>
                <wp:positionV relativeFrom="paragraph">
                  <wp:posOffset>36195</wp:posOffset>
                </wp:positionV>
                <wp:extent cx="3971925" cy="409575"/>
                <wp:effectExtent l="0" t="0" r="28575" b="28575"/>
                <wp:wrapNone/>
                <wp:docPr id="520507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409575"/>
                        </a:xfrm>
                        <a:prstGeom prst="rect">
                          <a:avLst/>
                        </a:prstGeom>
                        <a:solidFill>
                          <a:srgbClr val="FFFFFF"/>
                        </a:solidFill>
                        <a:ln w="9525">
                          <a:solidFill>
                            <a:schemeClr val="bg1"/>
                          </a:solidFill>
                          <a:miter lim="800000"/>
                        </a:ln>
                      </wps:spPr>
                      <wps:txbx>
                        <w:txbxContent>
                          <w:p w14:paraId="72220B0A" w14:textId="77777777" w:rsidR="004B2B9D" w:rsidRDefault="00000000">
                            <w:pPr>
                              <w:rPr>
                                <w:rFonts w:ascii="Times New Roman" w:hAnsi="Times New Roman"/>
                                <w:sz w:val="20"/>
                                <w:szCs w:val="20"/>
                                <w:lang w:val="sv-SE"/>
                              </w:rPr>
                            </w:pPr>
                            <w:r>
                              <w:rPr>
                                <w:rFonts w:ascii="Times New Roman" w:hAnsi="Times New Roman"/>
                                <w:sz w:val="20"/>
                                <w:szCs w:val="20"/>
                                <w:lang w:val="sv-SE"/>
                              </w:rPr>
                              <w:t>Table 1. Data on the Mining and Quarrying Sector, as well as the Manufacturing Industry Sector, and GRDP of Bengkalis Regency 2011-2024</w:t>
                            </w:r>
                          </w:p>
                        </w:txbxContent>
                      </wps:txbx>
                      <wps:bodyPr rot="0" vertOverflow="clip" horzOverflow="clip"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74.9pt;margin-top:2.85pt;height:32.25pt;width:312.75pt;z-index:251659264;mso-width-relative:page;mso-height-relative:page;" fillcolor="#FFFFFF" filled="t" stroked="t" coordsize="21600,21600" o:gfxdata="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eb/Cv1wAAAAgBAAAPAAAAAAAAAAEAIAAAACIAAABkcnMv&#10;ZG93bnJldi54bWxQSwECFAAUAAAACACHTuJAQze8ET0CAACqBAAADgAAAAAAAAABACAAAAAmAQAA&#10;ZHJzL2Uyb0RvYy54bWxQSwUGAAAAAAYABgBZAQAA1QUAAAAA&#10;">
                <v:fill on="t" focussize="0,0"/>
                <v:stroke color="#FFFFFF [3212]" miterlimit="8" joinstyle="miter"/>
                <v:imagedata o:title=""/>
                <o:lock v:ext="edit" aspectratio="f"/>
                <v:textbox>
                  <w:txbxContent>
                    <w:p w14:paraId="7441F61A">
                      <w:pPr>
                        <w:rPr>
                          <w:rFonts w:ascii="Times New Roman" w:hAnsi="Times New Roman"/>
                          <w:sz w:val="20"/>
                          <w:szCs w:val="20"/>
                          <w:lang w:val="sv-SE"/>
                        </w:rPr>
                      </w:pPr>
                      <w:r>
                        <w:rPr>
                          <w:rFonts w:ascii="Times New Roman" w:hAnsi="Times New Roman"/>
                          <w:sz w:val="20"/>
                          <w:szCs w:val="20"/>
                          <w:lang w:val="sv-SE"/>
                        </w:rPr>
                        <w:t>Table 1. Data on the Mining and Quarrying Sector, as well as the Manufacturing Industry Sector, and GRDP of Bengkalis Regency 2011-2024</w:t>
                      </w:r>
                    </w:p>
                  </w:txbxContent>
                </v:textbox>
              </v:shape>
            </w:pict>
          </mc:Fallback>
        </mc:AlternateContent>
      </w:r>
    </w:p>
    <w:p w14:paraId="5E06AD78" w14:textId="77777777" w:rsidR="004B2B9D" w:rsidRDefault="004B2B9D">
      <w:pPr>
        <w:spacing w:after="120"/>
        <w:rPr>
          <w:rFonts w:ascii="Times New Roman" w:hAnsi="Times New Roman"/>
          <w:sz w:val="24"/>
          <w:lang w:val="id-ID"/>
        </w:rPr>
      </w:pPr>
    </w:p>
    <w:p w14:paraId="4139C343" w14:textId="77777777" w:rsidR="004B2B9D" w:rsidRDefault="00000000">
      <w:pPr>
        <w:spacing w:after="120"/>
        <w:ind w:firstLine="720"/>
        <w:rPr>
          <w:rFonts w:ascii="Times New Roman" w:hAnsi="Times New Roman"/>
          <w:sz w:val="24"/>
          <w:lang w:val="sv-SE"/>
        </w:rPr>
      </w:pPr>
      <w:r>
        <w:rPr>
          <w:rFonts w:ascii="Times New Roman" w:hAnsi="Times New Roman"/>
          <w:sz w:val="24"/>
          <w:lang w:val="sv-SE"/>
        </w:rPr>
        <w:t>The mining and quarrying sector's value fluctuated and tended to be negative throughout the observation period. 2011 recorded the highest growth of 8.35%, but from 2012 to 2020, this sector was dominated by negative growth, even reaching its lowest point in 2014 (-7.37%) and 2019 (-6.99%). This indicates that the mining sector experienced a sharp decline in productivity and performance, possibly due to: Declining global mining commodity prices (such as coal and oil), Limited raw material exports due to downstreaming policies, and high dependence on global demand. From 2022 to 2024, this sector began to stabilize with growth approaching 0% to slightly positive (0.20%), indicating signs of recovery after nearly a decade of pressure.</w:t>
      </w:r>
    </w:p>
    <w:p w14:paraId="6004C60B" w14:textId="77777777" w:rsidR="004B2B9D" w:rsidRDefault="00000000">
      <w:pPr>
        <w:spacing w:after="120"/>
        <w:ind w:firstLine="720"/>
        <w:rPr>
          <w:rFonts w:ascii="Times New Roman" w:hAnsi="Times New Roman"/>
          <w:sz w:val="24"/>
          <w:lang w:val="sv-SE"/>
        </w:rPr>
      </w:pPr>
      <w:r>
        <w:rPr>
          <w:rFonts w:ascii="Times New Roman" w:hAnsi="Times New Roman"/>
          <w:sz w:val="24"/>
          <w:lang w:val="sv-SE"/>
        </w:rPr>
        <w:t>The manufacturing sector has shown a positive and relatively stable growth trend compared to the mining sector. The highest growth was recorded in 2012 at 11.51% and in 2024 at 11.63%. However, this sector experienced a significant slowdown in 2018 at 2.07% and 2020 at 3.01%, thought to be the impact of the COVID-19 pandemic. Overall, the manufacturing sector plays a crucial role as a driving force for the national economy, reflecting the success of the downstreaming process and the increased added value of domestic products.</w:t>
      </w:r>
    </w:p>
    <w:p w14:paraId="322E72A2" w14:textId="77777777" w:rsidR="004B2B9D" w:rsidRDefault="00000000">
      <w:pPr>
        <w:spacing w:after="120"/>
        <w:ind w:firstLine="720"/>
        <w:rPr>
          <w:rFonts w:ascii="Times New Roman" w:hAnsi="Times New Roman"/>
          <w:sz w:val="24"/>
          <w:lang w:val="sv-SE"/>
        </w:rPr>
      </w:pPr>
      <w:r>
        <w:rPr>
          <w:rFonts w:ascii="Times New Roman" w:hAnsi="Times New Roman"/>
          <w:sz w:val="24"/>
          <w:lang w:val="sv-SE"/>
        </w:rPr>
        <w:t>Research requires information relevant to the problem being studied. Therefore, previous research is needed to gather information, conduct comparative analysis, and discover new ideas that can inspire subsequent research. Below are some journal articles from previous research.</w:t>
      </w:r>
    </w:p>
    <w:p w14:paraId="3AF07423" w14:textId="77777777" w:rsidR="004B2B9D" w:rsidRDefault="00000000">
      <w:pPr>
        <w:spacing w:after="120"/>
        <w:ind w:firstLine="720"/>
        <w:rPr>
          <w:rFonts w:ascii="Times New Roman" w:hAnsi="Times New Roman"/>
          <w:sz w:val="24"/>
          <w:lang w:val="sv-SE"/>
        </w:rPr>
      </w:pPr>
      <w:r>
        <w:rPr>
          <w:rFonts w:ascii="Times New Roman" w:hAnsi="Times New Roman"/>
          <w:i/>
          <w:iCs/>
          <w:sz w:val="24"/>
          <w:lang w:val="sv-SE"/>
        </w:rPr>
        <w:t>First,</w:t>
      </w:r>
      <w:r>
        <w:rPr>
          <w:rFonts w:ascii="Times New Roman" w:hAnsi="Times New Roman"/>
          <w:sz w:val="24"/>
          <w:lang w:val="sv-SE"/>
        </w:rPr>
        <w:t>previous research with the title "The Influence of the Mining and Excavation Sector on the Gross Regional Domestic Product of Banggai Regency" written by</w:t>
      </w:r>
      <w:r>
        <w:rPr>
          <w:rFonts w:ascii="Times New Roman" w:hAnsi="Times New Roman"/>
          <w:sz w:val="24"/>
          <w:lang w:val="sv-SE"/>
        </w:rPr>
        <w:fldChar w:fldCharType="begin" w:fldLock="1"/>
      </w:r>
      <w:r>
        <w:rPr>
          <w:rFonts w:ascii="Times New Roman" w:hAnsi="Times New Roman"/>
          <w:sz w:val="24"/>
          <w:lang w:val="sv-SE"/>
        </w:rPr>
        <w:instrText>ADDIN CSL_CITATION {"citationItems":[{"id":"ITEM-1","itemData":{"abstract":"Abstrak Hasil penelitian ini menunjukkan persamaan regresi yaitu Y = 7927045,556 + 2,128 X, dalam persamaan tersebut dapat dilihat bahwa nilai X sebesar 2,128 (positif), ini berarti jika sektor pertambangan dan penggalian semakin meningkat maka PDRB Kabupaten Banggai juga akan semakin meningkat dan jika sektor pertambangan dan penggalian sama dengan nol (0) maka PDRB Kabupaten Banggai akan mengalami penurunan sebesar 7927045,556. Besaran koefisien korelasi (R) yang didapatkan sebesar 0,991, ini berarti hubungan antara sektor pertambangan dan penggalian dan PDRB sangat kuat karena berada pada interval 0,80-1,000. Berdasarkan hasil uji thitung dilihat dari uji t nilai yang didapatkan yaitu thitung &gt; ttabel atau 14,494 &gt; 2,776 artinya sektor pertambangan dan penggalian berpengaruh positif dan signifikan terhadap Produk Domestik Regional Bruto (PDRB) Kabupaten Banggai. Kata kunci: Sektor Pertambangan dan Penggalian, Produk Domestik Regional Bruto (PDRB) Kabupaten Banggai Abstract The results of this study show the regression equation, namely Y = 7927045.556 + 2.128 X; in the equation, it can be seen that the X value is 2,128 (positive), which means that if the mining and quarrying sector increases, then the PDRB of Banggai Regency will also increase and if the mining and quarrying sector is equal to zero (0) then the PDRB of Banggai Regency will decrease by 7927045.556. The magnitude of the correlation coefficient (R) obtained is 0.991; the relationship between the mining and quarrying sectors and the GDP is very strong because it is at an interval of 0.80-1.000. Based on the results of the thing test, judging from the t-test, the value obtained, namely thing &gt; table or 14,494 &gt; 2,776, means that the mining and quarrying sector has a positive and significant effect on the Gross Regional Domestic Product (PDRB) of Banggai Regency.","author":[{"dropping-particle":"","family":"Barri","given":"ARRA","non-dropping-particle":"","parse-names":false,"suffix":""},{"dropping-particle":"","family":"Zakaria","given":"S","non-dropping-particle":"","parse-names":false,"suffix":""},{"dropping-particle":"","family":"Bidullah","given":"T","non-dropping-particle":"","parse-names":false,"suffix":""}],"container-title":"Jurnal Ilmiah Produktif","id":"ITEM-1","issue":"1","issued":{"date-parts":[["2021"]]},"page":"20-26","title":"The Influence of the Mining And Quarrying Sector on the Gross Regional Domestic Product of Banggai Regency","type":"article-journal","volume":"9"},"uris":["http://www.mendeley.com/documents/?uuid=a2629ceb-b56d-4a24-bacf-35cb54ac3834","http://www.mendeley.com/documents/?uuid=4773979f-b4aa-497a-a263-1a5bbe8b5bca"]}],"mendeley":{"formattedCitation":"(Barri, Zakaria and Bidullah, 2021)","plainTextFormattedCitation":"(Barri, Zakaria and Bidullah, 2021)","previouslyFormattedCitation":"(Barri, Zakaria and Bidullah, 2021)"},"properties":{"noteIndex":0},"schema":"https://github.com/citation-style-language/schema/raw/master/csl-citation.json"}</w:instrText>
      </w:r>
      <w:r>
        <w:rPr>
          <w:rFonts w:ascii="Times New Roman" w:hAnsi="Times New Roman"/>
          <w:sz w:val="24"/>
          <w:lang w:val="sv-SE"/>
        </w:rPr>
        <w:fldChar w:fldCharType="separate"/>
      </w:r>
      <w:r>
        <w:rPr>
          <w:rFonts w:ascii="Times New Roman" w:hAnsi="Times New Roman"/>
          <w:sz w:val="24"/>
          <w:lang w:val="sv-SE"/>
        </w:rPr>
        <w:t>(Barri, Zakaria and Bidullah, 2021)</w:t>
      </w:r>
      <w:r>
        <w:rPr>
          <w:rFonts w:ascii="Times New Roman" w:hAnsi="Times New Roman"/>
          <w:sz w:val="24"/>
          <w:lang w:val="id-ID"/>
        </w:rPr>
        <w:fldChar w:fldCharType="end"/>
      </w:r>
      <w:r>
        <w:rPr>
          <w:rFonts w:ascii="Times New Roman" w:hAnsi="Times New Roman"/>
          <w:sz w:val="24"/>
          <w:lang w:val="sv-SE"/>
        </w:rPr>
        <w:t xml:space="preserve">has the aim to determine the influence of mining and desire on the Gross Regional Domestic Product (GRDP) of Banggai Regency. This study aims to analyze the relationship and contribution of mining to economic growth in the Banggai Regency area. The results of this study show a regression equation, namely Y = 7927045.556 + 2.128 X, in the equation it can be seen </w:t>
      </w:r>
      <w:r>
        <w:rPr>
          <w:rFonts w:ascii="Times New Roman" w:hAnsi="Times New Roman"/>
          <w:sz w:val="24"/>
          <w:lang w:val="sv-SE"/>
        </w:rPr>
        <w:lastRenderedPageBreak/>
        <w:t>that the value of X is 2.128 (positive), this means that if the mining and quarrying sector increases, the GRDP of Banggai Regency will also increase and if the mining and quarrying sector is equal to zero (0) then the GRDP of Banggai Regency will experience a decrease of 7927045.556. The magnitude of the correlation coefficient (R) obtained is 0.991, this means that the relationship between the mining and quarrying sector and GRDP is very strong because it is in the interval of 0.80-1,000. Based on the results of the t-test, the t-value obtained is t-test &gt; t-table or 14.494 &gt; 2.776, meaning that the mining and excavation sector has a positive and significant effect on the Gross Regional Domestic Product (GRDP) of Banggai Regency.</w:t>
      </w:r>
    </w:p>
    <w:p w14:paraId="35A440E7" w14:textId="77777777" w:rsidR="004B2B9D" w:rsidRDefault="00000000">
      <w:pPr>
        <w:spacing w:after="120"/>
        <w:ind w:firstLine="720"/>
        <w:rPr>
          <w:rFonts w:ascii="Times New Roman" w:hAnsi="Times New Roman"/>
          <w:sz w:val="24"/>
          <w:lang w:val="sv-SE"/>
        </w:rPr>
      </w:pPr>
      <w:r>
        <w:rPr>
          <w:rFonts w:ascii="Times New Roman" w:hAnsi="Times New Roman"/>
          <w:i/>
          <w:iCs/>
          <w:sz w:val="24"/>
          <w:lang w:val="sv-SE"/>
        </w:rPr>
        <w:t>Second,</w:t>
      </w:r>
      <w:r>
        <w:rPr>
          <w:rFonts w:ascii="Times New Roman" w:hAnsi="Times New Roman"/>
          <w:sz w:val="24"/>
          <w:lang w:val="sv-SE"/>
        </w:rPr>
        <w:t xml:space="preserve"> </w:t>
      </w:r>
      <w:r>
        <w:rPr>
          <w:rFonts w:ascii="Times New Roman" w:hAnsi="Times New Roman"/>
          <w:sz w:val="24"/>
          <w:lang w:val="sv-SE"/>
        </w:rPr>
        <w:fldChar w:fldCharType="begin" w:fldLock="1"/>
      </w:r>
      <w:r>
        <w:rPr>
          <w:rFonts w:ascii="Times New Roman" w:hAnsi="Times New Roman"/>
          <w:sz w:val="24"/>
          <w:lang w:val="sv-SE"/>
        </w:rPr>
        <w:instrText>ADDIN CSL_CITATION {"citationItems":[{"id":"ITEM-1","itemData":{"abstract":"Sumberdaya batubara di Kaltim yang cukup besar membuat perekonomian Kaltim bertumpu pada sektor pertambangan dan penggalian. Dari data BPS, kontribusi sektor pertambangan dan penggalian dalam PDRB Kaltim tahun 2017 adalah sebesar 46,31%, naik 3,14% dari tahun 2016. Namun, dari total angkatan kerja di Kaltim pada tahun 2016 hanya sekitar 8,16% yang bekerja di sektor pertambangan dan penggalian. Padahal salah satu indikator terpenting dalam menilai perkembangan ekonomi adalah struktur tenaga kerja menurut sektor.Melihat gambaran perekonomian di Kaltim tersebut, maka perlu dilakukan kajian untuk menganalisis bagaimana peranan sektor pertambangan dan penggalian bagi perekonomian Kaltim dilihat dari indikator pendapatan dan tenaga kerja.Penelitian ini merupakan penelitian deskriptif dengan menggunakan pendekatan kuantitatif. Jenis data yang digunakan adalah data sekunder yang berasal dari BPS Indonesia dan dari BPS Kaltim selama tahun 2010-2016 kemudian dianalisis menggunakan Metode Location Quitient (LQ), Multiplier Effect, Elastisitas Tenaga Kerja, dan Trend Linier. Hasil penelitian menyimpulkan bahwa walaupun kontribusi sektor pertambangan dan penggalian menurun, namun berdasarkan hasil analisis LQ dengan PDRB dan tenaga kerja, menunjukkan bahwa sektor pertambangan dan penggalian Kaltim masih menjadi sektor basis (LQ&gt;1), dengan trend LQ yang cenderung meningkat. Namun sebagai sektor basis, sektor ini malah berbanding terbalik dengan memberikan dampak negatif dan cenderung menurun terhadap pembangunan wilayah Kaltim berdasarkan analisis Multifplier Efekbaik indikator PDRB maupun indikator tenaga kerja sertaberbanding terbalik dengan penyerapan tenang kerja yang memberikan indikasi bahwa sektor ini tergolong sektor yang capital intensive dan kurang mampu menyerap tenaga kerja secara optimal. Kata","author":[{"dropping-particle":"","family":"Noor","given":"","non-dropping-particle":"","parse-names":false,"suffix":""}],"container-title":"Riset Inossa","id":"ITEM-1","issued":{"date-parts":[["2019"]]},"page":"45-59","title":"Peranan Sektor Pertambangan dan Penggalian terhadap Perekonomian Kalimantan Timur (The Role of the Mining and Quarrying Sector for the Economy of East Kalimantan)","type":"article-journal","volume":"1"},"uris":["http://www.mendeley.com/documents/?uuid=ea79763f-a7b1-4495-ba31-9941455c66ec","http://www.mendeley.com/documents/?uuid=d41e52ab-fe92-4485-b5df-48496604838a"]}],"mendeley":{"formattedCitation":"(Noor, 2019)","plainTextFormattedCitation":"(Noor, 2019)","previouslyFormattedCitation":"(Noor, 2019)"},"properties":{"noteIndex":0},"schema":"https://github.com/citation-style-language/schema/raw/master/csl-citation.json"}</w:instrText>
      </w:r>
      <w:r>
        <w:rPr>
          <w:rFonts w:ascii="Times New Roman" w:hAnsi="Times New Roman"/>
          <w:sz w:val="24"/>
          <w:lang w:val="sv-SE"/>
        </w:rPr>
        <w:fldChar w:fldCharType="separate"/>
      </w:r>
      <w:r>
        <w:rPr>
          <w:rFonts w:ascii="Times New Roman" w:hAnsi="Times New Roman"/>
          <w:sz w:val="24"/>
          <w:lang w:val="sv-SE"/>
        </w:rPr>
        <w:t>(Noor, 2019)</w:t>
      </w:r>
      <w:r>
        <w:rPr>
          <w:rFonts w:ascii="Times New Roman" w:hAnsi="Times New Roman"/>
          <w:sz w:val="24"/>
          <w:lang w:val="id-ID"/>
        </w:rPr>
        <w:fldChar w:fldCharType="end"/>
      </w:r>
      <w:r>
        <w:rPr>
          <w:rFonts w:ascii="Times New Roman" w:hAnsi="Times New Roman"/>
          <w:sz w:val="24"/>
          <w:lang w:val="sv-SE"/>
        </w:rPr>
        <w:t>in his research entitled "The Role of the Mining and Quarrying Sector in the Economy of East Kalimantan" aims to analyze the contribution of the mining and quarrying sector to the Gross Regional Domestic Product (GRDP) and labor absorption in East Kalimantan. This research uses a quantitative descriptive method with secondary data from BPS Indonesia and BPS East Kalimantan for the period 2010–2016 which is analyzed through the Location Quotient (LQ), Multiplier Effect, Labor Elasticity, and Linear Trend Analysis approaches. The results of the study show that although the mining and quarrying sector is still a basic sector with an LQ value &gt; 1 and a trend that tends to increase, its contribution to GRDP has decreased and labor absorption is very low due to its capital intensive nature. The multiplier effect analysis also shows that the dominance of mining does not have a significant positive impact on regional development, even tends to cause inequality and weaken the balance of the regional economic structure.</w:t>
      </w:r>
    </w:p>
    <w:p w14:paraId="795A9DC1" w14:textId="77777777" w:rsidR="004B2B9D" w:rsidRDefault="00000000">
      <w:pPr>
        <w:spacing w:after="120"/>
        <w:ind w:firstLine="720"/>
        <w:rPr>
          <w:rFonts w:ascii="Times New Roman" w:hAnsi="Times New Roman"/>
          <w:sz w:val="24"/>
          <w:lang w:val="sv-SE"/>
        </w:rPr>
      </w:pPr>
      <w:r>
        <w:rPr>
          <w:rFonts w:ascii="Times New Roman" w:hAnsi="Times New Roman"/>
          <w:i/>
          <w:iCs/>
          <w:sz w:val="24"/>
          <w:lang w:val="sv-SE"/>
        </w:rPr>
        <w:t>Third</w:t>
      </w:r>
      <w:r>
        <w:rPr>
          <w:rFonts w:ascii="Times New Roman" w:hAnsi="Times New Roman"/>
          <w:sz w:val="24"/>
          <w:lang w:val="sv-SE"/>
        </w:rPr>
        <w:t>,</w:t>
      </w:r>
      <w:r>
        <w:rPr>
          <w:rFonts w:ascii="Times New Roman" w:hAnsi="Times New Roman"/>
          <w:sz w:val="24"/>
          <w:lang w:val="sv-SE"/>
        </w:rPr>
        <w:fldChar w:fldCharType="begin" w:fldLock="1"/>
      </w:r>
      <w:r>
        <w:rPr>
          <w:rFonts w:ascii="Times New Roman" w:hAnsi="Times New Roman"/>
          <w:sz w:val="24"/>
          <w:lang w:val="sv-SE"/>
        </w:rPr>
        <w:instrText>ADDIN CSL_CITATION {"citationItems":[{"id":"ITEM-1","itemData":{"DOI":"10.35138/paspalum.v11i2.569","ISSN":"2088-5113","abstract":"The role of the agricultural and industrial sectors on community welfare through the economic growth of GRDP in Banten Province. This study intends to examine the state of economic growth in Banten Province, analyzing the role of the agricultural sector and the industrial sector on economic growth and community welfare. This data was obtained from the Central Bureau of Statistics of Banten Province in 2001-2021. The analysis method used is path analysis using SPSS for Windows version 16. The results showed that the direct role of the agricultural sector, the industrial sector and the economic organization of GRDP played an insignificant role in the welfare of the people of Banten Province, while the indirect role of the industrial sector had a positive and significant effect on the economic growth of GRDP in Banten Province.","author":[{"dropping-particle":"","family":"Faisal","given":"Moch","non-dropping-particle":"","parse-names":false,"suffix":""},{"dropping-particle":"","family":"Nugraha","given":"Achmad Tjachja","non-dropping-particle":"","parse-names":false,"suffix":""},{"dropping-particle":"","family":"Aminudin","given":"Iwan","non-dropping-particle":"","parse-names":false,"suffix":""}],"container-title":"Paspalum: Jurnal Ilmiah Pertanian","id":"ITEM-1","issue":"2","issued":{"date-parts":[["2023"]]},"page":"197","title":"Analisis Peran Sektor Pertanian dan Sektor Industri terhadap Kesejahteraan Masyarakat Melalui Pertumbuhan Ekonomi PDRB di Provinsi Banten","type":"article-journal","volume":"11"},"uris":["http://www.mendeley.com/documents/?uuid=1995d4c6-99d9-4dc2-8714-219a71353a48","http://www.mendeley.com/documents/?uuid=ef896da1-eaa2-4fd6-8753-a1a9f3f818db"]}],"mendeley":{"formattedCitation":"(Faisal, Nugraha and Aminudin, 2023)","plainTextFormattedCitation":"(Faisal, Nugraha and Aminudin, 2023)","previouslyFormattedCitation":"(Faisal, Nugraha and Aminudin, 2023)"},"properties":{"noteIndex":0},"schema":"https://github.com/citation-style-language/schema/raw/master/csl-citation.json"}</w:instrText>
      </w:r>
      <w:r>
        <w:rPr>
          <w:rFonts w:ascii="Times New Roman" w:hAnsi="Times New Roman"/>
          <w:sz w:val="24"/>
          <w:lang w:val="sv-SE"/>
        </w:rPr>
        <w:fldChar w:fldCharType="separate"/>
      </w:r>
      <w:r>
        <w:rPr>
          <w:rFonts w:ascii="Times New Roman" w:hAnsi="Times New Roman"/>
          <w:sz w:val="24"/>
          <w:lang w:val="sv-SE"/>
        </w:rPr>
        <w:t>(Faisal, Nugraha and Aminudin, 2023)</w:t>
      </w:r>
      <w:r>
        <w:rPr>
          <w:rFonts w:ascii="Times New Roman" w:hAnsi="Times New Roman"/>
          <w:sz w:val="24"/>
          <w:lang w:val="id-ID"/>
        </w:rPr>
        <w:fldChar w:fldCharType="end"/>
      </w:r>
      <w:r>
        <w:rPr>
          <w:rFonts w:ascii="Times New Roman" w:hAnsi="Times New Roman"/>
          <w:sz w:val="24"/>
          <w:lang w:val="sv-SE"/>
        </w:rPr>
        <w:t>In his article entitled "Analysis of the Role of the Agricultural and Industrial Sectors on Community Welfare Through the Economic Growth of GRDP in Banten Province," this study highlights the relationship between the agricultural and industrial sectors on economic growth and community welfare. Several previous studies have shown that the agricultural sector in certain regions can support industrial development and import-export, but high dependence on global markets and low investment limit economic growth. In addition, the quality of employment in these regions remains low, with many temporary and unskilled workers, which leads to high unemployment and poverty rates. In general, previous research indicates that the direct influence of the agricultural and industrial sectors on community welfare is not yet significant enough, although both can contribute indirectly through economic growth. These results indicate the need for the development of leading sectors and supporting policies so that these sectors can improve welfare more effectively.</w:t>
      </w:r>
    </w:p>
    <w:p w14:paraId="2462EC07" w14:textId="77777777" w:rsidR="004B2B9D" w:rsidRDefault="004B2B9D">
      <w:pPr>
        <w:spacing w:after="120"/>
        <w:ind w:firstLine="720"/>
        <w:rPr>
          <w:rFonts w:ascii="Times New Roman" w:hAnsi="Times New Roman"/>
          <w:sz w:val="24"/>
          <w:lang w:val="id-ID"/>
        </w:rPr>
      </w:pPr>
    </w:p>
    <w:p w14:paraId="02058637" w14:textId="77777777" w:rsidR="004B2B9D" w:rsidRDefault="00000000">
      <w:pPr>
        <w:numPr>
          <w:ilvl w:val="0"/>
          <w:numId w:val="1"/>
        </w:numPr>
        <w:rPr>
          <w:rFonts w:ascii="Book Antiqua" w:hAnsi="Book Antiqua"/>
          <w:b/>
          <w:bCs/>
          <w:sz w:val="24"/>
          <w:lang w:val="sv-SE" w:eastAsia="en-US"/>
        </w:rPr>
      </w:pPr>
      <w:r>
        <w:rPr>
          <w:rFonts w:ascii="Book Antiqua" w:hAnsi="Book Antiqua"/>
          <w:b/>
          <w:bCs/>
          <w:sz w:val="24"/>
          <w:lang w:val="sv-SE"/>
        </w:rPr>
        <w:t>RESEARCH METHODS</w:t>
      </w:r>
    </w:p>
    <w:p w14:paraId="28FA8BE7"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The scope of this research is the mining and processing industry sectors in Bengkalis Regency. Community welfare is measured by the Human Development Index (HDI). This study uses data from the Bengkalis Regency Statistics Agency (BPS) from 2011 to 2024. This research was conducted using a quantitative method with a descriptive approach. The descriptive method is a research method that conveys facts by describing what is seen, obtained, and felt (Purba et al., 2021). Data in quantitative research is in numerical form.</w:t>
      </w:r>
    </w:p>
    <w:p w14:paraId="2ED5DEEF"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This study uses numbers as a tool for analyzing the research question. The data collection technique involves collecting secondary data obtained from other parties in the form of publications. Secondary data was collected from the Statistics Indonesia (BPS) and related institutions from 2011 to 2024 in Bengkalis Regency.</w:t>
      </w:r>
    </w:p>
    <w:p w14:paraId="5DD64247"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The data analysis method used in this study is multiple linear regression analysis using time series data. The multiple linear regression model used in this study is as follows:</w:t>
      </w:r>
    </w:p>
    <w:p w14:paraId="7FB97442" w14:textId="77777777" w:rsidR="004B2B9D" w:rsidRDefault="004B2B9D">
      <w:pPr>
        <w:spacing w:after="120"/>
        <w:ind w:firstLine="454"/>
        <w:rPr>
          <w:rFonts w:ascii="Times New Roman" w:hAnsi="Times New Roman"/>
          <w:color w:val="000000"/>
          <w:sz w:val="24"/>
          <w:lang w:val="sv-SE"/>
        </w:rPr>
      </w:pPr>
    </w:p>
    <w:p w14:paraId="08ADF959" w14:textId="77777777" w:rsidR="004B2B9D" w:rsidRDefault="004B2B9D">
      <w:pPr>
        <w:spacing w:after="120"/>
        <w:ind w:firstLine="454"/>
        <w:rPr>
          <w:rFonts w:ascii="Times New Roman" w:hAnsi="Times New Roman"/>
          <w:color w:val="000000"/>
          <w:sz w:val="24"/>
          <w:lang w:val="sv-SE"/>
        </w:rPr>
      </w:pPr>
    </w:p>
    <w:p w14:paraId="15437811" w14:textId="77777777" w:rsidR="004B2B9D" w:rsidRDefault="00000000">
      <w:pPr>
        <w:spacing w:after="120"/>
        <w:ind w:firstLine="454"/>
        <w:jc w:val="center"/>
        <w:rPr>
          <w:rFonts w:ascii="Times New Roman" w:hAnsi="Times New Roman"/>
          <w:color w:val="000000"/>
          <w:sz w:val="24"/>
          <w:lang w:val="en-US"/>
        </w:rPr>
      </w:pPr>
      <w:r>
        <w:rPr>
          <w:rFonts w:ascii="Times New Roman" w:hAnsi="Times New Roman"/>
          <w:color w:val="000000"/>
          <w:sz w:val="24"/>
          <w:lang w:val="en-US"/>
        </w:rPr>
        <w:lastRenderedPageBreak/>
        <w:t>Y= a + b1X1 + b2X2 + e</w:t>
      </w:r>
    </w:p>
    <w:p w14:paraId="5861E882" w14:textId="77777777" w:rsidR="004B2B9D" w:rsidRDefault="00000000">
      <w:pPr>
        <w:spacing w:after="120"/>
        <w:ind w:firstLine="454"/>
        <w:rPr>
          <w:rFonts w:ascii="Times New Roman" w:hAnsi="Times New Roman"/>
          <w:color w:val="000000"/>
          <w:sz w:val="24"/>
          <w:lang w:val="en-US"/>
        </w:rPr>
      </w:pPr>
      <w:r>
        <w:rPr>
          <w:rFonts w:ascii="Times New Roman" w:hAnsi="Times New Roman"/>
          <w:color w:val="000000"/>
          <w:sz w:val="24"/>
          <w:lang w:val="en-US"/>
        </w:rPr>
        <w:t>Information</w:t>
      </w:r>
    </w:p>
    <w:p w14:paraId="3F21B63E"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Y</w:t>
      </w:r>
      <w:r>
        <w:rPr>
          <w:rFonts w:ascii="Times New Roman" w:hAnsi="Times New Roman"/>
          <w:color w:val="000000"/>
          <w:sz w:val="24"/>
          <w:lang w:val="sv-SE"/>
        </w:rPr>
        <w:tab/>
      </w:r>
      <w:r>
        <w:rPr>
          <w:rFonts w:ascii="Times New Roman" w:hAnsi="Times New Roman"/>
          <w:color w:val="000000"/>
          <w:sz w:val="24"/>
          <w:lang w:val="sv-SE"/>
        </w:rPr>
        <w:tab/>
        <w:t>= GRDP</w:t>
      </w:r>
    </w:p>
    <w:p w14:paraId="0B593B66"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a</w:t>
      </w:r>
      <w:r>
        <w:rPr>
          <w:rFonts w:ascii="Times New Roman" w:hAnsi="Times New Roman"/>
          <w:color w:val="000000"/>
          <w:sz w:val="24"/>
          <w:lang w:val="sv-SE"/>
        </w:rPr>
        <w:tab/>
      </w:r>
      <w:r>
        <w:rPr>
          <w:rFonts w:ascii="Times New Roman" w:hAnsi="Times New Roman"/>
          <w:color w:val="000000"/>
          <w:sz w:val="24"/>
          <w:lang w:val="sv-SE"/>
        </w:rPr>
        <w:tab/>
        <w:t>= Constant</w:t>
      </w:r>
    </w:p>
    <w:p w14:paraId="7948677B"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b1, b2</w:t>
      </w:r>
      <w:r>
        <w:rPr>
          <w:rFonts w:ascii="Times New Roman" w:hAnsi="Times New Roman"/>
          <w:color w:val="000000"/>
          <w:sz w:val="24"/>
          <w:lang w:val="sv-SE"/>
        </w:rPr>
        <w:tab/>
        <w:t>= Regression Number</w:t>
      </w:r>
    </w:p>
    <w:p w14:paraId="69B6D90F"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X1</w:t>
      </w:r>
      <w:r>
        <w:rPr>
          <w:rFonts w:ascii="Times New Roman" w:hAnsi="Times New Roman"/>
          <w:color w:val="000000"/>
          <w:sz w:val="24"/>
          <w:vertAlign w:val="subscript"/>
          <w:lang w:val="sv-SE"/>
        </w:rPr>
        <w:tab/>
      </w:r>
      <w:r>
        <w:rPr>
          <w:rFonts w:ascii="Times New Roman" w:hAnsi="Times New Roman"/>
          <w:color w:val="000000"/>
          <w:sz w:val="24"/>
          <w:lang w:val="sv-SE"/>
        </w:rPr>
        <w:tab/>
        <w:t>= Mining Excavation Sector</w:t>
      </w:r>
    </w:p>
    <w:p w14:paraId="26B20C90"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X2</w:t>
      </w:r>
      <w:r>
        <w:rPr>
          <w:rFonts w:ascii="Times New Roman" w:hAnsi="Times New Roman"/>
          <w:color w:val="000000"/>
          <w:sz w:val="24"/>
          <w:lang w:val="sv-SE"/>
        </w:rPr>
        <w:tab/>
      </w:r>
      <w:r>
        <w:rPr>
          <w:rFonts w:ascii="Times New Roman" w:hAnsi="Times New Roman"/>
          <w:color w:val="000000"/>
          <w:sz w:val="24"/>
          <w:lang w:val="sv-SE"/>
        </w:rPr>
        <w:tab/>
        <w:t>= Manufacturing Industry Sector</w:t>
      </w:r>
    </w:p>
    <w:p w14:paraId="1798AA4F" w14:textId="77777777" w:rsidR="004B2B9D" w:rsidRDefault="00000000">
      <w:pPr>
        <w:spacing w:after="120"/>
        <w:ind w:firstLine="454"/>
        <w:rPr>
          <w:rFonts w:ascii="Times New Roman" w:hAnsi="Times New Roman"/>
          <w:color w:val="000000"/>
          <w:sz w:val="24"/>
          <w:lang w:val="sv-SE"/>
        </w:rPr>
      </w:pPr>
      <w:r>
        <w:rPr>
          <w:rFonts w:ascii="Times New Roman" w:hAnsi="Times New Roman"/>
          <w:color w:val="000000"/>
          <w:sz w:val="24"/>
          <w:lang w:val="sv-SE"/>
        </w:rPr>
        <w:t>e</w:t>
      </w:r>
      <w:r>
        <w:rPr>
          <w:rFonts w:ascii="Times New Roman" w:hAnsi="Times New Roman"/>
          <w:color w:val="000000"/>
          <w:sz w:val="24"/>
          <w:lang w:val="en-US"/>
        </w:rPr>
        <w:tab/>
      </w:r>
      <w:r>
        <w:rPr>
          <w:rFonts w:ascii="Times New Roman" w:hAnsi="Times New Roman"/>
          <w:color w:val="000000"/>
          <w:sz w:val="24"/>
          <w:lang w:val="en-US"/>
        </w:rPr>
        <w:tab/>
      </w:r>
      <w:r>
        <w:rPr>
          <w:rFonts w:ascii="Times New Roman" w:hAnsi="Times New Roman"/>
          <w:color w:val="000000"/>
          <w:sz w:val="24"/>
          <w:lang w:val="sv-SE"/>
        </w:rPr>
        <w:t>= Standard Error</w:t>
      </w:r>
    </w:p>
    <w:p w14:paraId="56CA62CD" w14:textId="77777777" w:rsidR="004B2B9D" w:rsidRDefault="00000000">
      <w:pPr>
        <w:spacing w:after="120"/>
        <w:ind w:firstLine="454"/>
        <w:rPr>
          <w:color w:val="000000"/>
        </w:rPr>
      </w:pPr>
      <w:r>
        <w:rPr>
          <w:rFonts w:ascii="Times New Roman" w:hAnsi="Times New Roman"/>
          <w:color w:val="000000"/>
          <w:sz w:val="24"/>
          <w:lang w:val="id-ID"/>
        </w:rPr>
        <w:t>.</w:t>
      </w:r>
    </w:p>
    <w:p w14:paraId="2D3D44F7" w14:textId="77777777" w:rsidR="004B2B9D" w:rsidRDefault="004B2B9D">
      <w:pPr>
        <w:ind w:firstLine="454"/>
        <w:rPr>
          <w:rFonts w:ascii="Times New Roman" w:hAnsi="Times New Roman"/>
          <w:sz w:val="24"/>
          <w:lang w:val="id-ID"/>
        </w:rPr>
      </w:pPr>
    </w:p>
    <w:p w14:paraId="228B8030" w14:textId="77777777" w:rsidR="004B2B9D" w:rsidRDefault="004B2B9D">
      <w:pPr>
        <w:ind w:firstLine="454"/>
        <w:rPr>
          <w:rFonts w:ascii="Times New Roman" w:hAnsi="Times New Roman"/>
          <w:sz w:val="24"/>
          <w:lang w:val="id-ID"/>
        </w:rPr>
      </w:pPr>
    </w:p>
    <w:p w14:paraId="5CC17DB7" w14:textId="77777777" w:rsidR="004B2B9D" w:rsidRDefault="00000000">
      <w:pPr>
        <w:ind w:firstLine="454"/>
        <w:rPr>
          <w:rFonts w:ascii="Times New Roman" w:hAnsi="Times New Roman"/>
          <w:sz w:val="24"/>
          <w:lang w:val="id-ID"/>
        </w:rPr>
      </w:pPr>
      <w:r>
        <w:rPr>
          <w:rFonts w:ascii="Times New Roman" w:hAnsi="Times New Roman"/>
          <w:noProof/>
          <w:sz w:val="24"/>
          <w:lang w:val="id-ID"/>
        </w:rPr>
        <w:drawing>
          <wp:inline distT="0" distB="0" distL="0" distR="0" wp14:anchorId="15F7BC4C" wp14:editId="5BFF77D7">
            <wp:extent cx="4864100" cy="1943100"/>
            <wp:effectExtent l="0" t="0" r="0" b="0"/>
            <wp:docPr id="115068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81644" name="Picture 1"/>
                    <pic:cNvPicPr>
                      <a:picLocks noChangeAspect="1"/>
                    </pic:cNvPicPr>
                  </pic:nvPicPr>
                  <pic:blipFill>
                    <a:blip r:embed="rId15"/>
                    <a:stretch>
                      <a:fillRect/>
                    </a:stretch>
                  </pic:blipFill>
                  <pic:spPr>
                    <a:xfrm>
                      <a:off x="0" y="0"/>
                      <a:ext cx="4864350" cy="1943200"/>
                    </a:xfrm>
                    <a:prstGeom prst="rect">
                      <a:avLst/>
                    </a:prstGeom>
                  </pic:spPr>
                </pic:pic>
              </a:graphicData>
            </a:graphic>
          </wp:inline>
        </w:drawing>
      </w:r>
    </w:p>
    <w:p w14:paraId="0600ABE0" w14:textId="77777777" w:rsidR="004B2B9D" w:rsidRDefault="004B2B9D">
      <w:pPr>
        <w:ind w:firstLine="454"/>
        <w:rPr>
          <w:rFonts w:ascii="Times New Roman" w:hAnsi="Times New Roman"/>
          <w:sz w:val="24"/>
          <w:lang w:val="id-ID"/>
        </w:rPr>
      </w:pPr>
    </w:p>
    <w:p w14:paraId="62CE7468" w14:textId="77777777" w:rsidR="004B2B9D" w:rsidRDefault="00000000">
      <w:pPr>
        <w:ind w:firstLine="454"/>
        <w:rPr>
          <w:rFonts w:ascii="Times New Roman" w:hAnsi="Times New Roman"/>
          <w:sz w:val="24"/>
          <w:lang w:val="id-ID"/>
        </w:rPr>
      </w:pPr>
      <w:r>
        <w:rPr>
          <w:rFonts w:ascii="Times New Roman" w:hAnsi="Times New Roman"/>
          <w:noProof/>
          <w:sz w:val="24"/>
          <w:lang w:val="zh-CN" w:eastAsia="zh-CN"/>
        </w:rPr>
        <mc:AlternateContent>
          <mc:Choice Requires="wps">
            <w:drawing>
              <wp:anchor distT="45720" distB="45720" distL="114300" distR="114300" simplePos="0" relativeHeight="251660800" behindDoc="0" locked="0" layoutInCell="1" allowOverlap="1" wp14:anchorId="72A550D7" wp14:editId="4B1B2ADC">
                <wp:simplePos x="0" y="0"/>
                <wp:positionH relativeFrom="column">
                  <wp:posOffset>967740</wp:posOffset>
                </wp:positionH>
                <wp:positionV relativeFrom="paragraph">
                  <wp:posOffset>8255</wp:posOffset>
                </wp:positionV>
                <wp:extent cx="3571875" cy="426085"/>
                <wp:effectExtent l="0" t="0" r="0" b="0"/>
                <wp:wrapSquare wrapText="bothSides"/>
                <wp:docPr id="182056758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426085"/>
                        </a:xfrm>
                        <a:prstGeom prst="rect">
                          <a:avLst/>
                        </a:prstGeom>
                        <a:noFill/>
                        <a:ln w="9525">
                          <a:noFill/>
                          <a:miter lim="800000"/>
                        </a:ln>
                      </wps:spPr>
                      <wps:txbx>
                        <w:txbxContent>
                          <w:p w14:paraId="0A35E8B7" w14:textId="77777777" w:rsidR="004B2B9D" w:rsidRDefault="00000000">
                            <w:pPr>
                              <w:jc w:val="center"/>
                              <w:rPr>
                                <w:rFonts w:ascii="Times New Roman" w:hAnsi="Times New Roman"/>
                              </w:rPr>
                            </w:pPr>
                            <w:r>
                              <w:rPr>
                                <w:rFonts w:ascii="Times New Roman" w:hAnsi="Times New Roman"/>
                              </w:rPr>
                              <w:t>Figure 1 Conceptual Framework of the Research</w:t>
                            </w:r>
                          </w:p>
                        </w:txbxContent>
                      </wps:txbx>
                      <wps:bodyPr rot="0" vertOverflow="clip" horzOverflow="clip"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0" o:spid="_x0000_s1026" o:spt="202" type="#_x0000_t202" style="position:absolute;left:0pt;margin-left:76.2pt;margin-top:0.65pt;height:33.55pt;width:281.25pt;mso-wrap-distance-bottom:3.6pt;mso-wrap-distance-left:9pt;mso-wrap-distance-right:9pt;mso-wrap-distance-top:3.6pt;z-index:251668480;mso-width-relative:page;mso-height-relative:margin;mso-height-percent:200;" filled="f" stroked="f" coordsize="21600,21600" o:gfxdata="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kQj5p1wAAAAgBAAAPAAAAAAAAAAEAIAAAACIAAABkcnMvZG93bnJldi54bWxQSwEC&#10;FAAUAAAACACHTuJAwTLlny4CAABaBAAADgAAAAAAAAABACAAAAAmAQAAZHJzL2Uyb0RvYy54bWxQ&#10;SwUGAAAAAAYABgBZAQAAxgUAAAAA&#10;">
                <v:fill on="f" focussize="0,0"/>
                <v:stroke on="f" miterlimit="8" joinstyle="miter"/>
                <v:imagedata o:title=""/>
                <o:lock v:ext="edit" aspectratio="f"/>
                <v:textbox style="mso-fit-shape-to-text:t;">
                  <w:txbxContent>
                    <w:p w14:paraId="74920F6B">
                      <w:pPr>
                        <w:jc w:val="center"/>
                        <w:rPr>
                          <w:rFonts w:ascii="Times New Roman" w:hAnsi="Times New Roman"/>
                        </w:rPr>
                      </w:pPr>
                      <w:r>
                        <w:rPr>
                          <w:rFonts w:ascii="Times New Roman" w:hAnsi="Times New Roman"/>
                        </w:rPr>
                        <w:t>Figure 1 Conceptual Framework of the Research</w:t>
                      </w:r>
                    </w:p>
                  </w:txbxContent>
                </v:textbox>
                <w10:wrap type="square"/>
              </v:shape>
            </w:pict>
          </mc:Fallback>
        </mc:AlternateContent>
      </w:r>
    </w:p>
    <w:p w14:paraId="2554B74A" w14:textId="77777777" w:rsidR="004B2B9D" w:rsidRDefault="004B2B9D">
      <w:pPr>
        <w:tabs>
          <w:tab w:val="right" w:pos="5843"/>
        </w:tabs>
        <w:rPr>
          <w:rFonts w:ascii="Times New Roman" w:hAnsi="Times New Roman"/>
          <w:sz w:val="24"/>
          <w:lang w:val="id-ID"/>
        </w:rPr>
      </w:pPr>
    </w:p>
    <w:p w14:paraId="3E084EE0" w14:textId="77777777" w:rsidR="004B2B9D" w:rsidRDefault="00000000">
      <w:pPr>
        <w:numPr>
          <w:ilvl w:val="0"/>
          <w:numId w:val="1"/>
        </w:numPr>
        <w:tabs>
          <w:tab w:val="clear" w:pos="425"/>
          <w:tab w:val="right" w:pos="5843"/>
        </w:tabs>
        <w:rPr>
          <w:rFonts w:ascii="Book Antiqua" w:hAnsi="Book Antiqua"/>
          <w:b/>
          <w:sz w:val="24"/>
          <w:lang w:val="id-ID"/>
        </w:rPr>
      </w:pPr>
      <w:r>
        <w:rPr>
          <w:rFonts w:ascii="Book Antiqua" w:hAnsi="Book Antiqua"/>
          <w:b/>
          <w:sz w:val="24"/>
          <w:lang w:val="id-ID"/>
        </w:rPr>
        <w:t>RESULTS AND DISCUSSION</w:t>
      </w:r>
    </w:p>
    <w:p w14:paraId="5FC6BBAB" w14:textId="77777777" w:rsidR="004B2B9D" w:rsidRDefault="00000000">
      <w:pPr>
        <w:rPr>
          <w:rFonts w:ascii="Times New Roman" w:hAnsi="Times New Roman"/>
          <w:b/>
          <w:bCs/>
          <w:i/>
          <w:iCs/>
          <w:sz w:val="24"/>
        </w:rPr>
      </w:pPr>
      <w:r>
        <w:rPr>
          <w:rFonts w:ascii="Times New Roman" w:hAnsi="Times New Roman"/>
          <w:b/>
          <w:bCs/>
          <w:i/>
          <w:iCs/>
          <w:sz w:val="24"/>
        </w:rPr>
        <w:t>Classical Assumption Test Results</w:t>
      </w:r>
    </w:p>
    <w:p w14:paraId="661A7638" w14:textId="77777777" w:rsidR="004B2B9D" w:rsidRDefault="00000000">
      <w:pPr>
        <w:pStyle w:val="ListParagraph"/>
        <w:numPr>
          <w:ilvl w:val="0"/>
          <w:numId w:val="4"/>
        </w:numPr>
        <w:overflowPunct/>
        <w:contextualSpacing/>
        <w:rPr>
          <w:rFonts w:ascii="Times New Roman" w:hAnsi="Times New Roman"/>
          <w:i/>
          <w:iCs/>
          <w:sz w:val="24"/>
          <w:szCs w:val="24"/>
        </w:rPr>
      </w:pPr>
      <w:r>
        <w:rPr>
          <w:rFonts w:ascii="Times New Roman" w:hAnsi="Times New Roman"/>
          <w:b/>
          <w:bCs/>
          <w:sz w:val="24"/>
          <w:szCs w:val="24"/>
        </w:rPr>
        <w:t>Normality Test using Kolmogorov-Smirnov</w:t>
      </w:r>
    </w:p>
    <w:p w14:paraId="20364027" w14:textId="77777777" w:rsidR="004B2B9D" w:rsidRDefault="00000000">
      <w:pPr>
        <w:pStyle w:val="ListParagraph"/>
        <w:rPr>
          <w:rFonts w:ascii="Times New Roman" w:hAnsi="Times New Roman"/>
          <w:i/>
          <w:iCs/>
          <w:sz w:val="24"/>
          <w:szCs w:val="24"/>
        </w:rPr>
      </w:pPr>
      <w:r>
        <w:rPr>
          <w:noProof/>
        </w:rPr>
        <w:drawing>
          <wp:anchor distT="0" distB="0" distL="114300" distR="114300" simplePos="0" relativeHeight="251651584" behindDoc="0" locked="0" layoutInCell="1" allowOverlap="1" wp14:anchorId="6C482358" wp14:editId="2680D69D">
            <wp:simplePos x="0" y="0"/>
            <wp:positionH relativeFrom="column">
              <wp:posOffset>1282065</wp:posOffset>
            </wp:positionH>
            <wp:positionV relativeFrom="paragraph">
              <wp:posOffset>16510</wp:posOffset>
            </wp:positionV>
            <wp:extent cx="3282315" cy="2581275"/>
            <wp:effectExtent l="0" t="0" r="0" b="9525"/>
            <wp:wrapNone/>
            <wp:docPr id="2847516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51656" name="Picture 1" descr="A screenshot of a computer&#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rcRect l="17149" t="38256" r="50070" b="15874"/>
                    <a:stretch>
                      <a:fillRect/>
                    </a:stretch>
                  </pic:blipFill>
                  <pic:spPr>
                    <a:xfrm>
                      <a:off x="0" y="0"/>
                      <a:ext cx="3303039" cy="2597705"/>
                    </a:xfrm>
                    <a:prstGeom prst="rect">
                      <a:avLst/>
                    </a:prstGeom>
                    <a:ln>
                      <a:noFill/>
                    </a:ln>
                  </pic:spPr>
                </pic:pic>
              </a:graphicData>
            </a:graphic>
          </wp:anchor>
        </w:drawing>
      </w:r>
    </w:p>
    <w:p w14:paraId="5C47CAAB" w14:textId="77777777" w:rsidR="004B2B9D" w:rsidRDefault="004B2B9D">
      <w:pPr>
        <w:pStyle w:val="ListParagraph"/>
        <w:rPr>
          <w:rFonts w:ascii="Times New Roman" w:hAnsi="Times New Roman"/>
          <w:sz w:val="24"/>
          <w:szCs w:val="24"/>
        </w:rPr>
      </w:pPr>
    </w:p>
    <w:p w14:paraId="4936EC4B" w14:textId="77777777" w:rsidR="004B2B9D" w:rsidRDefault="004B2B9D"/>
    <w:p w14:paraId="5B13E1D8" w14:textId="77777777" w:rsidR="004B2B9D" w:rsidRDefault="004B2B9D"/>
    <w:p w14:paraId="24CC0B30" w14:textId="77777777" w:rsidR="004B2B9D" w:rsidRDefault="004B2B9D"/>
    <w:p w14:paraId="42D6039C" w14:textId="77777777" w:rsidR="004B2B9D" w:rsidRDefault="004B2B9D"/>
    <w:p w14:paraId="275542FA" w14:textId="77777777" w:rsidR="004B2B9D" w:rsidRDefault="004B2B9D"/>
    <w:p w14:paraId="0CF7395B" w14:textId="77777777" w:rsidR="004B2B9D" w:rsidRDefault="00000000">
      <w:r>
        <w:tab/>
      </w:r>
    </w:p>
    <w:p w14:paraId="036004F2" w14:textId="77777777" w:rsidR="004B2B9D" w:rsidRDefault="004B2B9D">
      <w:pPr>
        <w:ind w:firstLine="720"/>
        <w:rPr>
          <w:rFonts w:ascii="Times New Roman" w:hAnsi="Times New Roman"/>
          <w:sz w:val="24"/>
          <w:lang w:val="zh-CN"/>
        </w:rPr>
      </w:pPr>
    </w:p>
    <w:p w14:paraId="15AA63D3" w14:textId="77777777" w:rsidR="004B2B9D" w:rsidRDefault="004B2B9D">
      <w:pPr>
        <w:ind w:firstLine="720"/>
        <w:rPr>
          <w:rFonts w:ascii="Times New Roman" w:hAnsi="Times New Roman"/>
          <w:sz w:val="24"/>
          <w:lang w:val="zh-CN"/>
        </w:rPr>
      </w:pPr>
    </w:p>
    <w:p w14:paraId="44C45A10" w14:textId="77777777" w:rsidR="004B2B9D" w:rsidRDefault="004B2B9D">
      <w:pPr>
        <w:ind w:firstLine="720"/>
        <w:rPr>
          <w:rFonts w:ascii="Times New Roman" w:hAnsi="Times New Roman"/>
          <w:sz w:val="24"/>
          <w:lang w:val="zh-CN"/>
        </w:rPr>
      </w:pPr>
    </w:p>
    <w:p w14:paraId="3BBFEB6F" w14:textId="77777777" w:rsidR="004B2B9D" w:rsidRDefault="004B2B9D">
      <w:pPr>
        <w:ind w:firstLine="720"/>
        <w:rPr>
          <w:rFonts w:ascii="Times New Roman" w:hAnsi="Times New Roman"/>
          <w:sz w:val="24"/>
          <w:lang w:val="zh-CN"/>
        </w:rPr>
      </w:pPr>
    </w:p>
    <w:p w14:paraId="4CB7D013" w14:textId="77777777" w:rsidR="004B2B9D" w:rsidRDefault="004B2B9D">
      <w:pPr>
        <w:ind w:firstLine="720"/>
        <w:rPr>
          <w:rFonts w:ascii="Times New Roman" w:hAnsi="Times New Roman"/>
          <w:sz w:val="24"/>
          <w:lang w:val="zh-CN"/>
        </w:rPr>
      </w:pPr>
    </w:p>
    <w:p w14:paraId="42B63F12" w14:textId="77777777" w:rsidR="004B2B9D" w:rsidRDefault="004B2B9D">
      <w:pPr>
        <w:ind w:firstLine="720"/>
        <w:rPr>
          <w:rFonts w:ascii="Times New Roman" w:hAnsi="Times New Roman"/>
          <w:sz w:val="24"/>
          <w:lang w:val="zh-CN"/>
        </w:rPr>
      </w:pPr>
    </w:p>
    <w:p w14:paraId="649E6B08" w14:textId="77777777" w:rsidR="004B2B9D" w:rsidRDefault="004B2B9D">
      <w:pPr>
        <w:ind w:firstLine="720"/>
        <w:rPr>
          <w:rFonts w:ascii="Times New Roman" w:hAnsi="Times New Roman"/>
          <w:sz w:val="24"/>
          <w:lang w:val="zh-CN"/>
        </w:rPr>
      </w:pPr>
    </w:p>
    <w:p w14:paraId="2C7CF56A" w14:textId="77777777" w:rsidR="004B2B9D" w:rsidRDefault="00000000">
      <w:pPr>
        <w:ind w:firstLine="720"/>
        <w:rPr>
          <w:rFonts w:ascii="Times New Roman" w:hAnsi="Times New Roman"/>
          <w:sz w:val="24"/>
          <w:lang w:val="zh-CN"/>
        </w:rPr>
      </w:pPr>
      <w:r>
        <w:rPr>
          <w:noProof/>
        </w:rPr>
        <mc:AlternateContent>
          <mc:Choice Requires="wps">
            <w:drawing>
              <wp:anchor distT="45720" distB="45720" distL="114300" distR="114300" simplePos="0" relativeHeight="251652608" behindDoc="0" locked="0" layoutInCell="1" allowOverlap="1" wp14:anchorId="37B61163" wp14:editId="5EC5E053">
                <wp:simplePos x="0" y="0"/>
                <wp:positionH relativeFrom="column">
                  <wp:posOffset>1212215</wp:posOffset>
                </wp:positionH>
                <wp:positionV relativeFrom="paragraph">
                  <wp:posOffset>13335</wp:posOffset>
                </wp:positionV>
                <wp:extent cx="450532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323850"/>
                        </a:xfrm>
                        <a:prstGeom prst="rect">
                          <a:avLst/>
                        </a:prstGeom>
                        <a:noFill/>
                        <a:ln w="9525">
                          <a:noFill/>
                          <a:miter lim="800000"/>
                        </a:ln>
                      </wps:spPr>
                      <wps:txbx>
                        <w:txbxContent>
                          <w:p w14:paraId="58FF30E3" w14:textId="77777777" w:rsidR="004B2B9D" w:rsidRDefault="00000000">
                            <w:pPr>
                              <w:rPr>
                                <w:rFonts w:ascii="Times New Roman" w:hAnsi="Times New Roman"/>
                                <w:lang w:val="sv-SE"/>
                              </w:rPr>
                            </w:pPr>
                            <w:r>
                              <w:rPr>
                                <w:rFonts w:ascii="Times New Roman" w:hAnsi="Times New Roman"/>
                                <w:lang w:val="sv-SE"/>
                              </w:rPr>
                              <w:t>Figure 2 Results of Normality Test using Kolmogorov-Smirnov</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95.45pt;margin-top:1.05pt;height:25.5pt;width:354.75pt;mso-wrap-distance-bottom:3.6pt;mso-wrap-distance-left:9pt;mso-wrap-distance-right:9pt;mso-wrap-distance-top:3.6pt;z-index:251661312;mso-width-relative:page;mso-height-relative:page;" filled="f" stroked="f" coordsize="21600,21600" o:gfxdata="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qgsjjVAAAACAEAAA8AAAAAAAAA&#10;AQAgAAAAIgAAAGRycy9kb3ducmV2LnhtbFBLAQIUABQAAAAIAIdO4kDxVcVvFAIAACoEAAAOAAAA&#10;AAAAAAEAIAAAACQBAABkcnMvZTJvRG9jLnhtbFBLBQYAAAAABgAGAFkBAACqBQAAAAA=&#10;">
                <v:fill on="f" focussize="0,0"/>
                <v:stroke on="f" miterlimit="8" joinstyle="miter"/>
                <v:imagedata o:title=""/>
                <o:lock v:ext="edit" aspectratio="f"/>
                <v:textbox>
                  <w:txbxContent>
                    <w:p w14:paraId="0543FF4F">
                      <w:pPr>
                        <w:rPr>
                          <w:rFonts w:ascii="Times New Roman" w:hAnsi="Times New Roman"/>
                          <w:lang w:val="sv-SE"/>
                        </w:rPr>
                      </w:pPr>
                      <w:r>
                        <w:rPr>
                          <w:rFonts w:ascii="Times New Roman" w:hAnsi="Times New Roman"/>
                          <w:lang w:val="sv-SE"/>
                        </w:rPr>
                        <w:t>Figure 2 Results of Normality Test using Kolmogorov-Smirnov</w:t>
                      </w:r>
                    </w:p>
                  </w:txbxContent>
                </v:textbox>
                <w10:wrap type="square"/>
              </v:shape>
            </w:pict>
          </mc:Fallback>
        </mc:AlternateContent>
      </w:r>
    </w:p>
    <w:p w14:paraId="50DF9F60" w14:textId="77777777" w:rsidR="004B2B9D" w:rsidRDefault="004B2B9D">
      <w:pPr>
        <w:rPr>
          <w:rFonts w:ascii="Times New Roman" w:hAnsi="Times New Roman"/>
          <w:sz w:val="24"/>
          <w:lang w:val="zh-CN"/>
        </w:rPr>
      </w:pPr>
    </w:p>
    <w:p w14:paraId="2DF204BC" w14:textId="77777777" w:rsidR="004B2B9D" w:rsidRDefault="004B2B9D">
      <w:pPr>
        <w:rPr>
          <w:rFonts w:ascii="Times New Roman" w:hAnsi="Times New Roman"/>
          <w:sz w:val="24"/>
          <w:lang w:val="zh-CN"/>
        </w:rPr>
      </w:pPr>
    </w:p>
    <w:p w14:paraId="38AC787D" w14:textId="77777777" w:rsidR="004B2B9D" w:rsidRDefault="00000000">
      <w:pPr>
        <w:ind w:firstLine="720"/>
        <w:rPr>
          <w:rFonts w:ascii="Times New Roman" w:hAnsi="Times New Roman"/>
          <w:sz w:val="24"/>
          <w:lang w:val="sv-SE"/>
        </w:rPr>
      </w:pPr>
      <w:r>
        <w:rPr>
          <w:rFonts w:ascii="Times New Roman" w:hAnsi="Times New Roman"/>
          <w:sz w:val="24"/>
          <w:lang w:val="zh-CN"/>
        </w:rPr>
        <w:lastRenderedPageBreak/>
        <w:t>The normality test aims to determine whether the residual data in a regression model is normally distributed or not. Residual normality is an important assumption in classical linear regression analysis, because a good regression model must have residuals that are normally distributed. One method commonly used to test data normality is the Kolmogorov-Smirnov (KS) test. This test compares the cumulative distribution of the tested data with the theoretical normal distribution. The provisions of the Kolmogorov-Smirnov test are that if the significance value (Asymp. Sig. 2-tailed) is greater than the significance level α = 0.05, then the data is considered normally distributed; conversely, if the significance value is less than 0.05, then the data is not normally distributed.</w:t>
      </w:r>
    </w:p>
    <w:p w14:paraId="4B97253B" w14:textId="77777777" w:rsidR="004B2B9D" w:rsidRDefault="00000000">
      <w:pPr>
        <w:ind w:firstLine="720"/>
        <w:rPr>
          <w:rFonts w:ascii="Times New Roman" w:hAnsi="Times New Roman"/>
          <w:sz w:val="24"/>
          <w:lang w:val="sv-SE"/>
        </w:rPr>
      </w:pPr>
      <w:r>
        <w:rPr>
          <w:rFonts w:ascii="Times New Roman" w:hAnsi="Times New Roman"/>
          <w:sz w:val="24"/>
          <w:lang w:val="sv-SE"/>
        </w:rPr>
        <w:t>Based on the figure above, the Asymp. Sig. (2-tailed) value is 0.200, which is greater than 0.05. Thus, it can be concluded that the residual data in this study is normally distributed. This result indicates that the normality assumption is met, so the regression model used is suitable for further testing, such as heteroscedasticity, autocorrelation, and hypothesis testing.</w:t>
      </w:r>
    </w:p>
    <w:p w14:paraId="007C2FC4" w14:textId="77777777" w:rsidR="004B2B9D" w:rsidRDefault="004B2B9D">
      <w:pPr>
        <w:ind w:firstLine="720"/>
        <w:rPr>
          <w:rFonts w:ascii="Times New Roman" w:hAnsi="Times New Roman"/>
          <w:sz w:val="24"/>
          <w:lang w:val="sv-SE"/>
        </w:rPr>
      </w:pPr>
    </w:p>
    <w:p w14:paraId="374111D3" w14:textId="77777777" w:rsidR="004B2B9D" w:rsidRDefault="00000000">
      <w:pPr>
        <w:pStyle w:val="ListParagraph"/>
        <w:numPr>
          <w:ilvl w:val="0"/>
          <w:numId w:val="4"/>
        </w:numPr>
        <w:overflowPunct/>
        <w:spacing w:line="240" w:lineRule="auto"/>
        <w:contextualSpacing/>
        <w:jc w:val="both"/>
        <w:rPr>
          <w:rFonts w:ascii="Book Antiqua" w:hAnsi="Book Antiqua" w:cs="Book Antiqua"/>
          <w:b/>
          <w:bCs/>
          <w:sz w:val="24"/>
          <w:szCs w:val="24"/>
          <w:lang w:val="zh-CN"/>
        </w:rPr>
      </w:pPr>
      <w:r>
        <w:rPr>
          <w:rFonts w:ascii="Book Antiqua" w:hAnsi="Book Antiqua" w:cs="Book Antiqua"/>
          <w:b/>
          <w:bCs/>
          <w:sz w:val="24"/>
          <w:szCs w:val="24"/>
          <w:lang w:val="zh-CN"/>
        </w:rPr>
        <w:t>Multicollinearity Test</w:t>
      </w:r>
    </w:p>
    <w:p w14:paraId="56559827" w14:textId="77777777" w:rsidR="004B2B9D" w:rsidRDefault="00000000">
      <w:pPr>
        <w:ind w:firstLine="360"/>
        <w:rPr>
          <w:rFonts w:ascii="Times New Roman" w:hAnsi="Times New Roman"/>
          <w:sz w:val="24"/>
          <w:lang w:val="sv-SE"/>
        </w:rPr>
      </w:pPr>
      <w:r>
        <w:rPr>
          <w:rFonts w:ascii="Times New Roman" w:hAnsi="Times New Roman"/>
          <w:sz w:val="24"/>
          <w:lang w:val="sv-SE"/>
        </w:rPr>
        <w:t>A multicollinearity test is performed to determine whether there is a strong relationship between the independent variables in a regression model. The purpose of this test is to ensure that each independent variable provides unique information about the dependent variable and is not highly correlated with each other. The criteria for a multicollinearity test can be seen from the Tolerance and Variance Inflation Factor (VIF) values. A model is considered free of multicollinearity if the Tolerance value is &gt;0.10 and the VIF is &lt;10.</w:t>
      </w:r>
    </w:p>
    <w:p w14:paraId="2CBB06EE" w14:textId="77777777" w:rsidR="004B2B9D" w:rsidRDefault="00000000">
      <w:pPr>
        <w:pStyle w:val="ListParagraph"/>
        <w:jc w:val="both"/>
        <w:rPr>
          <w:rFonts w:ascii="Times New Roman" w:hAnsi="Times New Roman"/>
          <w:sz w:val="24"/>
          <w:szCs w:val="24"/>
          <w:lang w:val="sv-SE"/>
        </w:rPr>
      </w:pPr>
      <w:r>
        <w:rPr>
          <w:noProof/>
        </w:rPr>
        <w:drawing>
          <wp:anchor distT="0" distB="0" distL="114300" distR="114300" simplePos="0" relativeHeight="251653632" behindDoc="0" locked="0" layoutInCell="1" allowOverlap="1" wp14:anchorId="683BB66D" wp14:editId="55D2717A">
            <wp:simplePos x="0" y="0"/>
            <wp:positionH relativeFrom="column">
              <wp:posOffset>713105</wp:posOffset>
            </wp:positionH>
            <wp:positionV relativeFrom="paragraph">
              <wp:posOffset>135890</wp:posOffset>
            </wp:positionV>
            <wp:extent cx="4457700" cy="1181100"/>
            <wp:effectExtent l="0" t="0" r="0" b="0"/>
            <wp:wrapNone/>
            <wp:docPr id="20337200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20041" name="Picture 1" descr="A screenshot of a computer&#10;&#10;AI-generated content may be incorrect."/>
                    <pic:cNvPicPr>
                      <a:picLocks noChangeAspect="1"/>
                    </pic:cNvPicPr>
                  </pic:nvPicPr>
                  <pic:blipFill>
                    <a:blip r:embed="rId17">
                      <a:extLst>
                        <a:ext uri="{28A0092B-C50C-407E-A947-70E740481C1C}">
                          <a14:useLocalDpi xmlns:a14="http://schemas.microsoft.com/office/drawing/2010/main" val="0"/>
                        </a:ext>
                      </a:extLst>
                    </a:blip>
                    <a:srcRect l="17407" t="47823" r="21937" b="26835"/>
                    <a:stretch>
                      <a:fillRect/>
                    </a:stretch>
                  </pic:blipFill>
                  <pic:spPr>
                    <a:xfrm>
                      <a:off x="0" y="0"/>
                      <a:ext cx="4457700" cy="1181100"/>
                    </a:xfrm>
                    <a:prstGeom prst="rect">
                      <a:avLst/>
                    </a:prstGeom>
                    <a:ln>
                      <a:noFill/>
                    </a:ln>
                  </pic:spPr>
                </pic:pic>
              </a:graphicData>
            </a:graphic>
          </wp:anchor>
        </w:drawing>
      </w:r>
    </w:p>
    <w:p w14:paraId="1E05AE7B" w14:textId="77777777" w:rsidR="004B2B9D" w:rsidRDefault="00000000">
      <w:pPr>
        <w:rPr>
          <w:lang w:val="sv-SE"/>
        </w:rPr>
      </w:pPr>
      <w:r>
        <w:rPr>
          <w:rFonts w:ascii="Times New Roman" w:hAnsi="Times New Roman"/>
          <w:sz w:val="24"/>
          <w:lang w:val="sv-SE"/>
        </w:rPr>
        <w:t xml:space="preserve"> </w:t>
      </w:r>
    </w:p>
    <w:p w14:paraId="5B036C3D" w14:textId="77777777" w:rsidR="004B2B9D" w:rsidRDefault="004B2B9D">
      <w:pPr>
        <w:rPr>
          <w:lang w:val="sv-SE"/>
        </w:rPr>
      </w:pPr>
    </w:p>
    <w:p w14:paraId="2D5C4BE9" w14:textId="77777777" w:rsidR="004B2B9D" w:rsidRDefault="004B2B9D">
      <w:pPr>
        <w:rPr>
          <w:lang w:val="sv-SE"/>
        </w:rPr>
      </w:pPr>
    </w:p>
    <w:p w14:paraId="48D8E4C3" w14:textId="77777777" w:rsidR="004B2B9D" w:rsidRDefault="004B2B9D">
      <w:pPr>
        <w:rPr>
          <w:rFonts w:ascii="Times New Roman" w:hAnsi="Times New Roman"/>
          <w:sz w:val="24"/>
          <w:lang w:val="sv-SE"/>
        </w:rPr>
      </w:pPr>
    </w:p>
    <w:p w14:paraId="43CCF2BE" w14:textId="77777777" w:rsidR="004B2B9D" w:rsidRDefault="00000000">
      <w:pPr>
        <w:rPr>
          <w:rFonts w:ascii="Times New Roman" w:hAnsi="Times New Roman"/>
          <w:sz w:val="24"/>
          <w:lang w:val="sv-SE"/>
        </w:rPr>
      </w:pPr>
      <w:r>
        <w:rPr>
          <w:rFonts w:ascii="Times New Roman" w:hAnsi="Times New Roman"/>
          <w:sz w:val="24"/>
          <w:lang w:val="sv-SE"/>
        </w:rPr>
        <w:tab/>
      </w:r>
    </w:p>
    <w:p w14:paraId="28893E10" w14:textId="77777777" w:rsidR="004B2B9D" w:rsidRDefault="00000000">
      <w:pPr>
        <w:ind w:firstLine="720"/>
        <w:rPr>
          <w:rFonts w:ascii="Times New Roman" w:hAnsi="Times New Roman"/>
          <w:sz w:val="24"/>
          <w:lang w:val="sv-SE"/>
        </w:rPr>
      </w:pPr>
      <w:r>
        <w:rPr>
          <w:noProof/>
        </w:rPr>
        <mc:AlternateContent>
          <mc:Choice Requires="wps">
            <w:drawing>
              <wp:anchor distT="45720" distB="45720" distL="114300" distR="114300" simplePos="0" relativeHeight="251654656" behindDoc="0" locked="0" layoutInCell="1" allowOverlap="1" wp14:anchorId="05583528" wp14:editId="23FBFF39">
                <wp:simplePos x="0" y="0"/>
                <wp:positionH relativeFrom="column">
                  <wp:posOffset>2018665</wp:posOffset>
                </wp:positionH>
                <wp:positionV relativeFrom="paragraph">
                  <wp:posOffset>90170</wp:posOffset>
                </wp:positionV>
                <wp:extent cx="2519680" cy="1404620"/>
                <wp:effectExtent l="0" t="0" r="0" b="0"/>
                <wp:wrapSquare wrapText="bothSides"/>
                <wp:docPr id="1613734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404620"/>
                        </a:xfrm>
                        <a:prstGeom prst="rect">
                          <a:avLst/>
                        </a:prstGeom>
                        <a:noFill/>
                        <a:ln w="9525">
                          <a:noFill/>
                          <a:miter lim="800000"/>
                        </a:ln>
                      </wps:spPr>
                      <wps:txbx>
                        <w:txbxContent>
                          <w:p w14:paraId="0766F1EF" w14:textId="77777777" w:rsidR="004B2B9D" w:rsidRDefault="00000000">
                            <w:pPr>
                              <w:rPr>
                                <w:rFonts w:ascii="Times New Roman" w:hAnsi="Times New Roman"/>
                                <w:sz w:val="24"/>
                              </w:rPr>
                            </w:pPr>
                            <w:r>
                              <w:rPr>
                                <w:rFonts w:ascii="Times New Roman" w:hAnsi="Times New Roman"/>
                                <w:sz w:val="24"/>
                              </w:rPr>
                              <w:t>Figure 3 Multicollinearity Test Results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 o:spid="_x0000_s1026" o:spt="202" type="#_x0000_t202" style="position:absolute;left:0pt;margin-left:158.95pt;margin-top:7.1pt;height:110.6pt;width:198.4pt;mso-wrap-distance-bottom:3.6pt;mso-wrap-distance-left:9pt;mso-wrap-distance-right:9pt;mso-wrap-distance-top:3.6pt;z-index:251663360;mso-width-relative:page;mso-height-relative:margin;mso-height-percent:200;" filled="f" stroked="f" coordsize="21600,21600" o:gfxdata="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fF4BXYAAAA&#10;CgEAAA8AAAAAAAAAAQAgAAAAIgAAAGRycy9kb3ducmV2LnhtbFBLAQIUABQAAAAIAIdO4kBggywA&#10;HQIAADIEAAAOAAAAAAAAAAEAIAAAACcBAABkcnMvZTJvRG9jLnhtbFBLBQYAAAAABgAGAFkBAAC2&#10;BQAAAAA=&#10;">
                <v:fill on="f" focussize="0,0"/>
                <v:stroke on="f" miterlimit="8" joinstyle="miter"/>
                <v:imagedata o:title=""/>
                <o:lock v:ext="edit" aspectratio="f"/>
                <v:textbox style="mso-fit-shape-to-text:t;">
                  <w:txbxContent>
                    <w:p w14:paraId="1CA63618">
                      <w:pPr>
                        <w:rPr>
                          <w:rFonts w:ascii="Times New Roman" w:hAnsi="Times New Roman"/>
                          <w:sz w:val="24"/>
                        </w:rPr>
                      </w:pPr>
                      <w:r>
                        <w:rPr>
                          <w:rFonts w:ascii="Times New Roman" w:hAnsi="Times New Roman"/>
                          <w:sz w:val="24"/>
                        </w:rPr>
                        <w:t>Figure 3 Multicollinearity Test Results</w:t>
                      </w:r>
                    </w:p>
                  </w:txbxContent>
                </v:textbox>
                <w10:wrap type="square"/>
              </v:shape>
            </w:pict>
          </mc:Fallback>
        </mc:AlternateContent>
      </w:r>
    </w:p>
    <w:p w14:paraId="341EB9E4" w14:textId="77777777" w:rsidR="004B2B9D" w:rsidRDefault="004B2B9D">
      <w:pPr>
        <w:rPr>
          <w:rFonts w:ascii="Times New Roman" w:hAnsi="Times New Roman"/>
          <w:sz w:val="24"/>
          <w:lang w:val="sv-SE"/>
        </w:rPr>
      </w:pPr>
    </w:p>
    <w:p w14:paraId="19CE1DA6" w14:textId="77777777" w:rsidR="004B2B9D" w:rsidRDefault="004B2B9D">
      <w:pPr>
        <w:rPr>
          <w:rFonts w:ascii="Times New Roman" w:hAnsi="Times New Roman"/>
          <w:sz w:val="24"/>
          <w:lang w:val="sv-SE"/>
        </w:rPr>
      </w:pPr>
    </w:p>
    <w:p w14:paraId="1354172A" w14:textId="77777777" w:rsidR="004B2B9D" w:rsidRDefault="004B2B9D">
      <w:pPr>
        <w:ind w:firstLine="720"/>
        <w:rPr>
          <w:rFonts w:ascii="Times New Roman" w:hAnsi="Times New Roman"/>
          <w:sz w:val="24"/>
          <w:lang w:val="sv-SE"/>
        </w:rPr>
      </w:pPr>
    </w:p>
    <w:p w14:paraId="1C096008" w14:textId="77777777" w:rsidR="004B2B9D" w:rsidRDefault="00000000">
      <w:pPr>
        <w:ind w:firstLine="720"/>
        <w:rPr>
          <w:rFonts w:ascii="Times New Roman" w:hAnsi="Times New Roman"/>
          <w:sz w:val="24"/>
          <w:lang w:val="sv-SE"/>
        </w:rPr>
      </w:pPr>
      <w:r>
        <w:rPr>
          <w:rFonts w:ascii="Times New Roman" w:hAnsi="Times New Roman"/>
          <w:sz w:val="24"/>
          <w:lang w:val="sv-SE"/>
        </w:rPr>
        <w:t>Based on the results of the multicollinearity test in the table above, it is known that the Tolerance value for the Mining Sector and Industrial Sector variables is 0.992, respectively, and the VIF value is 1.008. Because the Tolerance value is greater than 0.10 and the VIF value is less than 10, thus, it can be said that there is no very strong correlation between each independent variable or in other words, there is no multicollinearity.</w:t>
      </w:r>
    </w:p>
    <w:p w14:paraId="2EB5C81B" w14:textId="77777777" w:rsidR="004B2B9D" w:rsidRDefault="00000000">
      <w:pPr>
        <w:ind w:firstLine="720"/>
        <w:rPr>
          <w:rFonts w:ascii="Times New Roman" w:hAnsi="Times New Roman"/>
          <w:sz w:val="24"/>
          <w:lang w:val="sv-SE"/>
        </w:rPr>
      </w:pPr>
      <w:r>
        <w:rPr>
          <w:rFonts w:ascii="Times New Roman" w:hAnsi="Times New Roman"/>
          <w:sz w:val="24"/>
          <w:lang w:val="sv-SE"/>
        </w:rPr>
        <w:t xml:space="preserve"> </w:t>
      </w:r>
    </w:p>
    <w:p w14:paraId="0ECA8C4D" w14:textId="77777777" w:rsidR="004B2B9D" w:rsidRDefault="00000000">
      <w:pPr>
        <w:pStyle w:val="ListParagraph"/>
        <w:numPr>
          <w:ilvl w:val="0"/>
          <w:numId w:val="4"/>
        </w:numPr>
        <w:overflowPunct/>
        <w:contextualSpacing/>
        <w:jc w:val="both"/>
        <w:rPr>
          <w:rFonts w:ascii="Book Antiqua" w:hAnsi="Book Antiqua" w:cs="Book Antiqua"/>
          <w:b/>
          <w:bCs/>
          <w:sz w:val="24"/>
          <w:szCs w:val="24"/>
        </w:rPr>
      </w:pPr>
      <w:r>
        <w:rPr>
          <w:noProof/>
        </w:rPr>
        <w:drawing>
          <wp:anchor distT="0" distB="0" distL="114300" distR="114300" simplePos="0" relativeHeight="251655680" behindDoc="0" locked="0" layoutInCell="1" allowOverlap="1" wp14:anchorId="157AF052" wp14:editId="6A839B92">
            <wp:simplePos x="0" y="0"/>
            <wp:positionH relativeFrom="column">
              <wp:posOffset>2103755</wp:posOffset>
            </wp:positionH>
            <wp:positionV relativeFrom="paragraph">
              <wp:posOffset>188595</wp:posOffset>
            </wp:positionV>
            <wp:extent cx="2326005" cy="1515745"/>
            <wp:effectExtent l="0" t="0" r="10795" b="8255"/>
            <wp:wrapNone/>
            <wp:docPr id="250223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2347" name="Picture 1" descr="A screenshot of a computer&#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rcRect l="18006" t="21251" r="31469" b="11331"/>
                    <a:stretch>
                      <a:fillRect/>
                    </a:stretch>
                  </pic:blipFill>
                  <pic:spPr>
                    <a:xfrm>
                      <a:off x="0" y="0"/>
                      <a:ext cx="2326005" cy="1515745"/>
                    </a:xfrm>
                    <a:prstGeom prst="rect">
                      <a:avLst/>
                    </a:prstGeom>
                    <a:ln>
                      <a:noFill/>
                    </a:ln>
                  </pic:spPr>
                </pic:pic>
              </a:graphicData>
            </a:graphic>
          </wp:anchor>
        </w:drawing>
      </w:r>
      <w:r>
        <w:rPr>
          <w:rFonts w:ascii="Book Antiqua" w:hAnsi="Book Antiqua" w:cs="Book Antiqua"/>
          <w:b/>
          <w:bCs/>
          <w:sz w:val="24"/>
          <w:szCs w:val="24"/>
        </w:rPr>
        <w:t>Heteroscedasticity Test using Scatterplot</w:t>
      </w:r>
    </w:p>
    <w:p w14:paraId="0B752D4F" w14:textId="77777777" w:rsidR="004B2B9D" w:rsidRDefault="004B2B9D">
      <w:pPr>
        <w:pStyle w:val="ListParagraph"/>
        <w:jc w:val="both"/>
        <w:rPr>
          <w:rFonts w:ascii="Times New Roman" w:hAnsi="Times New Roman"/>
          <w:sz w:val="24"/>
          <w:szCs w:val="24"/>
        </w:rPr>
      </w:pPr>
    </w:p>
    <w:p w14:paraId="2957E02E" w14:textId="77777777" w:rsidR="004B2B9D" w:rsidRDefault="004B2B9D">
      <w:pPr>
        <w:pStyle w:val="ListParagraph"/>
        <w:jc w:val="both"/>
        <w:rPr>
          <w:rFonts w:ascii="Times New Roman" w:hAnsi="Times New Roman"/>
          <w:sz w:val="24"/>
          <w:szCs w:val="24"/>
        </w:rPr>
      </w:pPr>
    </w:p>
    <w:p w14:paraId="2B400C32" w14:textId="77777777" w:rsidR="004B2B9D" w:rsidRDefault="004B2B9D">
      <w:pPr>
        <w:pStyle w:val="ListParagraph"/>
        <w:jc w:val="both"/>
        <w:rPr>
          <w:rFonts w:ascii="Times New Roman" w:hAnsi="Times New Roman"/>
          <w:sz w:val="24"/>
          <w:szCs w:val="24"/>
        </w:rPr>
      </w:pPr>
    </w:p>
    <w:p w14:paraId="53209894" w14:textId="77777777" w:rsidR="004B2B9D" w:rsidRDefault="004B2B9D">
      <w:pPr>
        <w:pStyle w:val="ListParagraph"/>
        <w:jc w:val="both"/>
        <w:rPr>
          <w:rFonts w:ascii="Times New Roman" w:hAnsi="Times New Roman"/>
          <w:sz w:val="24"/>
          <w:szCs w:val="24"/>
        </w:rPr>
      </w:pPr>
    </w:p>
    <w:p w14:paraId="248A4B5F" w14:textId="77777777" w:rsidR="004B2B9D" w:rsidRDefault="00000000">
      <w:pPr>
        <w:pStyle w:val="ListParagraph"/>
        <w:ind w:left="0"/>
        <w:jc w:val="both"/>
        <w:rPr>
          <w:rFonts w:ascii="Times New Roman" w:hAnsi="Times New Roman"/>
          <w:sz w:val="24"/>
          <w:szCs w:val="24"/>
        </w:rPr>
      </w:pPr>
      <w:r>
        <w:rPr>
          <w:noProof/>
        </w:rPr>
        <mc:AlternateContent>
          <mc:Choice Requires="wps">
            <w:drawing>
              <wp:anchor distT="45720" distB="45720" distL="114300" distR="114300" simplePos="0" relativeHeight="251659776" behindDoc="0" locked="0" layoutInCell="1" allowOverlap="1" wp14:anchorId="5C2F9BB0" wp14:editId="2974A27B">
                <wp:simplePos x="0" y="0"/>
                <wp:positionH relativeFrom="column">
                  <wp:posOffset>1794510</wp:posOffset>
                </wp:positionH>
                <wp:positionV relativeFrom="paragraph">
                  <wp:posOffset>217170</wp:posOffset>
                </wp:positionV>
                <wp:extent cx="3019425" cy="297180"/>
                <wp:effectExtent l="0" t="0" r="0" b="0"/>
                <wp:wrapSquare wrapText="bothSides"/>
                <wp:docPr id="31147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97180"/>
                        </a:xfrm>
                        <a:prstGeom prst="rect">
                          <a:avLst/>
                        </a:prstGeom>
                        <a:noFill/>
                        <a:ln w="9525">
                          <a:noFill/>
                          <a:miter lim="800000"/>
                        </a:ln>
                      </wps:spPr>
                      <wps:txbx>
                        <w:txbxContent>
                          <w:p w14:paraId="4DB76CA7" w14:textId="77777777" w:rsidR="004B2B9D" w:rsidRDefault="00000000">
                            <w:pPr>
                              <w:rPr>
                                <w:rFonts w:ascii="Times New Roman" w:hAnsi="Times New Roman"/>
                                <w:sz w:val="24"/>
                              </w:rPr>
                            </w:pPr>
                            <w:r>
                              <w:rPr>
                                <w:rFonts w:ascii="Times New Roman" w:hAnsi="Times New Roman"/>
                                <w:sz w:val="24"/>
                              </w:rPr>
                              <w:t>Figure 4 Heteroscedasticity Test Results</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41.3pt;margin-top:17.1pt;height:23.4pt;width:237.75pt;mso-wrap-distance-bottom:3.6pt;mso-wrap-distance-left:9pt;mso-wrap-distance-right:9pt;mso-wrap-distance-top:3.6pt;z-index:251668480;mso-width-relative:page;mso-height-relative:page;" filled="f" stroked="f" coordsize="21600,21600" o:gfxdata="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q2OCrXAAAACQEAAA8A&#10;AAAAAAAAAQAgAAAAIgAAAGRycy9kb3ducmV2LnhtbFBLAQIUABQAAAAIAIdO4kC0n2ocGAIAAC8E&#10;AAAOAAAAAAAAAAEAIAAAACYBAABkcnMvZTJvRG9jLnhtbFBLBQYAAAAABgAGAFkBAACwBQAAAAA=&#10;">
                <v:fill on="f" focussize="0,0"/>
                <v:stroke on="f" miterlimit="8" joinstyle="miter"/>
                <v:imagedata o:title=""/>
                <o:lock v:ext="edit" aspectratio="f"/>
                <v:textbox>
                  <w:txbxContent>
                    <w:p w14:paraId="69106858">
                      <w:pPr>
                        <w:rPr>
                          <w:rFonts w:ascii="Times New Roman" w:hAnsi="Times New Roman"/>
                          <w:sz w:val="24"/>
                        </w:rPr>
                      </w:pPr>
                      <w:r>
                        <w:rPr>
                          <w:rFonts w:ascii="Times New Roman" w:hAnsi="Times New Roman"/>
                          <w:sz w:val="24"/>
                        </w:rPr>
                        <w:t>Figure 4 Heteroscedasticity Test Results</w:t>
                      </w:r>
                    </w:p>
                  </w:txbxContent>
                </v:textbox>
                <w10:wrap type="square"/>
              </v:shape>
            </w:pict>
          </mc:Fallback>
        </mc:AlternateContent>
      </w:r>
    </w:p>
    <w:p w14:paraId="687A3AAD" w14:textId="77777777" w:rsidR="004B2B9D" w:rsidRDefault="00000000">
      <w:pPr>
        <w:pStyle w:val="ListParagraph"/>
        <w:jc w:val="both"/>
        <w:rPr>
          <w:rFonts w:ascii="Times New Roman" w:hAnsi="Times New Roman"/>
          <w:sz w:val="24"/>
          <w:szCs w:val="24"/>
        </w:rPr>
      </w:pPr>
      <w:r>
        <w:rPr>
          <w:noProof/>
        </w:rPr>
        <mc:AlternateContent>
          <mc:Choice Requires="wps">
            <w:drawing>
              <wp:anchor distT="45720" distB="45720" distL="114300" distR="114300" simplePos="0" relativeHeight="251656704" behindDoc="0" locked="0" layoutInCell="1" allowOverlap="1" wp14:anchorId="7A89FF9A" wp14:editId="1B1FBC9F">
                <wp:simplePos x="0" y="0"/>
                <wp:positionH relativeFrom="column">
                  <wp:posOffset>1655445</wp:posOffset>
                </wp:positionH>
                <wp:positionV relativeFrom="paragraph">
                  <wp:posOffset>9525</wp:posOffset>
                </wp:positionV>
                <wp:extent cx="3188970" cy="1404620"/>
                <wp:effectExtent l="0" t="0" r="0" b="0"/>
                <wp:wrapSquare wrapText="bothSides"/>
                <wp:docPr id="112862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970" cy="1404620"/>
                        </a:xfrm>
                        <a:prstGeom prst="rect">
                          <a:avLst/>
                        </a:prstGeom>
                        <a:noFill/>
                        <a:ln w="9525">
                          <a:noFill/>
                          <a:miter lim="800000"/>
                        </a:ln>
                      </wps:spPr>
                      <wps:txbx>
                        <w:txbxContent>
                          <w:p w14:paraId="1CB703D2" w14:textId="77777777" w:rsidR="004B2B9D" w:rsidRDefault="004B2B9D">
                            <w:pPr>
                              <w:rPr>
                                <w:rFonts w:ascii="Times New Roman" w:hAnsi="Times New Roman"/>
                                <w:sz w:val="24"/>
                              </w:rPr>
                            </w:pP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 o:spid="_x0000_s1026" o:spt="202" type="#_x0000_t202" style="position:absolute;left:0pt;margin-left:130.35pt;margin-top:0.75pt;height:110.6pt;width:251.1pt;mso-wrap-distance-bottom:3.6pt;mso-wrap-distance-left:9pt;mso-wrap-distance-right:9pt;mso-wrap-distance-top:3.6pt;z-index:251665408;mso-width-relative:page;mso-height-relative:margin;mso-height-percent:200;" filled="f" stroked="f" coordsize="21600,21600" o:gfxdata="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BMFkjVAAAACQEA&#10;AA8AAAAAAAAAAQAgAAAAIgAAAGRycy9kb3ducmV2LnhtbFBLAQIUABQAAAAIAIdO4kCq3vEQHQIA&#10;ADIEAAAOAAAAAAAAAAEAIAAAACQBAABkcnMvZTJvRG9jLnhtbFBLBQYAAAAABgAGAFkBAACzBQAA&#10;AAA=&#10;">
                <v:fill on="f" focussize="0,0"/>
                <v:stroke on="f" miterlimit="8" joinstyle="miter"/>
                <v:imagedata o:title=""/>
                <o:lock v:ext="edit" aspectratio="f"/>
                <v:textbox style="mso-fit-shape-to-text:t;">
                  <w:txbxContent>
                    <w:p w14:paraId="5BF67732">
                      <w:pPr>
                        <w:rPr>
                          <w:rFonts w:ascii="Times New Roman" w:hAnsi="Times New Roman"/>
                          <w:sz w:val="24"/>
                        </w:rPr>
                      </w:pPr>
                    </w:p>
                  </w:txbxContent>
                </v:textbox>
                <w10:wrap type="square"/>
              </v:shape>
            </w:pict>
          </mc:Fallback>
        </mc:AlternateContent>
      </w:r>
    </w:p>
    <w:p w14:paraId="3429DD69" w14:textId="77777777" w:rsidR="004B2B9D" w:rsidRDefault="004B2B9D">
      <w:pPr>
        <w:rPr>
          <w:rFonts w:ascii="Times New Roman" w:hAnsi="Times New Roman"/>
          <w:sz w:val="24"/>
        </w:rPr>
      </w:pPr>
    </w:p>
    <w:p w14:paraId="451FC176" w14:textId="77777777" w:rsidR="004B2B9D" w:rsidRDefault="00000000">
      <w:pPr>
        <w:ind w:firstLine="720"/>
        <w:rPr>
          <w:rFonts w:ascii="Times New Roman" w:hAnsi="Times New Roman"/>
          <w:sz w:val="24"/>
          <w:lang w:val="sv-SE"/>
        </w:rPr>
      </w:pPr>
      <w:r>
        <w:rPr>
          <w:rFonts w:ascii="Times New Roman" w:hAnsi="Times New Roman"/>
          <w:sz w:val="24"/>
          <w:lang w:val="sv-SE"/>
        </w:rPr>
        <w:t>The heteroscedasticity test aims to determine whether or not there is inequality in residual variance between observations in a regression model. The rule is, if the points on the scatterplot graph are randomly distributed above and below the horizontal axis without forming a specific pattern, then it can be concluded that heteroscedasticity does not occur. Based on the scatterplot graph in this study, it can be seen that the points are randomly distributed and do not form a clear pattern, so it can be concluded that the regression model is free from symptoms of heteroscedasticity.</w:t>
      </w:r>
    </w:p>
    <w:p w14:paraId="6E4DAE2C" w14:textId="77777777" w:rsidR="004B2B9D" w:rsidRDefault="004B2B9D">
      <w:pPr>
        <w:rPr>
          <w:rFonts w:ascii="Times New Roman" w:hAnsi="Times New Roman"/>
          <w:sz w:val="24"/>
          <w:lang w:val="sv-SE"/>
        </w:rPr>
      </w:pPr>
    </w:p>
    <w:p w14:paraId="351FB3D0" w14:textId="77777777" w:rsidR="004B2B9D" w:rsidRDefault="00000000">
      <w:pPr>
        <w:rPr>
          <w:rFonts w:ascii="Book Antiqua" w:hAnsi="Book Antiqua" w:cs="Book Antiqua"/>
          <w:b/>
          <w:bCs/>
          <w:i/>
          <w:iCs/>
          <w:sz w:val="24"/>
        </w:rPr>
      </w:pPr>
      <w:r>
        <w:rPr>
          <w:rFonts w:ascii="Book Antiqua" w:hAnsi="Book Antiqua" w:cs="Book Antiqua"/>
          <w:b/>
          <w:bCs/>
          <w:i/>
          <w:iCs/>
          <w:sz w:val="24"/>
        </w:rPr>
        <w:t>Multiple Linear Regression Results</w:t>
      </w:r>
    </w:p>
    <w:p w14:paraId="1C4206B6" w14:textId="77777777" w:rsidR="004B2B9D" w:rsidRDefault="00000000">
      <w:pPr>
        <w:ind w:firstLine="720"/>
        <w:rPr>
          <w:rFonts w:ascii="Times New Roman" w:hAnsi="Times New Roman"/>
          <w:sz w:val="24"/>
        </w:rPr>
      </w:pPr>
      <w:r>
        <w:rPr>
          <w:rFonts w:ascii="Times New Roman" w:hAnsi="Times New Roman"/>
          <w:sz w:val="24"/>
        </w:rPr>
        <w:t xml:space="preserve">The results of multiple linear regression were carried out to evaluate quantitatively the influence of the mining and quarrying sector and the processing industry sector on economic growth in </w:t>
      </w:r>
      <w:proofErr w:type="spellStart"/>
      <w:r>
        <w:rPr>
          <w:rFonts w:ascii="Times New Roman" w:hAnsi="Times New Roman"/>
          <w:sz w:val="24"/>
        </w:rPr>
        <w:t>Bengkalis</w:t>
      </w:r>
      <w:proofErr w:type="spellEnd"/>
      <w:r>
        <w:rPr>
          <w:rFonts w:ascii="Times New Roman" w:hAnsi="Times New Roman"/>
          <w:sz w:val="24"/>
        </w:rPr>
        <w:t xml:space="preserve"> Regency.</w:t>
      </w:r>
    </w:p>
    <w:p w14:paraId="2C0826EC" w14:textId="77777777" w:rsidR="004B2B9D" w:rsidRDefault="004B2B9D">
      <w:pPr>
        <w:ind w:firstLine="720"/>
        <w:rPr>
          <w:rFonts w:ascii="Times New Roman" w:hAnsi="Times New Roman"/>
          <w:sz w:val="24"/>
        </w:rPr>
      </w:pPr>
    </w:p>
    <w:p w14:paraId="4FC9E50E" w14:textId="77777777" w:rsidR="004B2B9D" w:rsidRDefault="00000000">
      <w:pPr>
        <w:pStyle w:val="ListParagraph"/>
        <w:numPr>
          <w:ilvl w:val="0"/>
          <w:numId w:val="5"/>
        </w:numPr>
        <w:overflowPunct/>
        <w:contextualSpacing/>
        <w:jc w:val="both"/>
        <w:rPr>
          <w:rFonts w:ascii="Times New Roman" w:hAnsi="Times New Roman"/>
          <w:b/>
          <w:bCs/>
          <w:sz w:val="24"/>
          <w:szCs w:val="24"/>
        </w:rPr>
      </w:pPr>
      <w:r>
        <w:rPr>
          <w:rFonts w:ascii="Times New Roman" w:hAnsi="Times New Roman"/>
          <w:b/>
          <w:bCs/>
          <w:sz w:val="24"/>
          <w:szCs w:val="24"/>
        </w:rPr>
        <w:t>Coefficient of Determination</w:t>
      </w:r>
    </w:p>
    <w:p w14:paraId="0F652234" w14:textId="77777777" w:rsidR="004B2B9D" w:rsidRDefault="004B2B9D">
      <w:pPr>
        <w:pStyle w:val="ListParagraph"/>
        <w:spacing w:after="0"/>
        <w:ind w:hanging="360"/>
        <w:jc w:val="both"/>
      </w:pPr>
    </w:p>
    <w:p w14:paraId="35DDEFBF" w14:textId="77777777" w:rsidR="004B2B9D" w:rsidRDefault="004B2B9D">
      <w:pPr>
        <w:pStyle w:val="ListParagraph"/>
        <w:spacing w:after="0"/>
        <w:ind w:hanging="360"/>
        <w:jc w:val="center"/>
      </w:pPr>
    </w:p>
    <w:p w14:paraId="1E433779" w14:textId="77777777" w:rsidR="004B2B9D" w:rsidRDefault="00000000">
      <w:pPr>
        <w:ind w:left="1440" w:firstLine="720"/>
        <w:rPr>
          <w:rFonts w:ascii="Times New Roman" w:hAnsi="Times New Roman"/>
          <w:sz w:val="24"/>
          <w:lang w:val="sv-SE"/>
        </w:rPr>
      </w:pPr>
      <w:r>
        <w:rPr>
          <w:noProof/>
        </w:rPr>
        <w:drawing>
          <wp:inline distT="0" distB="0" distL="0" distR="0" wp14:anchorId="2B93D50A" wp14:editId="616099BA">
            <wp:extent cx="4216400" cy="1590040"/>
            <wp:effectExtent l="0" t="0" r="0" b="10160"/>
            <wp:docPr id="7585086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08666" name="drawing"/>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236144" cy="1597529"/>
                    </a:xfrm>
                    <a:prstGeom prst="rect">
                      <a:avLst/>
                    </a:prstGeom>
                  </pic:spPr>
                </pic:pic>
              </a:graphicData>
            </a:graphic>
          </wp:inline>
        </w:drawing>
      </w:r>
    </w:p>
    <w:p w14:paraId="13B3E292" w14:textId="77777777" w:rsidR="004B2B9D" w:rsidRDefault="00000000">
      <w:pPr>
        <w:ind w:left="1440" w:firstLine="720"/>
        <w:rPr>
          <w:rFonts w:ascii="Times New Roman" w:hAnsi="Times New Roman"/>
          <w:sz w:val="24"/>
          <w:lang w:val="sv-SE"/>
        </w:rPr>
      </w:pPr>
      <w:r>
        <w:rPr>
          <w:rFonts w:ascii="Times New Roman" w:hAnsi="Times New Roman"/>
          <w:noProof/>
          <w:sz w:val="24"/>
          <w:lang w:val="sv-SE"/>
        </w:rPr>
        <mc:AlternateContent>
          <mc:Choice Requires="wps">
            <w:drawing>
              <wp:anchor distT="45720" distB="45720" distL="114300" distR="114300" simplePos="0" relativeHeight="251661824" behindDoc="0" locked="0" layoutInCell="1" allowOverlap="1" wp14:anchorId="51F65E25" wp14:editId="738688A8">
                <wp:simplePos x="0" y="0"/>
                <wp:positionH relativeFrom="column">
                  <wp:posOffset>2152015</wp:posOffset>
                </wp:positionH>
                <wp:positionV relativeFrom="paragraph">
                  <wp:posOffset>6985</wp:posOffset>
                </wp:positionV>
                <wp:extent cx="2150745" cy="333375"/>
                <wp:effectExtent l="0" t="0" r="0" b="0"/>
                <wp:wrapSquare wrapText="bothSides"/>
                <wp:docPr id="1633869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333375"/>
                        </a:xfrm>
                        <a:prstGeom prst="rect">
                          <a:avLst/>
                        </a:prstGeom>
                        <a:noFill/>
                        <a:ln w="9525">
                          <a:noFill/>
                          <a:miter lim="800000"/>
                        </a:ln>
                      </wps:spPr>
                      <wps:txbx>
                        <w:txbxContent>
                          <w:p w14:paraId="71406B30" w14:textId="77777777" w:rsidR="004B2B9D" w:rsidRDefault="00000000">
                            <w:pPr>
                              <w:rPr>
                                <w:rFonts w:ascii="Times New Roman" w:hAnsi="Times New Roman"/>
                              </w:rPr>
                            </w:pPr>
                            <w:r>
                              <w:rPr>
                                <w:rFonts w:ascii="Times New Roman" w:hAnsi="Times New Roman"/>
                              </w:rPr>
                              <w:t>Figure 5 Coefficient of Determination</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69.45pt;margin-top:0.55pt;height:26.25pt;width:169.35pt;mso-wrap-distance-bottom:3.6pt;mso-wrap-distance-left:9pt;mso-wrap-distance-right:9pt;mso-wrap-distance-top:3.6pt;z-index:251669504;mso-width-relative:page;mso-height-relative:page;" filled="f" stroked="f" coordsize="21600,21600" o:gfxdata="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tmtZ71wAAAAgBAAAP&#10;AAAAAAAAAAEAIAAAACIAAABkcnMvZG93bnJldi54bWxQSwECFAAUAAAACACHTuJAbzjuLBkCAAAx&#10;BAAADgAAAAAAAAABACAAAAAmAQAAZHJzL2Uyb0RvYy54bWxQSwUGAAAAAAYABgBZAQAAsQUAAAAA&#10;">
                <v:fill on="f" focussize="0,0"/>
                <v:stroke on="f" miterlimit="8" joinstyle="miter"/>
                <v:imagedata o:title=""/>
                <o:lock v:ext="edit" aspectratio="f"/>
                <v:textbox>
                  <w:txbxContent>
                    <w:p w14:paraId="1AFD9018">
                      <w:pPr>
                        <w:rPr>
                          <w:rFonts w:ascii="Times New Roman" w:hAnsi="Times New Roman"/>
                        </w:rPr>
                      </w:pPr>
                      <w:r>
                        <w:rPr>
                          <w:rFonts w:ascii="Times New Roman" w:hAnsi="Times New Roman"/>
                        </w:rPr>
                        <w:t>Figure 5 Coefficient of Determination</w:t>
                      </w:r>
                    </w:p>
                  </w:txbxContent>
                </v:textbox>
                <w10:wrap type="square"/>
              </v:shape>
            </w:pict>
          </mc:Fallback>
        </mc:AlternateContent>
      </w:r>
    </w:p>
    <w:p w14:paraId="7707A4B2" w14:textId="77777777" w:rsidR="004B2B9D" w:rsidRDefault="004B2B9D">
      <w:pPr>
        <w:ind w:left="1440" w:firstLine="720"/>
        <w:rPr>
          <w:rFonts w:ascii="Times New Roman" w:hAnsi="Times New Roman"/>
          <w:sz w:val="24"/>
          <w:lang w:val="sv-SE"/>
        </w:rPr>
      </w:pPr>
    </w:p>
    <w:p w14:paraId="7B464090" w14:textId="77777777" w:rsidR="004B2B9D" w:rsidRDefault="004B2B9D">
      <w:pPr>
        <w:rPr>
          <w:rFonts w:ascii="Times New Roman" w:hAnsi="Times New Roman"/>
          <w:sz w:val="24"/>
          <w:lang w:val="sv-SE"/>
        </w:rPr>
      </w:pPr>
    </w:p>
    <w:p w14:paraId="5127D6E9" w14:textId="77777777" w:rsidR="004B2B9D" w:rsidRDefault="00000000">
      <w:pPr>
        <w:ind w:left="360" w:firstLine="720"/>
        <w:rPr>
          <w:rFonts w:ascii="Times New Roman" w:hAnsi="Times New Roman"/>
          <w:sz w:val="24"/>
        </w:rPr>
      </w:pPr>
      <w:r>
        <w:rPr>
          <w:rFonts w:ascii="Times New Roman" w:hAnsi="Times New Roman"/>
          <w:sz w:val="24"/>
          <w:lang w:val="sv-SE"/>
        </w:rPr>
        <w:t>The coefficient of determination measures the ability of independent variables to collectively explain the dependent variable. The higher the value, the better the regression model is at explaining the data. The test results are as follows:</w:t>
      </w:r>
    </w:p>
    <w:p w14:paraId="006C9991" w14:textId="77777777" w:rsidR="004B2B9D" w:rsidRDefault="00000000">
      <w:pPr>
        <w:pStyle w:val="ListParagraph"/>
        <w:numPr>
          <w:ilvl w:val="0"/>
          <w:numId w:val="6"/>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The R value is 0.968. This indicates a very strong relationship between the independent variables (Industrial Sector and Mining Sector) and the dependent variable (GRDP). The value of 0.968 is close to 1, indicating a very close relationship between the two.</w:t>
      </w:r>
    </w:p>
    <w:p w14:paraId="614BF8E2" w14:textId="77777777" w:rsidR="004B2B9D" w:rsidRDefault="00000000">
      <w:pPr>
        <w:pStyle w:val="ListParagraph"/>
        <w:numPr>
          <w:ilvl w:val="0"/>
          <w:numId w:val="6"/>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 xml:space="preserve">The R Square value is 0.937, or 93.7%, indicating that 93.7% of the variation or change in GRDP can be explained by the Industrial and Mining Sector variables. The </w:t>
      </w:r>
      <w:r>
        <w:rPr>
          <w:rFonts w:ascii="Times New Roman" w:hAnsi="Times New Roman"/>
          <w:sz w:val="24"/>
          <w:szCs w:val="24"/>
          <w:lang w:val="sv-SE"/>
        </w:rPr>
        <w:lastRenderedPageBreak/>
        <w:t>remaining 6.3% is influenced by other variables outside the two sectors in this research model.</w:t>
      </w:r>
    </w:p>
    <w:p w14:paraId="3A97F28F" w14:textId="77777777" w:rsidR="004B2B9D" w:rsidRDefault="00000000">
      <w:pPr>
        <w:pStyle w:val="ListParagraph"/>
        <w:numPr>
          <w:ilvl w:val="0"/>
          <w:numId w:val="6"/>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Adjusted R Square = 0.926. This indicates a value adjusted for the number of independent variables. This value is still high, indicating that the model used is stable and appropriate to the research data.</w:t>
      </w:r>
    </w:p>
    <w:p w14:paraId="724131EF" w14:textId="77777777" w:rsidR="004B2B9D" w:rsidRDefault="00000000">
      <w:pPr>
        <w:pStyle w:val="ListParagraph"/>
        <w:numPr>
          <w:ilvl w:val="0"/>
          <w:numId w:val="6"/>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Standard Error of the Estimate = 0.85649, which indicates the magnitude of the standard error of the prediction in the regression model. In other words, this value illustrates how far the predicted GRDP value by the regression model (which is based on the industrial and mining sectors) deviates from the actual GRDP value.</w:t>
      </w:r>
    </w:p>
    <w:p w14:paraId="4A25A3CC" w14:textId="77777777" w:rsidR="004B2B9D" w:rsidRDefault="00000000">
      <w:pPr>
        <w:spacing w:before="240" w:after="240"/>
        <w:ind w:left="720" w:firstLine="720"/>
        <w:rPr>
          <w:rFonts w:ascii="Times New Roman" w:hAnsi="Times New Roman"/>
          <w:sz w:val="24"/>
          <w:lang w:val="sv-SE"/>
        </w:rPr>
      </w:pPr>
      <w:r>
        <w:rPr>
          <w:rFonts w:ascii="Times New Roman" w:hAnsi="Times New Roman"/>
          <w:sz w:val="24"/>
          <w:lang w:val="sv-SE"/>
        </w:rPr>
        <w:t>The coefficient of determination in this study indicates that the Mining and Quarrying Sector and the Manufacturing Industry Sector have a significant influence on economic growth. With a contribution of 93.7%, the regression model used is highly appropriate for explaining the relationship between variables. Only a small portion (6.3%) of the variation in economic growth is influenced by factors outside this research model.</w:t>
      </w:r>
    </w:p>
    <w:p w14:paraId="21099A42" w14:textId="77777777" w:rsidR="004B2B9D" w:rsidRDefault="00000000">
      <w:pPr>
        <w:pStyle w:val="ListParagraph"/>
        <w:numPr>
          <w:ilvl w:val="0"/>
          <w:numId w:val="5"/>
        </w:numPr>
        <w:overflowPunct/>
        <w:spacing w:before="240" w:after="240" w:line="240" w:lineRule="auto"/>
        <w:contextualSpacing/>
        <w:jc w:val="both"/>
        <w:rPr>
          <w:rFonts w:ascii="Times New Roman" w:hAnsi="Times New Roman"/>
          <w:b/>
          <w:bCs/>
          <w:sz w:val="24"/>
          <w:szCs w:val="24"/>
        </w:rPr>
      </w:pPr>
      <w:r>
        <w:rPr>
          <w:rFonts w:ascii="Times New Roman" w:hAnsi="Times New Roman"/>
          <w:b/>
          <w:bCs/>
          <w:sz w:val="24"/>
          <w:szCs w:val="24"/>
        </w:rPr>
        <w:t>F Test (Simultaneous)</w:t>
      </w:r>
    </w:p>
    <w:p w14:paraId="086FA4F4" w14:textId="77777777" w:rsidR="004B2B9D" w:rsidRDefault="00000000">
      <w:pPr>
        <w:pStyle w:val="ListParagraph"/>
        <w:spacing w:before="240" w:after="240" w:line="240" w:lineRule="auto"/>
        <w:ind w:left="1080"/>
        <w:jc w:val="both"/>
      </w:pPr>
      <w:r>
        <w:rPr>
          <w:noProof/>
        </w:rPr>
        <w:drawing>
          <wp:anchor distT="0" distB="0" distL="114300" distR="114300" simplePos="0" relativeHeight="251664896" behindDoc="1" locked="0" layoutInCell="1" allowOverlap="1" wp14:anchorId="0B357F5C" wp14:editId="1E63964F">
            <wp:simplePos x="0" y="0"/>
            <wp:positionH relativeFrom="column">
              <wp:posOffset>911860</wp:posOffset>
            </wp:positionH>
            <wp:positionV relativeFrom="paragraph">
              <wp:posOffset>635</wp:posOffset>
            </wp:positionV>
            <wp:extent cx="4506595" cy="1598295"/>
            <wp:effectExtent l="0" t="0" r="0" b="2540"/>
            <wp:wrapTight wrapText="bothSides">
              <wp:wrapPolygon edited="0">
                <wp:start x="0" y="0"/>
                <wp:lineTo x="0" y="21377"/>
                <wp:lineTo x="21460" y="21377"/>
                <wp:lineTo x="21460" y="0"/>
                <wp:lineTo x="0" y="0"/>
              </wp:wrapPolygon>
            </wp:wrapTight>
            <wp:docPr id="1965505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05141" name="drawing"/>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506433" cy="1598212"/>
                    </a:xfrm>
                    <a:prstGeom prst="rect">
                      <a:avLst/>
                    </a:prstGeom>
                  </pic:spPr>
                </pic:pic>
              </a:graphicData>
            </a:graphic>
          </wp:anchor>
        </w:drawing>
      </w:r>
      <w:r>
        <w:tab/>
      </w:r>
    </w:p>
    <w:p w14:paraId="3E17E95A" w14:textId="77777777" w:rsidR="004B2B9D" w:rsidRDefault="004B2B9D">
      <w:pPr>
        <w:pStyle w:val="ListParagraph"/>
        <w:spacing w:before="240" w:after="240" w:line="240" w:lineRule="auto"/>
        <w:ind w:left="1080"/>
        <w:jc w:val="both"/>
        <w:rPr>
          <w:rFonts w:ascii="Times New Roman" w:hAnsi="Times New Roman"/>
          <w:sz w:val="24"/>
          <w:szCs w:val="24"/>
          <w:lang w:val="sv-SE"/>
        </w:rPr>
      </w:pPr>
    </w:p>
    <w:p w14:paraId="365FEAD4" w14:textId="77777777" w:rsidR="004B2B9D" w:rsidRDefault="004B2B9D">
      <w:pPr>
        <w:pStyle w:val="ListParagraph"/>
        <w:spacing w:before="240" w:after="240" w:line="240" w:lineRule="auto"/>
        <w:ind w:left="1080"/>
        <w:jc w:val="both"/>
        <w:rPr>
          <w:rFonts w:ascii="Times New Roman" w:hAnsi="Times New Roman"/>
          <w:sz w:val="24"/>
          <w:szCs w:val="24"/>
          <w:lang w:val="sv-SE"/>
        </w:rPr>
      </w:pPr>
    </w:p>
    <w:p w14:paraId="18C08549" w14:textId="77777777" w:rsidR="004B2B9D" w:rsidRDefault="004B2B9D">
      <w:pPr>
        <w:pStyle w:val="ListParagraph"/>
        <w:spacing w:before="240" w:after="240" w:line="240" w:lineRule="auto"/>
        <w:ind w:left="1080"/>
        <w:jc w:val="both"/>
        <w:rPr>
          <w:rFonts w:ascii="Times New Roman" w:hAnsi="Times New Roman"/>
          <w:sz w:val="24"/>
          <w:szCs w:val="24"/>
          <w:lang w:val="sv-SE"/>
        </w:rPr>
      </w:pPr>
    </w:p>
    <w:p w14:paraId="2CC5F2D3" w14:textId="77777777" w:rsidR="004B2B9D" w:rsidRDefault="00000000">
      <w:pPr>
        <w:pStyle w:val="ListParagraph"/>
        <w:spacing w:before="240" w:after="240" w:line="240" w:lineRule="auto"/>
        <w:ind w:left="1080"/>
        <w:jc w:val="both"/>
        <w:rPr>
          <w:rFonts w:ascii="Times New Roman" w:hAnsi="Times New Roman"/>
          <w:sz w:val="24"/>
          <w:szCs w:val="24"/>
          <w:lang w:val="sv-SE"/>
        </w:rPr>
      </w:pPr>
      <w:r>
        <w:rPr>
          <w:rFonts w:ascii="Times New Roman" w:hAnsi="Times New Roman"/>
          <w:noProof/>
          <w:sz w:val="24"/>
          <w:szCs w:val="24"/>
          <w:lang w:val="sv-SE"/>
        </w:rPr>
        <mc:AlternateContent>
          <mc:Choice Requires="wps">
            <w:drawing>
              <wp:anchor distT="45720" distB="45720" distL="114300" distR="114300" simplePos="0" relativeHeight="251662848" behindDoc="0" locked="0" layoutInCell="1" allowOverlap="1" wp14:anchorId="6D8A1CC7" wp14:editId="667EF474">
                <wp:simplePos x="0" y="0"/>
                <wp:positionH relativeFrom="column">
                  <wp:posOffset>2184400</wp:posOffset>
                </wp:positionH>
                <wp:positionV relativeFrom="paragraph">
                  <wp:posOffset>188595</wp:posOffset>
                </wp:positionV>
                <wp:extent cx="2297430" cy="246380"/>
                <wp:effectExtent l="0" t="0" r="0" b="1270"/>
                <wp:wrapSquare wrapText="bothSides"/>
                <wp:docPr id="202165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246380"/>
                        </a:xfrm>
                        <a:prstGeom prst="rect">
                          <a:avLst/>
                        </a:prstGeom>
                        <a:noFill/>
                        <a:ln w="9525">
                          <a:noFill/>
                          <a:miter lim="800000"/>
                        </a:ln>
                      </wps:spPr>
                      <wps:txbx>
                        <w:txbxContent>
                          <w:p w14:paraId="3E6E6B42" w14:textId="77777777" w:rsidR="004B2B9D" w:rsidRDefault="00000000">
                            <w:pPr>
                              <w:rPr>
                                <w:rFonts w:ascii="Times New Roman" w:hAnsi="Times New Roman"/>
                              </w:rPr>
                            </w:pPr>
                            <w:r>
                              <w:rPr>
                                <w:rFonts w:ascii="Times New Roman" w:hAnsi="Times New Roman"/>
                              </w:rPr>
                              <w:t>Figure 6 F Test Results (Simultaneous)</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72pt;margin-top:14.85pt;height:19.4pt;width:180.9pt;mso-wrap-distance-bottom:3.6pt;mso-wrap-distance-left:9pt;mso-wrap-distance-right:9pt;mso-wrap-distance-top:3.6pt;z-index:251670528;mso-width-relative:page;mso-height-relative:page;" filled="f" stroked="f" coordsize="21600,21600" o:gfxdata="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EPIDnXAAAACQEA&#10;AA8AAAAAAAAAAQAgAAAAIgAAAGRycy9kb3ducmV2LnhtbFBLAQIUABQAAAAIAIdO4kBanqniGwIA&#10;ADEEAAAOAAAAAAAAAAEAIAAAACYBAABkcnMvZTJvRG9jLnhtbFBLBQYAAAAABgAGAFkBAACzBQAA&#10;AAA=&#10;">
                <v:fill on="f" focussize="0,0"/>
                <v:stroke on="f" miterlimit="8" joinstyle="miter"/>
                <v:imagedata o:title=""/>
                <o:lock v:ext="edit" aspectratio="f"/>
                <v:textbox>
                  <w:txbxContent>
                    <w:p w14:paraId="32BBD8A9">
                      <w:pPr>
                        <w:rPr>
                          <w:rFonts w:ascii="Times New Roman" w:hAnsi="Times New Roman"/>
                        </w:rPr>
                      </w:pPr>
                      <w:r>
                        <w:rPr>
                          <w:rFonts w:ascii="Times New Roman" w:hAnsi="Times New Roman"/>
                        </w:rPr>
                        <w:t>Figure 6 F Test Results (Simultaneous)</w:t>
                      </w:r>
                    </w:p>
                  </w:txbxContent>
                </v:textbox>
                <w10:wrap type="square"/>
              </v:shape>
            </w:pict>
          </mc:Fallback>
        </mc:AlternateContent>
      </w:r>
    </w:p>
    <w:p w14:paraId="4101500F" w14:textId="77777777" w:rsidR="004B2B9D" w:rsidRDefault="00000000">
      <w:pPr>
        <w:pStyle w:val="ListParagraph"/>
        <w:spacing w:before="240" w:after="240" w:line="240" w:lineRule="auto"/>
        <w:ind w:left="1080"/>
        <w:jc w:val="both"/>
        <w:rPr>
          <w:rFonts w:ascii="Times New Roman" w:hAnsi="Times New Roman"/>
          <w:sz w:val="24"/>
          <w:szCs w:val="24"/>
          <w:lang w:val="sv-SE"/>
        </w:rPr>
      </w:pPr>
      <w:r>
        <w:rPr>
          <w:rFonts w:ascii="Times New Roman" w:hAnsi="Times New Roman"/>
          <w:sz w:val="24"/>
          <w:szCs w:val="24"/>
          <w:lang w:val="sv-SE"/>
        </w:rPr>
        <w:t>Based on the ANOVA table, the results obtained are:</w:t>
      </w:r>
    </w:p>
    <w:p w14:paraId="6A692D42" w14:textId="77777777" w:rsidR="004B2B9D" w:rsidRDefault="00000000">
      <w:pPr>
        <w:pStyle w:val="ListParagraph"/>
        <w:numPr>
          <w:ilvl w:val="0"/>
          <w:numId w:val="7"/>
        </w:numPr>
        <w:overflowPunct/>
        <w:spacing w:before="240" w:after="240" w:line="240" w:lineRule="auto"/>
        <w:contextualSpacing/>
        <w:jc w:val="both"/>
        <w:rPr>
          <w:rFonts w:ascii="Times New Roman" w:hAnsi="Times New Roman"/>
          <w:sz w:val="24"/>
          <w:szCs w:val="24"/>
        </w:rPr>
      </w:pPr>
      <w:r>
        <w:rPr>
          <w:rFonts w:ascii="Times New Roman" w:hAnsi="Times New Roman"/>
          <w:sz w:val="24"/>
          <w:szCs w:val="24"/>
        </w:rPr>
        <w:t>F count = 82.138</w:t>
      </w:r>
    </w:p>
    <w:p w14:paraId="5FFA26B3" w14:textId="77777777" w:rsidR="004B2B9D" w:rsidRDefault="00000000">
      <w:pPr>
        <w:pStyle w:val="ListParagraph"/>
        <w:numPr>
          <w:ilvl w:val="0"/>
          <w:numId w:val="7"/>
        </w:numPr>
        <w:overflowPunct/>
        <w:spacing w:before="240" w:after="240" w:line="240" w:lineRule="auto"/>
        <w:contextualSpacing/>
        <w:jc w:val="both"/>
        <w:rPr>
          <w:rFonts w:ascii="Times New Roman" w:hAnsi="Times New Roman"/>
          <w:sz w:val="24"/>
          <w:szCs w:val="24"/>
        </w:rPr>
      </w:pPr>
      <w:r>
        <w:rPr>
          <w:rFonts w:ascii="Times New Roman" w:hAnsi="Times New Roman"/>
          <w:sz w:val="24"/>
          <w:szCs w:val="24"/>
        </w:rPr>
        <w:t>Significance (Sig) = 0.000</w:t>
      </w:r>
    </w:p>
    <w:p w14:paraId="1AAB862F" w14:textId="77777777" w:rsidR="004B2B9D" w:rsidRDefault="00000000">
      <w:pPr>
        <w:pStyle w:val="ListParagraph"/>
        <w:numPr>
          <w:ilvl w:val="0"/>
          <w:numId w:val="7"/>
        </w:numPr>
        <w:overflowPunct/>
        <w:spacing w:before="240" w:after="240" w:line="240" w:lineRule="auto"/>
        <w:contextualSpacing/>
        <w:jc w:val="both"/>
        <w:rPr>
          <w:rFonts w:ascii="Times New Roman" w:hAnsi="Times New Roman"/>
          <w:sz w:val="24"/>
          <w:szCs w:val="24"/>
        </w:rPr>
      </w:pPr>
      <w:proofErr w:type="spellStart"/>
      <w:r>
        <w:rPr>
          <w:rFonts w:ascii="Times New Roman" w:hAnsi="Times New Roman"/>
          <w:sz w:val="24"/>
          <w:szCs w:val="24"/>
        </w:rPr>
        <w:t>Df</w:t>
      </w:r>
      <w:proofErr w:type="spellEnd"/>
      <w:r>
        <w:rPr>
          <w:rFonts w:ascii="Times New Roman" w:hAnsi="Times New Roman"/>
          <w:sz w:val="24"/>
          <w:szCs w:val="24"/>
        </w:rPr>
        <w:t xml:space="preserve"> regression = 2, </w:t>
      </w:r>
      <w:proofErr w:type="spellStart"/>
      <w:r>
        <w:rPr>
          <w:rFonts w:ascii="Times New Roman" w:hAnsi="Times New Roman"/>
          <w:sz w:val="24"/>
          <w:szCs w:val="24"/>
        </w:rPr>
        <w:t>df</w:t>
      </w:r>
      <w:proofErr w:type="spellEnd"/>
      <w:r>
        <w:rPr>
          <w:rFonts w:ascii="Times New Roman" w:hAnsi="Times New Roman"/>
          <w:sz w:val="24"/>
          <w:szCs w:val="24"/>
        </w:rPr>
        <w:t xml:space="preserve"> residual = 11, and </w:t>
      </w:r>
      <w:proofErr w:type="spellStart"/>
      <w:r>
        <w:rPr>
          <w:rFonts w:ascii="Times New Roman" w:hAnsi="Times New Roman"/>
          <w:sz w:val="24"/>
          <w:szCs w:val="24"/>
        </w:rPr>
        <w:t>df</w:t>
      </w:r>
      <w:proofErr w:type="spellEnd"/>
      <w:r>
        <w:rPr>
          <w:rFonts w:ascii="Times New Roman" w:hAnsi="Times New Roman"/>
          <w:sz w:val="24"/>
          <w:szCs w:val="24"/>
        </w:rPr>
        <w:t xml:space="preserve"> total = 13</w:t>
      </w:r>
    </w:p>
    <w:p w14:paraId="414774CB" w14:textId="77777777" w:rsidR="004B2B9D" w:rsidRDefault="00000000">
      <w:pPr>
        <w:spacing w:before="240" w:after="240"/>
        <w:ind w:left="720"/>
        <w:rPr>
          <w:rFonts w:ascii="Times New Roman" w:hAnsi="Times New Roman"/>
          <w:sz w:val="24"/>
        </w:rPr>
      </w:pPr>
      <w:r>
        <w:rPr>
          <w:rFonts w:ascii="Times New Roman" w:hAnsi="Times New Roman"/>
          <w:sz w:val="24"/>
        </w:rPr>
        <w:t xml:space="preserve">    Decision making criteria:</w:t>
      </w:r>
    </w:p>
    <w:p w14:paraId="6D5860AB" w14:textId="77777777" w:rsidR="004B2B9D" w:rsidRDefault="00000000">
      <w:pPr>
        <w:pStyle w:val="ListParagraph"/>
        <w:numPr>
          <w:ilvl w:val="0"/>
          <w:numId w:val="8"/>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If the Sig. value is &lt; 0.05, then the simultaneous regression model is significant.</w:t>
      </w:r>
    </w:p>
    <w:p w14:paraId="7281608D" w14:textId="77777777" w:rsidR="004B2B9D" w:rsidRDefault="00000000">
      <w:pPr>
        <w:pStyle w:val="ListParagraph"/>
        <w:numPr>
          <w:ilvl w:val="0"/>
          <w:numId w:val="8"/>
        </w:numPr>
        <w:overflowPunct/>
        <w:spacing w:before="240" w:after="240" w:line="240" w:lineRule="auto"/>
        <w:contextualSpacing/>
        <w:jc w:val="both"/>
        <w:rPr>
          <w:rFonts w:ascii="Times New Roman" w:hAnsi="Times New Roman"/>
          <w:sz w:val="24"/>
          <w:szCs w:val="24"/>
          <w:lang w:val="sv-SE"/>
        </w:rPr>
      </w:pPr>
      <w:r>
        <w:rPr>
          <w:rFonts w:ascii="Times New Roman" w:hAnsi="Times New Roman"/>
          <w:sz w:val="24"/>
          <w:szCs w:val="24"/>
          <w:lang w:val="sv-SE"/>
        </w:rPr>
        <w:t>If the Sig. value &gt; 0.05, then the simultaneous regression model is not significant.</w:t>
      </w:r>
    </w:p>
    <w:p w14:paraId="6861F8BB" w14:textId="77777777" w:rsidR="004B2B9D" w:rsidRDefault="00000000">
      <w:pPr>
        <w:ind w:left="720" w:firstLine="720"/>
        <w:rPr>
          <w:rFonts w:ascii="Times New Roman" w:hAnsi="Times New Roman"/>
          <w:sz w:val="24"/>
          <w:lang w:val="sv-SE"/>
        </w:rPr>
      </w:pPr>
      <w:r>
        <w:rPr>
          <w:rFonts w:ascii="Times New Roman" w:hAnsi="Times New Roman"/>
          <w:sz w:val="24"/>
          <w:lang w:val="sv-SE"/>
        </w:rPr>
        <w:t xml:space="preserve">The test results show that the Sig value is 0.000 &lt; 0.05, so it can be concluded that the independent variables, namely the mining and quarrying sector and the processing </w:t>
      </w:r>
      <w:r>
        <w:rPr>
          <w:rFonts w:ascii="Times New Roman" w:hAnsi="Times New Roman"/>
          <w:sz w:val="24"/>
          <w:lang w:val="sv-SE"/>
        </w:rPr>
        <w:lastRenderedPageBreak/>
        <w:t>industry sector together (simultaneously), have a significant effect on the dependent variable, namely economic growth as measured by GRDP.</w:t>
      </w:r>
    </w:p>
    <w:p w14:paraId="11901359" w14:textId="77777777" w:rsidR="004B2B9D" w:rsidRDefault="00000000">
      <w:pPr>
        <w:ind w:left="720" w:firstLine="720"/>
        <w:rPr>
          <w:rFonts w:ascii="Times New Roman" w:hAnsi="Times New Roman"/>
          <w:sz w:val="24"/>
          <w:lang w:val="sv-SE"/>
        </w:rPr>
      </w:pPr>
      <w:r>
        <w:rPr>
          <w:rFonts w:ascii="Times New Roman" w:hAnsi="Times New Roman"/>
          <w:sz w:val="24"/>
          <w:lang w:val="sv-SE"/>
        </w:rPr>
        <w:t>With a large F-value (82.138) and a very small significance level (0.000), the regression model used proved to be highly significant simultaneously. This means that the two sectors, when tested together, were able to explain changes in the Human Development Index strongly and significantly.</w:t>
      </w:r>
    </w:p>
    <w:p w14:paraId="5F430902" w14:textId="77777777" w:rsidR="004B2B9D" w:rsidRDefault="00000000">
      <w:pPr>
        <w:ind w:left="720" w:firstLine="720"/>
        <w:rPr>
          <w:rFonts w:ascii="Times New Roman" w:hAnsi="Times New Roman"/>
          <w:sz w:val="24"/>
          <w:lang w:val="sv-SE"/>
        </w:rPr>
      </w:pPr>
      <w:r>
        <w:rPr>
          <w:lang w:val="sv-SE"/>
        </w:rPr>
        <w:tab/>
      </w:r>
    </w:p>
    <w:p w14:paraId="29BD7D1A" w14:textId="77777777" w:rsidR="004B2B9D" w:rsidRDefault="00000000">
      <w:pPr>
        <w:pStyle w:val="ListParagraph"/>
        <w:numPr>
          <w:ilvl w:val="0"/>
          <w:numId w:val="5"/>
        </w:numPr>
        <w:overflowPunct/>
        <w:spacing w:line="240" w:lineRule="auto"/>
        <w:contextualSpacing/>
        <w:jc w:val="both"/>
        <w:rPr>
          <w:rFonts w:ascii="Book Antiqua" w:hAnsi="Book Antiqua"/>
          <w:b/>
          <w:bCs/>
          <w:sz w:val="24"/>
          <w:szCs w:val="24"/>
        </w:rPr>
      </w:pPr>
      <w:r>
        <w:rPr>
          <w:rFonts w:ascii="Book Antiqua" w:hAnsi="Book Antiqua"/>
          <w:b/>
          <w:bCs/>
          <w:sz w:val="24"/>
          <w:szCs w:val="24"/>
        </w:rPr>
        <w:t>Partial T-Test</w:t>
      </w:r>
    </w:p>
    <w:p w14:paraId="65750D15" w14:textId="77777777" w:rsidR="004B2B9D" w:rsidRDefault="004B2B9D">
      <w:pPr>
        <w:pStyle w:val="ListParagraph"/>
        <w:ind w:left="1080"/>
        <w:jc w:val="center"/>
      </w:pPr>
    </w:p>
    <w:p w14:paraId="5683D923" w14:textId="77777777" w:rsidR="004B2B9D" w:rsidRDefault="00000000">
      <w:pPr>
        <w:pStyle w:val="ListParagraph"/>
        <w:ind w:left="1080"/>
        <w:jc w:val="center"/>
      </w:pPr>
      <w:r>
        <w:rPr>
          <w:noProof/>
        </w:rPr>
        <w:drawing>
          <wp:inline distT="0" distB="0" distL="0" distR="0" wp14:anchorId="2F74F137" wp14:editId="3456941D">
            <wp:extent cx="5384165" cy="1263650"/>
            <wp:effectExtent l="0" t="0" r="6985" b="0"/>
            <wp:docPr id="1948348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48778" name="Picture 1"/>
                    <pic:cNvPicPr>
                      <a:picLocks noChangeAspect="1"/>
                    </pic:cNvPicPr>
                  </pic:nvPicPr>
                  <pic:blipFill>
                    <a:blip r:embed="rId17"/>
                    <a:srcRect l="17407" t="47823" r="21937" b="26835"/>
                    <a:stretch>
                      <a:fillRect/>
                    </a:stretch>
                  </pic:blipFill>
                  <pic:spPr>
                    <a:xfrm>
                      <a:off x="0" y="0"/>
                      <a:ext cx="5420247" cy="1272614"/>
                    </a:xfrm>
                    <a:prstGeom prst="rect">
                      <a:avLst/>
                    </a:prstGeom>
                    <a:ln>
                      <a:noFill/>
                    </a:ln>
                  </pic:spPr>
                </pic:pic>
              </a:graphicData>
            </a:graphic>
          </wp:inline>
        </w:drawing>
      </w:r>
    </w:p>
    <w:p w14:paraId="1B2DECE2" w14:textId="77777777" w:rsidR="004B2B9D" w:rsidRDefault="00000000">
      <w:pPr>
        <w:pStyle w:val="ListParagraph"/>
        <w:ind w:left="1080"/>
        <w:jc w:val="both"/>
        <w:rPr>
          <w:rFonts w:ascii="Times New Roman" w:hAnsi="Times New Roman"/>
          <w:sz w:val="24"/>
          <w:szCs w:val="24"/>
        </w:rPr>
      </w:pPr>
      <w:r>
        <w:rPr>
          <w:rFonts w:ascii="Times New Roman" w:hAnsi="Times New Roman"/>
          <w:noProof/>
          <w:sz w:val="24"/>
          <w:szCs w:val="24"/>
        </w:rPr>
        <mc:AlternateContent>
          <mc:Choice Requires="wps">
            <w:drawing>
              <wp:anchor distT="45720" distB="45720" distL="114300" distR="114300" simplePos="0" relativeHeight="251663872" behindDoc="0" locked="0" layoutInCell="1" allowOverlap="1" wp14:anchorId="787CDACC" wp14:editId="68E2C223">
                <wp:simplePos x="0" y="0"/>
                <wp:positionH relativeFrom="margin">
                  <wp:posOffset>2434590</wp:posOffset>
                </wp:positionH>
                <wp:positionV relativeFrom="paragraph">
                  <wp:posOffset>193040</wp:posOffset>
                </wp:positionV>
                <wp:extent cx="1838325" cy="247650"/>
                <wp:effectExtent l="0" t="0" r="0" b="0"/>
                <wp:wrapSquare wrapText="bothSides"/>
                <wp:docPr id="1693083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47650"/>
                        </a:xfrm>
                        <a:prstGeom prst="rect">
                          <a:avLst/>
                        </a:prstGeom>
                        <a:noFill/>
                        <a:ln w="9525">
                          <a:noFill/>
                          <a:miter lim="800000"/>
                        </a:ln>
                      </wps:spPr>
                      <wps:txbx>
                        <w:txbxContent>
                          <w:p w14:paraId="2E569052" w14:textId="77777777" w:rsidR="004B2B9D" w:rsidRDefault="00000000">
                            <w:pPr>
                              <w:rPr>
                                <w:rFonts w:ascii="Times New Roman" w:hAnsi="Times New Roman"/>
                              </w:rPr>
                            </w:pPr>
                            <w:r>
                              <w:rPr>
                                <w:rFonts w:ascii="Times New Roman" w:hAnsi="Times New Roman"/>
                              </w:rPr>
                              <w:t>Figure 7 Partial T-Test Results</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91.7pt;margin-top:15.2pt;height:19.5pt;width:144.75pt;mso-position-horizontal-relative:margin;mso-wrap-distance-bottom:3.6pt;mso-wrap-distance-left:9pt;mso-wrap-distance-right:9pt;mso-wrap-distance-top:3.6pt;z-index:251671552;mso-width-relative:page;mso-height-relative:page;" filled="f" stroked="f" coordsize="21600,21600" o:gfxdata="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GQYLXAAAACQEAAA8A&#10;AAAAAAAAAQAgAAAAIgAAAGRycy9kb3ducmV2LnhtbFBLAQIUABQAAAAIAIdO4kDaL5LhGAIAADEE&#10;AAAOAAAAAAAAAAEAIAAAACYBAABkcnMvZTJvRG9jLnhtbFBLBQYAAAAABgAGAFkBAACwBQAAAAA=&#10;">
                <v:fill on="f" focussize="0,0"/>
                <v:stroke on="f" miterlimit="8" joinstyle="miter"/>
                <v:imagedata o:title=""/>
                <o:lock v:ext="edit" aspectratio="f"/>
                <v:textbox>
                  <w:txbxContent>
                    <w:p w14:paraId="4D438FBB">
                      <w:pPr>
                        <w:rPr>
                          <w:rFonts w:ascii="Times New Roman" w:hAnsi="Times New Roman"/>
                        </w:rPr>
                      </w:pPr>
                      <w:r>
                        <w:rPr>
                          <w:rFonts w:ascii="Times New Roman" w:hAnsi="Times New Roman"/>
                        </w:rPr>
                        <w:t>Figure 7 Partial T-Test Results</w:t>
                      </w:r>
                    </w:p>
                  </w:txbxContent>
                </v:textbox>
                <w10:wrap type="square"/>
              </v:shape>
            </w:pict>
          </mc:Fallback>
        </mc:AlternateContent>
      </w:r>
    </w:p>
    <w:p w14:paraId="4BE5536C" w14:textId="77777777" w:rsidR="004B2B9D" w:rsidRDefault="004B2B9D">
      <w:pPr>
        <w:pStyle w:val="ListParagraph"/>
        <w:ind w:left="1080"/>
        <w:jc w:val="both"/>
        <w:rPr>
          <w:rFonts w:ascii="Times New Roman" w:hAnsi="Times New Roman"/>
          <w:sz w:val="24"/>
          <w:szCs w:val="24"/>
        </w:rPr>
      </w:pPr>
    </w:p>
    <w:p w14:paraId="37BE2E5A" w14:textId="77777777" w:rsidR="004B2B9D" w:rsidRDefault="004B2B9D">
      <w:pPr>
        <w:pStyle w:val="ListParagraph"/>
        <w:ind w:left="1080"/>
        <w:jc w:val="both"/>
        <w:rPr>
          <w:rFonts w:ascii="Times New Roman" w:hAnsi="Times New Roman"/>
          <w:sz w:val="24"/>
          <w:szCs w:val="24"/>
        </w:rPr>
      </w:pPr>
    </w:p>
    <w:p w14:paraId="1604FD8D" w14:textId="77777777" w:rsidR="004B2B9D" w:rsidRDefault="00000000">
      <w:pPr>
        <w:pStyle w:val="ListParagraph"/>
        <w:ind w:left="1080"/>
        <w:jc w:val="both"/>
        <w:rPr>
          <w:rFonts w:ascii="Times New Roman" w:hAnsi="Times New Roman"/>
          <w:sz w:val="24"/>
          <w:szCs w:val="24"/>
        </w:rPr>
      </w:pPr>
      <w:r>
        <w:rPr>
          <w:rFonts w:ascii="Times New Roman" w:hAnsi="Times New Roman"/>
          <w:sz w:val="24"/>
          <w:szCs w:val="24"/>
        </w:rPr>
        <w:t>From the image above, namely:</w:t>
      </w:r>
    </w:p>
    <w:p w14:paraId="587FCF4E" w14:textId="77777777" w:rsidR="004B2B9D" w:rsidRDefault="00000000">
      <w:pPr>
        <w:pStyle w:val="ListParagraph"/>
        <w:numPr>
          <w:ilvl w:val="0"/>
          <w:numId w:val="9"/>
        </w:numPr>
        <w:overflowPunct/>
        <w:contextualSpacing/>
        <w:jc w:val="both"/>
        <w:rPr>
          <w:rFonts w:ascii="Times New Roman" w:hAnsi="Times New Roman"/>
          <w:sz w:val="24"/>
          <w:szCs w:val="24"/>
        </w:rPr>
      </w:pPr>
      <w:r>
        <w:rPr>
          <w:rFonts w:ascii="Times New Roman" w:hAnsi="Times New Roman"/>
          <w:sz w:val="24"/>
          <w:szCs w:val="24"/>
        </w:rPr>
        <w:t>Mining and Quarrying Sector</w:t>
      </w:r>
    </w:p>
    <w:p w14:paraId="3A40CF4F" w14:textId="77777777" w:rsidR="004B2B9D" w:rsidRDefault="00000000">
      <w:pPr>
        <w:pStyle w:val="ListParagraph"/>
        <w:numPr>
          <w:ilvl w:val="0"/>
          <w:numId w:val="10"/>
        </w:numPr>
        <w:overflowPunct/>
        <w:contextualSpacing/>
        <w:jc w:val="both"/>
        <w:rPr>
          <w:rFonts w:ascii="Times New Roman" w:hAnsi="Times New Roman"/>
          <w:sz w:val="24"/>
          <w:szCs w:val="24"/>
        </w:rPr>
      </w:pPr>
      <w:r>
        <w:rPr>
          <w:rFonts w:ascii="Times New Roman" w:hAnsi="Times New Roman"/>
          <w:sz w:val="24"/>
          <w:szCs w:val="24"/>
        </w:rPr>
        <w:t>The value of t = 12.807</w:t>
      </w:r>
    </w:p>
    <w:p w14:paraId="635DD9B9" w14:textId="77777777" w:rsidR="004B2B9D" w:rsidRDefault="00000000">
      <w:pPr>
        <w:pStyle w:val="ListParagraph"/>
        <w:numPr>
          <w:ilvl w:val="0"/>
          <w:numId w:val="10"/>
        </w:numPr>
        <w:overflowPunct/>
        <w:contextualSpacing/>
        <w:jc w:val="both"/>
        <w:rPr>
          <w:rFonts w:ascii="Times New Roman" w:hAnsi="Times New Roman"/>
          <w:sz w:val="24"/>
          <w:szCs w:val="24"/>
        </w:rPr>
      </w:pPr>
      <w:r>
        <w:rPr>
          <w:rFonts w:ascii="Times New Roman" w:hAnsi="Times New Roman"/>
          <w:sz w:val="24"/>
          <w:szCs w:val="24"/>
        </w:rPr>
        <w:t>Sig. Value = 0.000 &lt; 0.05</w:t>
      </w:r>
    </w:p>
    <w:p w14:paraId="227667C0" w14:textId="77777777" w:rsidR="004B2B9D" w:rsidRDefault="00000000">
      <w:pPr>
        <w:ind w:left="1440"/>
        <w:rPr>
          <w:rFonts w:ascii="Times New Roman" w:hAnsi="Times New Roman"/>
          <w:sz w:val="24"/>
          <w:lang w:val="sv-SE"/>
        </w:rPr>
      </w:pPr>
      <w:r>
        <w:rPr>
          <w:rFonts w:ascii="Times New Roman" w:hAnsi="Times New Roman"/>
          <w:sz w:val="24"/>
          <w:lang w:val="sv-SE"/>
        </w:rPr>
        <w:t>This means its influence is statistically significant on economic growth. The more the mining and quarrying sector develops, the greater its contribution to economic growth in Bengkalis Regency.</w:t>
      </w:r>
    </w:p>
    <w:p w14:paraId="3376E68D" w14:textId="77777777" w:rsidR="004B2B9D" w:rsidRDefault="00000000">
      <w:pPr>
        <w:pStyle w:val="ListParagraph"/>
        <w:numPr>
          <w:ilvl w:val="0"/>
          <w:numId w:val="9"/>
        </w:numPr>
        <w:overflowPunct/>
        <w:contextualSpacing/>
        <w:jc w:val="both"/>
        <w:rPr>
          <w:rFonts w:ascii="Times New Roman" w:hAnsi="Times New Roman"/>
          <w:sz w:val="24"/>
          <w:szCs w:val="24"/>
        </w:rPr>
      </w:pPr>
      <w:r>
        <w:rPr>
          <w:rFonts w:ascii="Times New Roman" w:hAnsi="Times New Roman"/>
          <w:sz w:val="24"/>
          <w:szCs w:val="24"/>
        </w:rPr>
        <w:t>Manufacturing Industry Sector</w:t>
      </w:r>
    </w:p>
    <w:p w14:paraId="737772BB" w14:textId="77777777" w:rsidR="004B2B9D" w:rsidRDefault="00000000">
      <w:pPr>
        <w:pStyle w:val="ListParagraph"/>
        <w:numPr>
          <w:ilvl w:val="0"/>
          <w:numId w:val="11"/>
        </w:numPr>
        <w:overflowPunct/>
        <w:contextualSpacing/>
        <w:jc w:val="both"/>
        <w:rPr>
          <w:rFonts w:ascii="Times New Roman" w:hAnsi="Times New Roman"/>
          <w:sz w:val="24"/>
          <w:szCs w:val="24"/>
        </w:rPr>
      </w:pPr>
      <w:r>
        <w:rPr>
          <w:rFonts w:ascii="Times New Roman" w:hAnsi="Times New Roman"/>
          <w:sz w:val="24"/>
          <w:szCs w:val="24"/>
        </w:rPr>
        <w:t>T value = 0.634</w:t>
      </w:r>
    </w:p>
    <w:p w14:paraId="48796306" w14:textId="77777777" w:rsidR="004B2B9D" w:rsidRDefault="00000000">
      <w:pPr>
        <w:pStyle w:val="ListParagraph"/>
        <w:numPr>
          <w:ilvl w:val="0"/>
          <w:numId w:val="11"/>
        </w:numPr>
        <w:overflowPunct/>
        <w:contextualSpacing/>
        <w:jc w:val="both"/>
        <w:rPr>
          <w:rFonts w:ascii="Times New Roman" w:hAnsi="Times New Roman"/>
          <w:sz w:val="24"/>
          <w:szCs w:val="24"/>
        </w:rPr>
      </w:pPr>
      <w:r>
        <w:rPr>
          <w:rFonts w:ascii="Times New Roman" w:hAnsi="Times New Roman"/>
          <w:sz w:val="24"/>
          <w:szCs w:val="24"/>
        </w:rPr>
        <w:t>Sig. Value = 0.539 &lt; 0.05</w:t>
      </w:r>
    </w:p>
    <w:p w14:paraId="73D8B704" w14:textId="77777777" w:rsidR="004B2B9D" w:rsidRDefault="00000000">
      <w:pPr>
        <w:ind w:left="1440"/>
        <w:rPr>
          <w:rFonts w:ascii="Times New Roman" w:hAnsi="Times New Roman"/>
          <w:sz w:val="24"/>
          <w:lang w:val="sv-SE"/>
        </w:rPr>
      </w:pPr>
      <w:r>
        <w:rPr>
          <w:rFonts w:ascii="Times New Roman" w:hAnsi="Times New Roman"/>
          <w:sz w:val="24"/>
          <w:lang w:val="sv-SE"/>
        </w:rPr>
        <w:t>This means the effect is not statistically significant. The Manufacturing Industry sector has a positive but insignificant effect on GRDP in this research model. Although the coefficient is positive, its effect is not strong enough to partially influence GRDP.</w:t>
      </w:r>
    </w:p>
    <w:p w14:paraId="5BF20C7D" w14:textId="77777777" w:rsidR="004B2B9D" w:rsidRDefault="004B2B9D">
      <w:pPr>
        <w:ind w:left="1440"/>
        <w:rPr>
          <w:rFonts w:ascii="Times New Roman" w:hAnsi="Times New Roman"/>
          <w:sz w:val="24"/>
          <w:lang w:val="sv-SE"/>
        </w:rPr>
      </w:pPr>
    </w:p>
    <w:p w14:paraId="6FD5F0F2" w14:textId="77777777" w:rsidR="004B2B9D" w:rsidRDefault="00000000">
      <w:pPr>
        <w:ind w:left="360" w:firstLine="720"/>
        <w:rPr>
          <w:rFonts w:ascii="Times New Roman" w:hAnsi="Times New Roman"/>
          <w:sz w:val="24"/>
          <w:lang w:val="sv-SE"/>
        </w:rPr>
      </w:pPr>
      <w:r>
        <w:rPr>
          <w:rFonts w:ascii="Times New Roman" w:hAnsi="Times New Roman"/>
          <w:sz w:val="24"/>
          <w:lang w:val="sv-SE"/>
        </w:rPr>
        <w:t>Partially, the mining and quarrying sector significantly influences economic growth, as it creates more added value, creates jobs, and drives economic growth, which directly impacts the community's quality of life. Conversely, the manufacturing sector does not significantly influence economic growth. This may be due to mining activities being more focused on exploiting natural resources, which does not always directly impact the community's welfare or quality of life.</w:t>
      </w:r>
    </w:p>
    <w:p w14:paraId="7D897670" w14:textId="77777777" w:rsidR="004B2B9D" w:rsidRDefault="004B2B9D">
      <w:pPr>
        <w:rPr>
          <w:rFonts w:ascii="Times New Roman" w:hAnsi="Times New Roman"/>
          <w:sz w:val="24"/>
          <w:lang w:val="sv-SE"/>
        </w:rPr>
      </w:pPr>
    </w:p>
    <w:p w14:paraId="1D9190B7" w14:textId="77777777" w:rsidR="004B2B9D" w:rsidRDefault="00000000">
      <w:pPr>
        <w:pStyle w:val="ListParagraph"/>
        <w:spacing w:after="0" w:line="240" w:lineRule="auto"/>
        <w:ind w:left="360"/>
        <w:jc w:val="both"/>
        <w:rPr>
          <w:rFonts w:ascii="Times New Roman" w:hAnsi="Times New Roman"/>
          <w:b/>
          <w:bCs/>
          <w:i/>
          <w:iCs/>
          <w:sz w:val="24"/>
          <w:szCs w:val="24"/>
          <w:lang w:val="sv-SE"/>
        </w:rPr>
      </w:pPr>
      <w:r>
        <w:rPr>
          <w:rFonts w:ascii="Times New Roman" w:hAnsi="Times New Roman"/>
          <w:b/>
          <w:bCs/>
          <w:i/>
          <w:iCs/>
          <w:sz w:val="24"/>
          <w:szCs w:val="24"/>
          <w:lang w:val="sv-SE"/>
        </w:rPr>
        <w:lastRenderedPageBreak/>
        <w:t>The Influence of the Mining and Quarrying Sector on Economic Growth in Bengkalis Regency 2011-2024</w:t>
      </w:r>
    </w:p>
    <w:p w14:paraId="746970DA" w14:textId="77777777" w:rsidR="004B2B9D" w:rsidRDefault="00000000">
      <w:pPr>
        <w:pStyle w:val="ListParagraph"/>
        <w:spacing w:after="0" w:line="240" w:lineRule="auto"/>
        <w:ind w:left="360" w:firstLine="360"/>
        <w:jc w:val="both"/>
        <w:rPr>
          <w:rFonts w:ascii="Times New Roman" w:hAnsi="Times New Roman"/>
          <w:sz w:val="24"/>
          <w:szCs w:val="24"/>
          <w:lang w:val="sv-SE"/>
        </w:rPr>
      </w:pPr>
      <w:r>
        <w:rPr>
          <w:rFonts w:ascii="Times New Roman" w:hAnsi="Times New Roman"/>
          <w:sz w:val="24"/>
          <w:szCs w:val="24"/>
          <w:lang w:val="sv-SE"/>
        </w:rPr>
        <w:t>Based on the results of the partial t-test on the variable contribution of the mining and quarrying sector to the economic growth of Bengkalis Regency for the period 2011–2024, a significance value of 0.000 was obtained. The t-test provisions state that if the significance value is smaller than the significance level α = 0.05, then the independent variable has a significant influence on the dependent variable. Conversely, if the significance value is greater than 0.05, then the variable is declared to have no significant influence.</w:t>
      </w:r>
    </w:p>
    <w:p w14:paraId="0C1B5A21" w14:textId="77777777" w:rsidR="004B2B9D" w:rsidRDefault="004B2B9D">
      <w:pPr>
        <w:pStyle w:val="ListParagraph"/>
        <w:spacing w:after="0" w:line="240" w:lineRule="auto"/>
        <w:ind w:left="360"/>
        <w:jc w:val="both"/>
        <w:rPr>
          <w:rFonts w:ascii="Times New Roman" w:hAnsi="Times New Roman"/>
          <w:sz w:val="24"/>
          <w:szCs w:val="24"/>
          <w:lang w:val="sv-SE"/>
        </w:rPr>
      </w:pPr>
    </w:p>
    <w:p w14:paraId="105D4C14" w14:textId="77777777" w:rsidR="004B2B9D" w:rsidRDefault="00000000">
      <w:pPr>
        <w:pStyle w:val="ListParagraph"/>
        <w:spacing w:after="0" w:line="240" w:lineRule="auto"/>
        <w:ind w:left="360" w:firstLine="360"/>
        <w:jc w:val="both"/>
        <w:rPr>
          <w:rFonts w:ascii="Times New Roman" w:hAnsi="Times New Roman"/>
          <w:sz w:val="24"/>
          <w:szCs w:val="24"/>
          <w:lang w:val="sv-SE"/>
        </w:rPr>
      </w:pPr>
      <w:r>
        <w:rPr>
          <w:rFonts w:ascii="Times New Roman" w:hAnsi="Times New Roman"/>
          <w:sz w:val="24"/>
          <w:szCs w:val="24"/>
          <w:lang w:val="sv-SE"/>
        </w:rPr>
        <w:t>The results indicate that the significance value (0.000) &lt; α (0.05), thus it can be concluded that the contribution of the mining and quarrying sector is more dominant and has a significant influence on economic growth in Bengkalis Regency. This means that the increase in contribution from the mining and quarrying sector was significantly able to drive regional economic growth during the research period.</w:t>
      </w:r>
    </w:p>
    <w:p w14:paraId="663C558F" w14:textId="77777777" w:rsidR="004B2B9D" w:rsidRDefault="004B2B9D">
      <w:pPr>
        <w:rPr>
          <w:rFonts w:ascii="Times New Roman" w:hAnsi="Times New Roman"/>
          <w:sz w:val="24"/>
          <w:lang w:val="sv-SE"/>
        </w:rPr>
      </w:pPr>
    </w:p>
    <w:p w14:paraId="33AB34ED" w14:textId="77777777" w:rsidR="004B2B9D" w:rsidRDefault="00000000">
      <w:pPr>
        <w:ind w:left="360"/>
        <w:rPr>
          <w:rFonts w:ascii="Times New Roman" w:hAnsi="Times New Roman"/>
          <w:b/>
          <w:bCs/>
          <w:i/>
          <w:iCs/>
          <w:sz w:val="24"/>
          <w:lang w:val="sv-SE"/>
        </w:rPr>
      </w:pPr>
      <w:r>
        <w:rPr>
          <w:rFonts w:ascii="Times New Roman" w:hAnsi="Times New Roman"/>
          <w:b/>
          <w:bCs/>
          <w:i/>
          <w:iCs/>
          <w:sz w:val="24"/>
          <w:lang w:val="sv-SE"/>
        </w:rPr>
        <w:t>The Influence of the Manufacturing Industry Sector on Economic Growth in Bengkalis Regency 2011-2024</w:t>
      </w:r>
    </w:p>
    <w:p w14:paraId="4A1A4A1B" w14:textId="77777777" w:rsidR="004B2B9D" w:rsidRDefault="00000000">
      <w:pPr>
        <w:ind w:left="360" w:firstLine="360"/>
        <w:rPr>
          <w:rFonts w:ascii="Times New Roman" w:hAnsi="Times New Roman"/>
          <w:sz w:val="24"/>
          <w:lang w:val="sv-SE"/>
        </w:rPr>
      </w:pPr>
      <w:r>
        <w:rPr>
          <w:rFonts w:ascii="Times New Roman" w:hAnsi="Times New Roman"/>
          <w:sz w:val="24"/>
          <w:lang w:val="sv-SE"/>
        </w:rPr>
        <w:t>Based on the results of the partial t-test on the manufacturing industry sector variable on the economic growth of Bengkalis Regency for the 2011–2024 period, a significance value of 0.539 was obtained. In accordance with the provisions of the t-test, if the significance value is smaller than the significance level α = 0.05, then the independent variable has a significant effect on the dependent variable. Conversely, if the significance value is greater than 0.05, then the variable does not have a significant effect on economic growth.</w:t>
      </w:r>
    </w:p>
    <w:p w14:paraId="6D99B7C3" w14:textId="77777777" w:rsidR="004B2B9D" w:rsidRDefault="004B2B9D">
      <w:pPr>
        <w:rPr>
          <w:rFonts w:ascii="Times New Roman" w:hAnsi="Times New Roman"/>
          <w:sz w:val="24"/>
          <w:lang w:val="sv-SE"/>
        </w:rPr>
      </w:pPr>
    </w:p>
    <w:p w14:paraId="3D2B9865" w14:textId="77777777" w:rsidR="004B2B9D" w:rsidRDefault="00000000">
      <w:pPr>
        <w:ind w:left="360" w:firstLine="360"/>
        <w:rPr>
          <w:rFonts w:ascii="Times New Roman" w:hAnsi="Times New Roman"/>
          <w:b/>
          <w:bCs/>
          <w:i/>
          <w:iCs/>
          <w:sz w:val="24"/>
          <w:lang w:val="sv-SE"/>
        </w:rPr>
      </w:pPr>
      <w:r>
        <w:rPr>
          <w:rFonts w:ascii="Times New Roman" w:hAnsi="Times New Roman"/>
          <w:sz w:val="24"/>
          <w:lang w:val="sv-SE"/>
        </w:rPr>
        <w:t>The results of the study indicate that the significance value (0.539) &gt; α (0.05), so it can be concluded that the manufacturing industry sector does not have a significant effect on economic growth in Bengkalis Regency. When compared to the mining and quarrying sector which has a significance value of 0.000 &lt; 0.05, the mining and quarrying sector has a much stronger and more significant influence on regional economic growth. This indicates that the economy of Bengkalis Regency during the study period was still supported more by activities in the mining and quarrying sector than the manufacturing industry sector.</w:t>
      </w:r>
    </w:p>
    <w:p w14:paraId="4C822B8A" w14:textId="77777777" w:rsidR="004B2B9D" w:rsidRDefault="004B2B9D">
      <w:pPr>
        <w:rPr>
          <w:rFonts w:ascii="Times New Roman" w:hAnsi="Times New Roman"/>
          <w:b/>
          <w:bCs/>
          <w:i/>
          <w:iCs/>
          <w:sz w:val="24"/>
          <w:lang w:val="sv-SE"/>
        </w:rPr>
      </w:pPr>
    </w:p>
    <w:p w14:paraId="38CD2699" w14:textId="77777777" w:rsidR="004B2B9D" w:rsidRDefault="00000000">
      <w:pPr>
        <w:ind w:left="360"/>
        <w:rPr>
          <w:rFonts w:ascii="Times New Roman" w:hAnsi="Times New Roman"/>
          <w:b/>
          <w:bCs/>
          <w:i/>
          <w:iCs/>
          <w:sz w:val="24"/>
          <w:lang w:val="sv-SE"/>
        </w:rPr>
      </w:pPr>
      <w:r>
        <w:rPr>
          <w:rFonts w:ascii="Times New Roman" w:hAnsi="Times New Roman"/>
          <w:b/>
          <w:bCs/>
          <w:i/>
          <w:iCs/>
          <w:sz w:val="24"/>
          <w:lang w:val="sv-SE"/>
        </w:rPr>
        <w:t>The Influence of the Mining and Excavation Sector and the Manufacturing Industry Sector on Economic Growth in Bengkalis Regency in 2011-2024</w:t>
      </w:r>
    </w:p>
    <w:p w14:paraId="314E90C7" w14:textId="77777777" w:rsidR="004B2B9D" w:rsidRDefault="004B2B9D">
      <w:pPr>
        <w:rPr>
          <w:rFonts w:ascii="Times New Roman" w:hAnsi="Times New Roman"/>
          <w:b/>
          <w:bCs/>
          <w:sz w:val="24"/>
          <w:lang w:val="sv-SE"/>
        </w:rPr>
      </w:pPr>
    </w:p>
    <w:p w14:paraId="2E14E9ED" w14:textId="77777777" w:rsidR="004B2B9D" w:rsidRDefault="00000000">
      <w:pPr>
        <w:ind w:left="360" w:firstLine="360"/>
        <w:rPr>
          <w:rFonts w:ascii="Times New Roman" w:hAnsi="Times New Roman"/>
          <w:sz w:val="24"/>
          <w:lang w:val="sv-SE"/>
        </w:rPr>
      </w:pPr>
      <w:r>
        <w:rPr>
          <w:rFonts w:ascii="Times New Roman" w:hAnsi="Times New Roman"/>
          <w:sz w:val="24"/>
          <w:lang w:val="sv-SE"/>
        </w:rPr>
        <w:t>Based on the results of the simultaneous test (F test) on the mining and quarrying sector variables and the processing industry sector on the economic growth of Bengkalis Regency for the period 2011–2024, a significance value of 0.000 was obtained. The F test provisions state that if the significance value is smaller than the significance level α = 0.05, then the independent variables together have a significant effect on the dependent variable. Conversely, if the significance value is greater than 0.05, then there is no significant simultaneous effect.</w:t>
      </w:r>
    </w:p>
    <w:p w14:paraId="735EF572" w14:textId="77777777" w:rsidR="004B2B9D" w:rsidRDefault="004B2B9D">
      <w:pPr>
        <w:ind w:left="360" w:firstLine="360"/>
        <w:rPr>
          <w:rFonts w:ascii="Times New Roman" w:hAnsi="Times New Roman"/>
          <w:sz w:val="24"/>
          <w:lang w:val="sv-SE"/>
        </w:rPr>
      </w:pPr>
    </w:p>
    <w:p w14:paraId="1CFB1A24" w14:textId="77777777" w:rsidR="004B2B9D" w:rsidRDefault="00000000">
      <w:pPr>
        <w:ind w:left="360" w:firstLine="360"/>
        <w:rPr>
          <w:rFonts w:ascii="Times New Roman" w:hAnsi="Times New Roman"/>
          <w:sz w:val="24"/>
          <w:lang w:val="sv-SE"/>
        </w:rPr>
      </w:pPr>
      <w:r>
        <w:rPr>
          <w:rFonts w:ascii="Times New Roman" w:hAnsi="Times New Roman"/>
          <w:sz w:val="24"/>
          <w:lang w:val="sv-SE"/>
        </w:rPr>
        <w:t>The results of the study show that the significance value (0.000) &lt; α (0.05), so it can be concluded that the mining and quarrying sector and the processing industry sector simultaneously have a significant effect on economic growth in Bengkalis Regency. The Adjusted R Square value of 0.926 indicates that the two sectors are able to explain 92.6% of the variation in changes in economic growth, while the remaining 7.4% is influenced by other factors outside the research model. This shows that the combined contribution of the two sectors has a very strong role in determining the economic growth of Bengkalis Regency during the 2011–2024 period.</w:t>
      </w:r>
    </w:p>
    <w:p w14:paraId="68269724" w14:textId="77777777" w:rsidR="004B2B9D" w:rsidRDefault="004B2B9D">
      <w:pPr>
        <w:rPr>
          <w:rFonts w:ascii="Times New Roman" w:hAnsi="Times New Roman"/>
          <w:sz w:val="24"/>
          <w:lang w:val="sv-SE"/>
        </w:rPr>
      </w:pPr>
    </w:p>
    <w:p w14:paraId="2B812588" w14:textId="77777777" w:rsidR="004B2B9D" w:rsidRDefault="004B2B9D">
      <w:pPr>
        <w:tabs>
          <w:tab w:val="right" w:pos="5843"/>
        </w:tabs>
        <w:rPr>
          <w:rFonts w:ascii="Book Antiqua" w:hAnsi="Book Antiqua"/>
        </w:rPr>
      </w:pPr>
    </w:p>
    <w:p w14:paraId="1489AA00" w14:textId="77777777" w:rsidR="004B2B9D" w:rsidRDefault="00000000">
      <w:pPr>
        <w:pStyle w:val="Heading1"/>
      </w:pPr>
      <w:r>
        <w:rPr>
          <w:rFonts w:ascii="Book Antiqua" w:hAnsi="Book Antiqua"/>
          <w:sz w:val="24"/>
          <w:lang w:val="en-US"/>
        </w:rPr>
        <w:t>IV.</w:t>
      </w:r>
      <w:r>
        <w:rPr>
          <w:rFonts w:ascii="Book Antiqua" w:hAnsi="Book Antiqua"/>
          <w:sz w:val="24"/>
          <w:lang w:val="id-ID"/>
        </w:rPr>
        <w:t>CONCLUSION</w:t>
      </w:r>
    </w:p>
    <w:p w14:paraId="004B8271" w14:textId="77777777" w:rsidR="004B2B9D" w:rsidRDefault="00000000">
      <w:pPr>
        <w:ind w:firstLine="720"/>
        <w:rPr>
          <w:rFonts w:ascii="Times New Roman" w:hAnsi="Times New Roman"/>
          <w:sz w:val="24"/>
          <w:lang w:val="sv-SE"/>
        </w:rPr>
      </w:pPr>
      <w:r>
        <w:rPr>
          <w:rFonts w:ascii="Times New Roman" w:hAnsi="Times New Roman"/>
          <w:sz w:val="24"/>
          <w:lang w:val="sv-SE"/>
        </w:rPr>
        <w:t>This study aims to analyze the influence of the mining and quarrying sector and the manufacturing industry sector on economic growth in Bengkalis Regency for the period 2011–2024. Based on the results of multiple linear regression analysis and a series of classical assumption tests, the regression model was declared suitable for use because it met the assumptions of normality, was free from multicollinearity, and did not experience heteroscedasticity. This indicates that the research model has good validity for measuring the relationship between variables.</w:t>
      </w:r>
    </w:p>
    <w:p w14:paraId="6BD7E49E" w14:textId="77777777" w:rsidR="004B2B9D" w:rsidRDefault="00000000">
      <w:pPr>
        <w:ind w:firstLine="720"/>
        <w:rPr>
          <w:rFonts w:ascii="Times New Roman" w:hAnsi="Times New Roman"/>
          <w:sz w:val="24"/>
          <w:lang w:val="sv-SE"/>
        </w:rPr>
      </w:pPr>
      <w:r>
        <w:rPr>
          <w:rFonts w:ascii="Times New Roman" w:hAnsi="Times New Roman"/>
          <w:sz w:val="24"/>
          <w:lang w:val="sv-SE"/>
        </w:rPr>
        <w:t>Partially, the t-test results indicate that the mining and quarrying sector variable has a significance value of 0.000, which is smaller than the significance level of α = 0.05. This means that the mining and quarrying sector has a significant influence on the economic growth of Bengkalis Regency. This finding indicates that the increasing contribution from the mining and quarrying sector has a positive impact on the rate of regional economic growth. Exploration and production activities in this sector have proven to be one of the main drivers of economic dynamics in Bengkalis Regency during the study period.</w:t>
      </w:r>
    </w:p>
    <w:p w14:paraId="546A6AC0" w14:textId="77777777" w:rsidR="004B2B9D" w:rsidRDefault="00000000">
      <w:pPr>
        <w:ind w:firstLine="720"/>
        <w:rPr>
          <w:rFonts w:ascii="Times New Roman" w:hAnsi="Times New Roman"/>
          <w:sz w:val="24"/>
          <w:lang w:val="sv-SE"/>
        </w:rPr>
      </w:pPr>
      <w:r>
        <w:rPr>
          <w:rFonts w:ascii="Times New Roman" w:hAnsi="Times New Roman"/>
          <w:sz w:val="24"/>
          <w:lang w:val="sv-SE"/>
        </w:rPr>
        <w:t>Meanwhile, the partial test results for the manufacturing sector variable showed a significance value of 0.539, which is greater than α = 0.05. This indicates that the manufacturing sector does not significantly influence economic growth in Bengkalis Regency during the 2011–2024 period. This condition may be caused by the still low capacity of the manufacturing industry in the area or the less than optimal utilization of mining products and natural resources as raw materials for local industries. Thus, the manufacturing industry sector's contribution to economic growth is not as strong as the mining and quarrying sector.</w:t>
      </w:r>
    </w:p>
    <w:p w14:paraId="118E1873" w14:textId="77777777" w:rsidR="004B2B9D" w:rsidRDefault="00000000">
      <w:pPr>
        <w:ind w:firstLine="720"/>
        <w:rPr>
          <w:rFonts w:ascii="Times New Roman" w:hAnsi="Times New Roman"/>
          <w:sz w:val="24"/>
          <w:lang w:val="sv-SE"/>
        </w:rPr>
      </w:pPr>
      <w:r>
        <w:rPr>
          <w:rFonts w:ascii="Times New Roman" w:hAnsi="Times New Roman"/>
          <w:sz w:val="24"/>
          <w:lang w:val="sv-SE"/>
        </w:rPr>
        <w:t>Simultaneously, the F test results show a significance value of 0.000 &lt; α (0.05), which means that the mining and quarrying sector and the processing industry sector together have a significant influence on economic growth in Bengkalis Regency. The Adjusted R Square value of 0.926 indicates that the two sectors are able to explain 92.6% of the variation in economic growth, while the remaining 7.4% is influenced by other factors outside the research model, such as the trade, service, or agricultural sectors. These results confirm that economic activity in the real sector, especially mining and quarrying, is the main supporter of regional economic growth during the research period.</w:t>
      </w:r>
    </w:p>
    <w:p w14:paraId="134CBF4F" w14:textId="77777777" w:rsidR="004B2B9D" w:rsidRDefault="00000000">
      <w:pPr>
        <w:ind w:firstLine="454"/>
        <w:rPr>
          <w:rFonts w:ascii="Times New Roman" w:hAnsi="Times New Roman"/>
          <w:sz w:val="24"/>
          <w:lang w:val="sv-SE"/>
        </w:rPr>
      </w:pPr>
      <w:r>
        <w:rPr>
          <w:rFonts w:ascii="Times New Roman" w:hAnsi="Times New Roman"/>
          <w:sz w:val="24"/>
          <w:lang w:val="sv-SE"/>
        </w:rPr>
        <w:t>Overall, this study concludes that Bengkalis Regency's economic growth remains heavily dependent on the mining and quarrying sector, while the manufacturing sector has not yet made a significant contribution. Therefore, strategic efforts are needed from the local government to strengthen the manufacturing sector through increased investment, infrastructure development, and increasing the added value of mining products. This way, Bengkalis Regency's economic structure can become more balanced and sustainable, and less dependent on the extractive sector alone.</w:t>
      </w:r>
    </w:p>
    <w:p w14:paraId="0253F0C7" w14:textId="77777777" w:rsidR="004B2B9D" w:rsidRDefault="00000000">
      <w:pPr>
        <w:ind w:firstLine="454"/>
        <w:rPr>
          <w:rFonts w:ascii="Times New Roman" w:hAnsi="Times New Roman"/>
          <w:sz w:val="24"/>
          <w:lang w:val="sv-SE"/>
        </w:rPr>
      </w:pPr>
      <w:r>
        <w:rPr>
          <w:rFonts w:ascii="Times New Roman" w:hAnsi="Times New Roman"/>
          <w:sz w:val="24"/>
          <w:lang w:val="sv-SE"/>
        </w:rPr>
        <w:t>Based on the research results, based on the results of the mining and quarrying sector test, the author recommends encouraging investment and technological innovation in mining activities to increase productivity. Improve environmental monitoring and sustainability so that mining activities remain environmentally friendly and sustainable. Optimize regional revenue from the mining subsector to support other economic development. Meanwhile, regarding the processing industry sector, although the industrial sector shows a positive, but not significant influence on GRDP, it is necessary to provide incentives for small and medium industry players (SMEs) to be able to develop and increase added value, encourage downstreaming of local resource-based industries to be more competitive, develop integrated industrial areas supported by adequate infrastructure, stable energy, and efficient logistics access. Because there is still 6.3% of the variation in GRDP explained by other factors outside the model, it is recommended that the government also pay attention to other sectors such as agriculture, tourism, trade, and services that can be additional pillars of economic growth.</w:t>
      </w:r>
    </w:p>
    <w:p w14:paraId="6948A2CF" w14:textId="77777777" w:rsidR="004B2B9D" w:rsidRDefault="004B2B9D">
      <w:pPr>
        <w:rPr>
          <w:rFonts w:ascii="Times New Roman" w:hAnsi="Times New Roman"/>
          <w:sz w:val="24"/>
          <w:lang w:val="sv-SE"/>
        </w:rPr>
      </w:pPr>
    </w:p>
    <w:p w14:paraId="229AD8F6" w14:textId="77777777" w:rsidR="004B2B9D" w:rsidRDefault="004B2B9D">
      <w:pPr>
        <w:tabs>
          <w:tab w:val="right" w:pos="5843"/>
        </w:tabs>
        <w:rPr>
          <w:rFonts w:ascii="Times New Roman" w:hAnsi="Times New Roman"/>
          <w:sz w:val="24"/>
          <w:lang w:val="id-ID"/>
        </w:rPr>
      </w:pPr>
    </w:p>
    <w:p w14:paraId="29822637" w14:textId="77777777" w:rsidR="004B2B9D" w:rsidRDefault="00000000">
      <w:pPr>
        <w:widowControl w:val="0"/>
        <w:autoSpaceDE w:val="0"/>
        <w:autoSpaceDN w:val="0"/>
        <w:adjustRightInd w:val="0"/>
        <w:ind w:left="720" w:hanging="720"/>
        <w:rPr>
          <w:rFonts w:ascii="Book Antiqua" w:hAnsi="Book Antiqua"/>
          <w:b/>
          <w:sz w:val="24"/>
          <w:lang w:val="en-US"/>
        </w:rPr>
      </w:pPr>
      <w:r>
        <w:rPr>
          <w:rFonts w:ascii="Book Antiqua" w:hAnsi="Book Antiqua"/>
          <w:b/>
          <w:sz w:val="24"/>
          <w:lang w:val="en-US"/>
        </w:rPr>
        <w:t>REFRENCES</w:t>
      </w:r>
    </w:p>
    <w:p w14:paraId="0100E573" w14:textId="77777777" w:rsidR="004B2B9D" w:rsidRDefault="00000000">
      <w:pPr>
        <w:widowControl w:val="0"/>
        <w:autoSpaceDE w:val="0"/>
        <w:autoSpaceDN w:val="0"/>
        <w:adjustRightInd w:val="0"/>
        <w:ind w:left="720" w:hanging="720"/>
        <w:rPr>
          <w:rFonts w:ascii="Times New Roman" w:hAnsi="Times New Roman"/>
          <w:sz w:val="24"/>
        </w:rPr>
      </w:pPr>
      <w:r>
        <w:rPr>
          <w:rFonts w:ascii="Times New Roman" w:hAnsi="Times New Roman"/>
          <w:b/>
          <w:bCs/>
          <w:sz w:val="24"/>
          <w:lang w:val="sv-SE"/>
        </w:rPr>
        <w:fldChar w:fldCharType="begin" w:fldLock="1"/>
      </w:r>
      <w:r>
        <w:rPr>
          <w:rFonts w:ascii="Times New Roman" w:hAnsi="Times New Roman"/>
          <w:b/>
          <w:bCs/>
          <w:sz w:val="24"/>
          <w:lang w:val="sv-SE"/>
        </w:rPr>
        <w:instrText xml:space="preserve">ADDIN Mendeley Bibliography CSL_BIBLIOGRAPHY </w:instrText>
      </w:r>
      <w:r>
        <w:rPr>
          <w:rFonts w:ascii="Times New Roman" w:hAnsi="Times New Roman"/>
          <w:b/>
          <w:bCs/>
          <w:sz w:val="24"/>
          <w:lang w:val="sv-SE"/>
        </w:rPr>
        <w:fldChar w:fldCharType="separate"/>
      </w:r>
      <w:r>
        <w:rPr>
          <w:rFonts w:ascii="Times New Roman" w:hAnsi="Times New Roman"/>
          <w:sz w:val="24"/>
        </w:rPr>
        <w:t>Barri, A., Zakaria, S. and Bidullah, T. (2021) 'The Influence of the Mining And Quarrying Sector on the Gross Regional Domestic Product of Banggai Regency', Productive Scientific Journal, 9(1), pp. 20–26.</w:t>
      </w:r>
    </w:p>
    <w:p w14:paraId="1A6F1B9C" w14:textId="77777777" w:rsidR="004B2B9D" w:rsidRDefault="00000000">
      <w:pPr>
        <w:widowControl w:val="0"/>
        <w:autoSpaceDE w:val="0"/>
        <w:autoSpaceDN w:val="0"/>
        <w:adjustRightInd w:val="0"/>
        <w:ind w:left="720" w:hanging="720"/>
        <w:rPr>
          <w:rFonts w:ascii="Times New Roman" w:hAnsi="Times New Roman"/>
          <w:sz w:val="24"/>
        </w:rPr>
      </w:pPr>
      <w:r>
        <w:rPr>
          <w:rFonts w:ascii="Times New Roman" w:hAnsi="Times New Roman"/>
          <w:sz w:val="24"/>
        </w:rPr>
        <w:t>Faisal, M., Nugraha, AT and Aminudin, I. (2023) 'Analysis of the Role of the Agricultural Sector and the Iindustrial Sector on Community Welfare Through the Economic Growth of GRDP n Banten Province', Paspalum: Agricultural Scientific Journal, 11(2), p. 197. Available at: https://doi.org/10.35138/paspalum.v11i2.569.</w:t>
      </w:r>
    </w:p>
    <w:p w14:paraId="3382F74E" w14:textId="77777777" w:rsidR="004B2B9D" w:rsidRDefault="00000000">
      <w:pPr>
        <w:widowControl w:val="0"/>
        <w:autoSpaceDE w:val="0"/>
        <w:autoSpaceDN w:val="0"/>
        <w:adjustRightInd w:val="0"/>
        <w:ind w:left="720" w:hanging="720"/>
        <w:rPr>
          <w:rFonts w:ascii="Times New Roman" w:hAnsi="Times New Roman"/>
          <w:sz w:val="24"/>
        </w:rPr>
      </w:pPr>
      <w:r>
        <w:rPr>
          <w:rFonts w:ascii="Times New Roman" w:hAnsi="Times New Roman"/>
          <w:sz w:val="24"/>
        </w:rPr>
        <w:t>Noor (2019) 'The Role of the Mining and Quarrying Sector for the Economy of East Kalimantan', Inossa Research, 1, pp. 45–59.</w:t>
      </w:r>
    </w:p>
    <w:p w14:paraId="42564331" w14:textId="77777777" w:rsidR="004B2B9D" w:rsidRDefault="00000000">
      <w:pPr>
        <w:widowControl w:val="0"/>
        <w:autoSpaceDE w:val="0"/>
        <w:autoSpaceDN w:val="0"/>
        <w:adjustRightInd w:val="0"/>
        <w:ind w:left="720" w:hanging="720"/>
        <w:rPr>
          <w:rFonts w:ascii="Times New Roman" w:hAnsi="Times New Roman"/>
          <w:sz w:val="24"/>
        </w:rPr>
      </w:pPr>
      <w:r>
        <w:rPr>
          <w:rFonts w:ascii="Times New Roman" w:hAnsi="Times New Roman"/>
          <w:sz w:val="24"/>
        </w:rPr>
        <w:t>Pratiwi, NJ et al. (2023) 'Analysis of the Contribution of the Manufacturing Industry Sector to the Economic Growth of West Sumatra Province', INNOVATIVE: Journal of Social Science Research Volume, Vol. 3(2), pp. 6722–6735.</w:t>
      </w:r>
    </w:p>
    <w:p w14:paraId="025C7473" w14:textId="77777777" w:rsidR="004B2B9D" w:rsidRDefault="00000000">
      <w:pPr>
        <w:widowControl w:val="0"/>
        <w:autoSpaceDE w:val="0"/>
        <w:autoSpaceDN w:val="0"/>
        <w:adjustRightInd w:val="0"/>
        <w:ind w:left="720" w:hanging="720"/>
        <w:rPr>
          <w:rFonts w:ascii="Times New Roman" w:hAnsi="Times New Roman"/>
          <w:sz w:val="24"/>
        </w:rPr>
      </w:pPr>
      <w:r>
        <w:rPr>
          <w:rFonts w:ascii="Times New Roman" w:hAnsi="Times New Roman"/>
          <w:sz w:val="24"/>
        </w:rPr>
        <w:t>Putra, S. et al. (2024) 'Processing Industry in North Sumatra Province', EQUILNOMI: Journal of Development Economics, 6(1), pp. 2614–7181.</w:t>
      </w:r>
    </w:p>
    <w:p w14:paraId="2FEC2011" w14:textId="77777777" w:rsidR="004B2B9D" w:rsidRDefault="00000000">
      <w:pPr>
        <w:ind w:left="720" w:hanging="720"/>
        <w:contextualSpacing/>
        <w:rPr>
          <w:rFonts w:ascii="Times New Roman" w:hAnsi="Times New Roman"/>
          <w:bCs/>
          <w:sz w:val="24"/>
          <w:lang w:val="en-US"/>
        </w:rPr>
      </w:pPr>
      <w:r>
        <w:rPr>
          <w:rFonts w:ascii="Times New Roman" w:hAnsi="Times New Roman"/>
          <w:b/>
          <w:bCs/>
          <w:sz w:val="24"/>
          <w:lang w:val="sv-SE"/>
        </w:rPr>
        <w:fldChar w:fldCharType="end"/>
      </w:r>
    </w:p>
    <w:p w14:paraId="1097002D" w14:textId="77777777" w:rsidR="004B2B9D" w:rsidRDefault="00000000">
      <w:pPr>
        <w:ind w:left="426" w:hanging="426"/>
        <w:contextualSpacing/>
        <w:jc w:val="center"/>
        <w:rPr>
          <w:rFonts w:ascii="Times New Roman" w:hAnsi="Times New Roman"/>
          <w:bCs/>
          <w:sz w:val="24"/>
          <w:lang w:val="en-US"/>
        </w:rPr>
      </w:pPr>
      <w:r>
        <w:rPr>
          <w:rFonts w:ascii="Times New Roman" w:hAnsi="Times New Roman"/>
          <w:bCs/>
          <w:sz w:val="24"/>
          <w:lang w:val="en-US"/>
        </w:rPr>
        <w:t>_________________________</w:t>
      </w:r>
    </w:p>
    <w:p w14:paraId="0BEE7A38" w14:textId="77777777" w:rsidR="004B2B9D" w:rsidRDefault="004B2B9D">
      <w:pPr>
        <w:ind w:left="426" w:hanging="426"/>
        <w:contextualSpacing/>
        <w:jc w:val="center"/>
        <w:rPr>
          <w:rFonts w:ascii="Times New Roman" w:hAnsi="Times New Roman"/>
          <w:bCs/>
          <w:sz w:val="24"/>
          <w:lang w:val="en-US"/>
        </w:rPr>
      </w:pPr>
    </w:p>
    <w:p w14:paraId="56D36ED7" w14:textId="77777777" w:rsidR="004B2B9D" w:rsidRDefault="004B2B9D">
      <w:pPr>
        <w:sectPr w:rsidR="004B2B9D">
          <w:type w:val="continuous"/>
          <w:pgSz w:w="11906" w:h="16838"/>
          <w:pgMar w:top="1418" w:right="1134" w:bottom="1134" w:left="1418" w:header="720" w:footer="0" w:gutter="0"/>
          <w:cols w:space="720"/>
          <w:formProt w:val="0"/>
          <w:docGrid w:linePitch="360"/>
        </w:sectPr>
      </w:pPr>
    </w:p>
    <w:p w14:paraId="0850064D" w14:textId="77777777" w:rsidR="004B2B9D" w:rsidRDefault="004B2B9D"/>
    <w:p w14:paraId="010E636F" w14:textId="77777777" w:rsidR="004B2B9D" w:rsidRDefault="004B2B9D">
      <w:pPr>
        <w:sectPr w:rsidR="004B2B9D">
          <w:type w:val="continuous"/>
          <w:pgSz w:w="11906" w:h="16838"/>
          <w:pgMar w:top="1418" w:right="1134" w:bottom="1134" w:left="1418" w:header="720" w:footer="0" w:gutter="0"/>
          <w:cols w:space="720"/>
          <w:formProt w:val="0"/>
          <w:docGrid w:linePitch="360"/>
        </w:sectPr>
      </w:pPr>
    </w:p>
    <w:p w14:paraId="20095A4A" w14:textId="77777777" w:rsidR="004B2B9D" w:rsidRDefault="004B2B9D"/>
    <w:p w14:paraId="21D98EDF" w14:textId="77777777" w:rsidR="004B2B9D" w:rsidRDefault="004B2B9D">
      <w:pPr>
        <w:sectPr w:rsidR="004B2B9D">
          <w:type w:val="continuous"/>
          <w:pgSz w:w="11906" w:h="16838"/>
          <w:pgMar w:top="1418" w:right="1134" w:bottom="1134" w:left="1418" w:header="720" w:footer="0" w:gutter="0"/>
          <w:cols w:space="720"/>
          <w:formProt w:val="0"/>
          <w:docGrid w:linePitch="360"/>
        </w:sectPr>
      </w:pPr>
    </w:p>
    <w:p w14:paraId="324AB2A7" w14:textId="77777777" w:rsidR="004B2B9D" w:rsidRDefault="004B2B9D"/>
    <w:p w14:paraId="76B4843F" w14:textId="77777777" w:rsidR="004B2B9D" w:rsidRDefault="004B2B9D">
      <w:pPr>
        <w:sectPr w:rsidR="004B2B9D">
          <w:type w:val="continuous"/>
          <w:pgSz w:w="11906" w:h="16838"/>
          <w:pgMar w:top="1418" w:right="1134" w:bottom="1134" w:left="1418" w:header="720" w:footer="0" w:gutter="0"/>
          <w:cols w:space="720"/>
          <w:formProt w:val="0"/>
          <w:docGrid w:linePitch="360"/>
        </w:sectPr>
      </w:pPr>
    </w:p>
    <w:p w14:paraId="064269B3" w14:textId="77777777" w:rsidR="004B2B9D" w:rsidRDefault="004B2B9D"/>
    <w:sectPr w:rsidR="004B2B9D">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A2A7D" w14:textId="77777777" w:rsidR="00B611C6" w:rsidRDefault="00B611C6">
      <w:r>
        <w:separator/>
      </w:r>
    </w:p>
  </w:endnote>
  <w:endnote w:type="continuationSeparator" w:id="0">
    <w:p w14:paraId="433AA95B" w14:textId="77777777" w:rsidR="00B611C6" w:rsidRDefault="00B6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default"/>
  </w:font>
  <w:font w:name="Noto Sans CJK SC Regular">
    <w:altName w:val="Segoe Print"/>
    <w:charset w:val="00"/>
    <w:family w:val="roman"/>
    <w:pitch w:val="default"/>
  </w:font>
  <w:font w:name="Roboto">
    <w:altName w:val="Segoe Print"/>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76B4" w14:textId="77777777" w:rsidR="00B611C6" w:rsidRDefault="00B611C6">
      <w:r>
        <w:separator/>
      </w:r>
    </w:p>
  </w:footnote>
  <w:footnote w:type="continuationSeparator" w:id="0">
    <w:p w14:paraId="1A38B6F1" w14:textId="77777777" w:rsidR="00B611C6" w:rsidRDefault="00B61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1ACB" w14:textId="499B6BCE" w:rsidR="004B2B9D" w:rsidRDefault="00000000">
    <w:pPr>
      <w:pStyle w:val="Header"/>
      <w:rPr>
        <w:rFonts w:ascii="Book Antiqua" w:hAnsi="Book Antiqua" w:cs="Calibri"/>
        <w:sz w:val="24"/>
      </w:rPr>
    </w:pPr>
    <w:proofErr w:type="spellStart"/>
    <w:r>
      <w:rPr>
        <w:rFonts w:ascii="Book Antiqua" w:hAnsi="Book Antiqua"/>
        <w:sz w:val="24"/>
      </w:rPr>
      <w:t>Dharmawangsa</w:t>
    </w:r>
    <w:proofErr w:type="spellEnd"/>
    <w:r>
      <w:rPr>
        <w:rFonts w:ascii="Book Antiqua" w:hAnsi="Book Antiqua"/>
        <w:sz w:val="24"/>
      </w:rPr>
      <w:t xml:space="preserve">: International Journals of The Social Science, Education and Humanities ISSN: 2716-5132 (p) Vol. </w:t>
    </w:r>
    <w:r w:rsidR="00CD12A4">
      <w:rPr>
        <w:rFonts w:ascii="Book Antiqua" w:hAnsi="Book Antiqua"/>
        <w:sz w:val="24"/>
      </w:rPr>
      <w:t>6</w:t>
    </w:r>
    <w:r>
      <w:rPr>
        <w:rFonts w:ascii="Book Antiqua" w:hAnsi="Book Antiqua"/>
        <w:sz w:val="24"/>
      </w:rPr>
      <w:t xml:space="preserve">, No. </w:t>
    </w:r>
    <w:r w:rsidR="00CD12A4">
      <w:rPr>
        <w:rFonts w:ascii="Book Antiqua" w:hAnsi="Book Antiqua"/>
        <w:sz w:val="24"/>
      </w:rPr>
      <w:t>3</w:t>
    </w:r>
    <w:r>
      <w:rPr>
        <w:rFonts w:ascii="Book Antiqua" w:hAnsi="Book Antiqua"/>
        <w:sz w:val="24"/>
      </w:rPr>
      <w:t>, 202</w:t>
    </w:r>
    <w:r w:rsidR="00CD12A4">
      <w:rPr>
        <w:rFonts w:ascii="Book Antiqua" w:hAnsi="Book Antiqua"/>
        <w:sz w:val="24"/>
      </w:rPr>
      <w:t>5</w:t>
    </w:r>
    <w:r>
      <w:rPr>
        <w:rFonts w:ascii="Book Antiqua" w:hAnsi="Book Antiqua"/>
        <w:sz w:val="24"/>
      </w:rPr>
      <w:t xml:space="preserve"> Page: 1 - 1</w:t>
    </w:r>
    <w:r w:rsidR="00CD12A4">
      <w:rPr>
        <w:rFonts w:ascii="Book Antiqua" w:hAnsi="Book Antiqua"/>
        <w:sz w:val="24"/>
      </w:rPr>
      <w:t>3</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7FF"/>
    <w:multiLevelType w:val="multilevel"/>
    <w:tmpl w:val="002E17FF"/>
    <w:lvl w:ilvl="0">
      <w:start w:val="1"/>
      <w:numFmt w:val="bullet"/>
      <w:lvlText w:val="-"/>
      <w:lvlJc w:val="left"/>
      <w:pPr>
        <w:ind w:left="1080" w:hanging="360"/>
      </w:pPr>
      <w:rPr>
        <w:rFonts w:ascii="Aptos" w:hAnsi="Apto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1ABC3AE7"/>
    <w:multiLevelType w:val="multilevel"/>
    <w:tmpl w:val="1ABC3AE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 w15:restartNumberingAfterBreak="0">
    <w:nsid w:val="2D3F0FFB"/>
    <w:multiLevelType w:val="multilevel"/>
    <w:tmpl w:val="2D3F0FFB"/>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9C7F88"/>
    <w:multiLevelType w:val="multilevel"/>
    <w:tmpl w:val="359C7F8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5BAD117"/>
    <w:multiLevelType w:val="singleLevel"/>
    <w:tmpl w:val="35BAD117"/>
    <w:lvl w:ilvl="0">
      <w:start w:val="1"/>
      <w:numFmt w:val="upperRoman"/>
      <w:lvlText w:val="%1."/>
      <w:lvlJc w:val="left"/>
      <w:pPr>
        <w:tabs>
          <w:tab w:val="left" w:pos="425"/>
        </w:tabs>
        <w:ind w:left="425" w:hanging="425"/>
      </w:pPr>
      <w:rPr>
        <w:rFonts w:hint="default"/>
      </w:rPr>
    </w:lvl>
  </w:abstractNum>
  <w:abstractNum w:abstractNumId="5" w15:restartNumberingAfterBreak="0">
    <w:nsid w:val="4130CEF5"/>
    <w:multiLevelType w:val="multilevel"/>
    <w:tmpl w:val="4130CEF5"/>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49017924"/>
    <w:multiLevelType w:val="multilevel"/>
    <w:tmpl w:val="49017924"/>
    <w:lvl w:ilvl="0">
      <w:start w:val="1"/>
      <w:numFmt w:val="upperLetter"/>
      <w:lvlText w:val="%1."/>
      <w:lvlJc w:val="left"/>
      <w:pPr>
        <w:ind w:left="360" w:hanging="360"/>
      </w:pPr>
      <w:rPr>
        <w:rFonts w:ascii="Book Antiqua" w:hAnsi="Book Antiqu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84DC7C"/>
    <w:multiLevelType w:val="multilevel"/>
    <w:tmpl w:val="6C84D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2851B6D"/>
    <w:multiLevelType w:val="multilevel"/>
    <w:tmpl w:val="72851B6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73DD88A0"/>
    <w:multiLevelType w:val="multilevel"/>
    <w:tmpl w:val="73DD88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7C06CC0E"/>
    <w:multiLevelType w:val="multilevel"/>
    <w:tmpl w:val="7C06CC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num w:numId="1" w16cid:durableId="347486304">
    <w:abstractNumId w:val="4"/>
  </w:num>
  <w:num w:numId="2" w16cid:durableId="359405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325939">
    <w:abstractNumId w:val="6"/>
  </w:num>
  <w:num w:numId="4" w16cid:durableId="1727529382">
    <w:abstractNumId w:val="2"/>
  </w:num>
  <w:num w:numId="5" w16cid:durableId="1086537431">
    <w:abstractNumId w:val="9"/>
  </w:num>
  <w:num w:numId="6" w16cid:durableId="1239095076">
    <w:abstractNumId w:val="0"/>
  </w:num>
  <w:num w:numId="7" w16cid:durableId="639580108">
    <w:abstractNumId w:val="10"/>
  </w:num>
  <w:num w:numId="8" w16cid:durableId="2101876755">
    <w:abstractNumId w:val="3"/>
  </w:num>
  <w:num w:numId="9" w16cid:durableId="475995810">
    <w:abstractNumId w:val="8"/>
  </w:num>
  <w:num w:numId="10" w16cid:durableId="1928538464">
    <w:abstractNumId w:val="5"/>
  </w:num>
  <w:num w:numId="11" w16cid:durableId="256712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132612"/>
    <w:rsid w:val="001619EA"/>
    <w:rsid w:val="001C5563"/>
    <w:rsid w:val="001F1CF8"/>
    <w:rsid w:val="002573AC"/>
    <w:rsid w:val="002F5318"/>
    <w:rsid w:val="0030796C"/>
    <w:rsid w:val="004B2B9D"/>
    <w:rsid w:val="00582234"/>
    <w:rsid w:val="005A75EF"/>
    <w:rsid w:val="005C005B"/>
    <w:rsid w:val="006A7078"/>
    <w:rsid w:val="006E5054"/>
    <w:rsid w:val="006F7968"/>
    <w:rsid w:val="00826AFD"/>
    <w:rsid w:val="0088061D"/>
    <w:rsid w:val="00A74E85"/>
    <w:rsid w:val="00B611C6"/>
    <w:rsid w:val="00CD12A4"/>
    <w:rsid w:val="00D27753"/>
    <w:rsid w:val="00DD4F5D"/>
    <w:rsid w:val="00DE09B0"/>
    <w:rsid w:val="00E33224"/>
    <w:rsid w:val="00E66049"/>
    <w:rsid w:val="00EE7C5E"/>
    <w:rsid w:val="00F77553"/>
    <w:rsid w:val="36B76F7B"/>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1CA401"/>
  <w15:docId w15:val="{C1392B5B-DC9E-42CD-9EB8-39092CCD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qFormat/>
    <w:pPr>
      <w:spacing w:after="140" w:line="276" w:lineRule="auto"/>
    </w:pPr>
  </w:style>
  <w:style w:type="paragraph" w:styleId="Caption">
    <w:name w:val="caption"/>
    <w:basedOn w:val="Normal"/>
    <w:qFormat/>
    <w:pPr>
      <w:suppressLineNumbers/>
      <w:spacing w:before="120" w:after="120"/>
    </w:pPr>
    <w:rPr>
      <w:rFonts w:cs="Lohit Devanagari"/>
      <w:i/>
      <w:iCs/>
      <w:sz w:val="24"/>
    </w:rPr>
  </w:style>
  <w:style w:type="character" w:styleId="Emphasis">
    <w:name w:val="Emphasis"/>
    <w:qFormat/>
    <w:rPr>
      <w:i/>
      <w:iCs/>
    </w:rPr>
  </w:style>
  <w:style w:type="paragraph" w:styleId="Footer">
    <w:name w:val="footer"/>
    <w:basedOn w:val="Normal"/>
    <w:qFormat/>
    <w:pPr>
      <w:tabs>
        <w:tab w:val="center" w:pos="4680"/>
        <w:tab w:val="right" w:pos="9360"/>
      </w:tabs>
    </w:pPr>
  </w:style>
  <w:style w:type="paragraph" w:styleId="Header">
    <w:name w:val="header"/>
    <w:basedOn w:val="Normal"/>
    <w:qFormat/>
    <w:pPr>
      <w:tabs>
        <w:tab w:val="center" w:pos="4680"/>
        <w:tab w:val="right" w:pos="9360"/>
      </w:tabs>
    </w:pPr>
  </w:style>
  <w:style w:type="character" w:styleId="Hyperlink">
    <w:name w:val="Hyperlink"/>
    <w:basedOn w:val="DefaultParagraphFont"/>
    <w:uiPriority w:val="99"/>
    <w:semiHidden/>
    <w:unhideWhenUsed/>
    <w:rPr>
      <w:color w:val="0000FF"/>
      <w:u w:val="single"/>
    </w:rPr>
  </w:style>
  <w:style w:type="paragraph" w:styleId="List">
    <w:name w:val="List"/>
    <w:basedOn w:val="BodyText"/>
    <w:qFormat/>
    <w:rPr>
      <w:rFonts w:cs="Lohit Devanagari"/>
    </w:rPr>
  </w:style>
  <w:style w:type="paragraph" w:styleId="NormalWeb">
    <w:name w:val="Normal (Web)"/>
    <w:basedOn w:val="Normal"/>
    <w:uiPriority w:val="99"/>
    <w:semiHidden/>
    <w:unhideWhenUsed/>
    <w:qFormat/>
    <w:rPr>
      <w:rFonts w:ascii="Times New Roman" w:hAnsi="Times New Roman"/>
      <w:sz w:val="24"/>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qFormat/>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della.novita1061@student.unri.ac.id"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www.onlinedoctranslator.com/en/?utm_source=onlinedoctranslator&amp;utm_medium=docx&amp;utm_campaign=attribution"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6735</Words>
  <Characters>38392</Characters>
  <Application>Microsoft Office Word</Application>
  <DocSecurity>0</DocSecurity>
  <Lines>319</Lines>
  <Paragraphs>90</Paragraphs>
  <ScaleCrop>false</ScaleCrop>
  <Company/>
  <LinksUpToDate>false</LinksUpToDate>
  <CharactersWithSpaces>45037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MUYA SYAROH</cp:lastModifiedBy>
  <cp:revision>3</cp:revision>
  <cp:lastPrinted>2018-11-25T05:52:00Z</cp:lastPrinted>
  <dcterms:created xsi:type="dcterms:W3CDTF">2025-10-27T12:53:00Z</dcterms:created>
  <dcterms:modified xsi:type="dcterms:W3CDTF">2025-11-05T10:10:00Z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1033-12.2.0.21931</vt:lpwstr>
  </property>
  <property fmtid="{D5CDD505-2E9C-101B-9397-08002B2CF9AE}" pid="9" name="ICV">
    <vt:lpwstr>653D055FC93945E998421DB58C6C4C42_13</vt:lpwstr>
  </property>
</Properties>
</file>