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20EDF">
      <w:pPr>
        <w:rPr>
          <w:rFonts w:ascii="Book Antiqua" w:hAnsi="Book Antiqua" w:cs="Book Antiqua"/>
          <w:b/>
          <w:color w:val="000000"/>
          <w:sz w:val="28"/>
          <w:szCs w:val="28"/>
          <w:lang w:val="zh-CN"/>
        </w:rPr>
      </w:pPr>
      <w:r>
        <w:pict>
          <v:shape id="DeepLBoxSPIDType" o:spid="_x0000_s1026" o:spt="202" type="#_x0000_t202" style="position:absolute;left:0pt;margin-left:0pt;margin-top:0pt;height:50pt;width:50pt;visibility:hidden;z-index:251660288;mso-width-relative:page;mso-height-relative:page;" coordsize="21600,21600">
            <v:path/>
            <v:fill focussize="0,0"/>
            <v:stroke joinstyle="miter"/>
            <v:imagedata o:title=""/>
            <o:lock v:ext="edit" selection="t"/>
          </v:shape>
        </w:pict>
      </w:r>
    </w:p>
    <w:p w14:paraId="78EB7C7E">
      <w:pPr>
        <w:spacing w:after="0" w:line="240" w:lineRule="auto"/>
        <w:jc w:val="center"/>
        <w:rPr>
          <w:rFonts w:ascii="Times New Roman" w:hAnsi="Times New Roman"/>
          <w:b/>
          <w:sz w:val="28"/>
          <w:szCs w:val="28"/>
        </w:rPr>
      </w:pPr>
      <w:r>
        <w:rPr>
          <w:rFonts w:hint="default" w:ascii="Book Antiqua" w:hAnsi="Book Antiqua" w:cs="Book Antiqua"/>
          <w:b/>
          <w:sz w:val="28"/>
          <w:szCs w:val="28"/>
        </w:rPr>
        <w:t xml:space="preserve">INFLUENCE </w:t>
      </w:r>
      <w:r>
        <w:rPr>
          <w:rFonts w:hint="default" w:ascii="Book Antiqua" w:hAnsi="Book Antiqua" w:eastAsia="SimSun" w:cs="Book Antiqua"/>
          <w:color w:val="000000"/>
          <w:sz w:val="28"/>
          <w:szCs w:val="28"/>
        </w:rPr>
        <w:t>OF</w:t>
      </w:r>
      <w:r>
        <w:rPr>
          <w:rFonts w:hint="default" w:ascii="Book Antiqua" w:hAnsi="Book Antiqua" w:cs="Book Antiqua"/>
          <w:b/>
          <w:sz w:val="28"/>
          <w:szCs w:val="28"/>
        </w:rPr>
        <w:t xml:space="preserve"> PROBIOTICS </w:t>
      </w:r>
      <w:r>
        <w:rPr>
          <w:rFonts w:hint="default" w:ascii="Book Antiqua" w:hAnsi="Book Antiqua" w:eastAsia="SimSun" w:cs="Book Antiqua"/>
          <w:b/>
          <w:color w:val="000000"/>
          <w:sz w:val="28"/>
          <w:szCs w:val="28"/>
        </w:rPr>
        <w:t>EM-4 (</w:t>
      </w:r>
      <w:r>
        <w:rPr>
          <w:rFonts w:hint="default" w:ascii="Book Antiqua" w:hAnsi="Book Antiqua" w:eastAsia="SimSun" w:cs="Book Antiqua"/>
          <w:b/>
          <w:i/>
          <w:iCs/>
          <w:color w:val="000000"/>
          <w:sz w:val="28"/>
          <w:szCs w:val="28"/>
        </w:rPr>
        <w:t>Effective Microorganism-4</w:t>
      </w:r>
      <w:r>
        <w:rPr>
          <w:rFonts w:hint="default" w:ascii="Book Antiqua" w:hAnsi="Book Antiqua" w:eastAsia="SimSun" w:cs="Book Antiqua"/>
          <w:b/>
          <w:color w:val="000000"/>
          <w:sz w:val="28"/>
          <w:szCs w:val="28"/>
        </w:rPr>
        <w:t xml:space="preserve">) </w:t>
      </w:r>
      <w:r>
        <w:rPr>
          <w:rFonts w:hint="default" w:ascii="Book Antiqua" w:hAnsi="Book Antiqua" w:cs="Book Antiqua"/>
          <w:b/>
          <w:sz w:val="28"/>
          <w:szCs w:val="28"/>
        </w:rPr>
        <w:t xml:space="preserve">AT DIFFERENT DOSES ON THE SUSTENANCE AND GROWTH  </w:t>
      </w:r>
      <w:r>
        <w:rPr>
          <w:rFonts w:hint="default" w:ascii="Book Antiqua" w:hAnsi="Book Antiqua" w:cs="Book Antiqua"/>
          <w:b/>
          <w:sz w:val="28"/>
          <w:szCs w:val="28"/>
          <w:lang w:val="en-US"/>
        </w:rPr>
        <w:t>OF LARGE</w:t>
      </w:r>
      <w:r>
        <w:rPr>
          <w:rFonts w:hint="default" w:ascii="Book Antiqua" w:hAnsi="Book Antiqua" w:cs="Book Antiqua"/>
          <w:b/>
          <w:sz w:val="28"/>
          <w:szCs w:val="28"/>
        </w:rPr>
        <w:t xml:space="preserve"> PAYAU NILA FISH (</w:t>
      </w:r>
      <w:r>
        <w:rPr>
          <w:rFonts w:hint="default" w:ascii="Book Antiqua" w:hAnsi="Book Antiqua" w:cs="Book Antiqua"/>
          <w:b/>
          <w:i/>
          <w:sz w:val="28"/>
          <w:szCs w:val="28"/>
        </w:rPr>
        <w:t>Oreochromis niloticus</w:t>
      </w:r>
      <w:r>
        <w:rPr>
          <w:rFonts w:hint="default" w:ascii="Book Antiqua" w:hAnsi="Book Antiqua" w:cs="Book Antiqua"/>
          <w:b/>
          <w:sz w:val="28"/>
          <w:szCs w:val="28"/>
        </w:rPr>
        <w:t>)</w:t>
      </w:r>
    </w:p>
    <w:p w14:paraId="6E2EE588">
      <w:pPr>
        <w:spacing w:line="240" w:lineRule="auto"/>
        <w:jc w:val="both"/>
        <w:rPr>
          <w:rFonts w:ascii="Book Antiqua" w:hAnsi="Book Antiqua" w:cs="Book Antiqua"/>
          <w:b/>
          <w:color w:val="000000"/>
          <w:sz w:val="24"/>
          <w:szCs w:val="24"/>
          <w:lang w:val="zh-CN"/>
        </w:rPr>
      </w:pPr>
    </w:p>
    <w:p w14:paraId="04A7D731">
      <w:pPr>
        <w:pStyle w:val="56"/>
        <w:tabs>
          <w:tab w:val="left" w:pos="1560"/>
          <w:tab w:val="left" w:pos="1843"/>
        </w:tabs>
        <w:spacing w:line="240" w:lineRule="auto"/>
        <w:ind w:left="0" w:leftChars="0" w:right="-427" w:firstLine="0" w:firstLineChars="0"/>
        <w:jc w:val="center"/>
        <w:rPr>
          <w:rFonts w:ascii="Book Antiqua" w:hAnsi="Book Antiqua" w:cs="Book Antiqua"/>
          <w:b w:val="0"/>
          <w:bCs/>
          <w:iCs/>
          <w:sz w:val="24"/>
          <w:szCs w:val="24"/>
          <w:vertAlign w:val="superscript"/>
          <w:lang w:val="en-US"/>
        </w:rPr>
      </w:pPr>
      <w:bookmarkStart w:id="0" w:name="_GoBack"/>
      <w:bookmarkEnd w:id="0"/>
      <w:r>
        <w:rPr>
          <w:rFonts w:ascii="Book Antiqua" w:hAnsi="Book Antiqua" w:cs="Book Antiqua"/>
          <w:b w:val="0"/>
          <w:bCs/>
          <w:iCs/>
          <w:sz w:val="24"/>
          <w:szCs w:val="24"/>
        </w:rPr>
        <w:t>Helentina Mariance Manullang</w:t>
      </w:r>
      <w:r>
        <w:rPr>
          <w:rFonts w:ascii="Book Antiqua" w:hAnsi="Book Antiqua" w:cs="Book Antiqua"/>
          <w:b w:val="0"/>
          <w:bCs/>
          <w:iCs/>
          <w:sz w:val="24"/>
          <w:szCs w:val="24"/>
          <w:vertAlign w:val="superscript"/>
        </w:rPr>
        <w:t>1</w:t>
      </w:r>
      <w:r>
        <w:rPr>
          <w:rFonts w:ascii="Book Antiqua" w:hAnsi="Book Antiqua" w:cs="Book Antiqua"/>
          <w:b w:val="0"/>
          <w:bCs/>
          <w:iCs/>
          <w:sz w:val="24"/>
          <w:szCs w:val="24"/>
        </w:rPr>
        <w:t xml:space="preserve">, </w:t>
      </w:r>
      <w:r>
        <w:rPr>
          <w:rFonts w:hint="default" w:ascii="Book Antiqua" w:hAnsi="Book Antiqua" w:cs="Book Antiqua"/>
          <w:b w:val="0"/>
          <w:bCs/>
          <w:iCs/>
          <w:sz w:val="24"/>
          <w:szCs w:val="24"/>
          <w:lang w:val="en-US"/>
        </w:rPr>
        <w:t>Muya Syaroh Iwanda Lubis</w:t>
      </w:r>
      <w:r>
        <w:rPr>
          <w:rFonts w:ascii="Book Antiqua" w:hAnsi="Book Antiqua" w:cs="Book Antiqua"/>
          <w:b w:val="0"/>
          <w:bCs/>
          <w:iCs/>
          <w:sz w:val="24"/>
          <w:szCs w:val="24"/>
          <w:vertAlign w:val="superscript"/>
        </w:rPr>
        <w:t>2</w:t>
      </w:r>
    </w:p>
    <w:p w14:paraId="0E947CD5">
      <w:pPr>
        <w:pStyle w:val="56"/>
        <w:tabs>
          <w:tab w:val="left" w:pos="1560"/>
          <w:tab w:val="left" w:pos="1843"/>
        </w:tabs>
        <w:spacing w:line="240" w:lineRule="auto"/>
        <w:ind w:left="-1260" w:right="-427" w:firstLine="0"/>
        <w:jc w:val="center"/>
        <w:rPr>
          <w:rFonts w:hint="default" w:ascii="Book Antiqua" w:hAnsi="Book Antiqua" w:cs="Book Antiqua"/>
          <w:b w:val="0"/>
          <w:bCs/>
          <w:iCs/>
          <w:sz w:val="20"/>
          <w:szCs w:val="20"/>
          <w:vertAlign w:val="baseline"/>
          <w:lang w:val="en-US"/>
        </w:rPr>
      </w:pPr>
      <w:r>
        <w:rPr>
          <w:rFonts w:ascii="Book Antiqua" w:hAnsi="Book Antiqua" w:cs="Book Antiqua"/>
          <w:b w:val="0"/>
          <w:bCs/>
          <w:iCs/>
          <w:sz w:val="24"/>
          <w:szCs w:val="24"/>
          <w:vertAlign w:val="superscript"/>
          <w:lang w:val="en-US"/>
        </w:rPr>
        <w:t>123</w:t>
      </w:r>
      <w:r>
        <w:rPr>
          <w:rFonts w:ascii="Book Antiqua" w:hAnsi="Book Antiqua" w:cs="Book Antiqua"/>
          <w:b w:val="0"/>
          <w:bCs/>
          <w:iCs/>
          <w:sz w:val="20"/>
          <w:szCs w:val="20"/>
          <w:vertAlign w:val="baseline"/>
          <w:lang w:val="en-US"/>
        </w:rPr>
        <w:t>Aquaculture Study Program,</w:t>
      </w:r>
      <w:r>
        <w:rPr>
          <w:rFonts w:hint="default" w:ascii="Book Antiqua" w:hAnsi="Book Antiqua" w:cs="Book Antiqua"/>
          <w:b w:val="0"/>
          <w:bCs/>
          <w:iCs/>
          <w:sz w:val="20"/>
          <w:szCs w:val="20"/>
          <w:vertAlign w:val="baseline"/>
          <w:lang w:val="en-US"/>
        </w:rPr>
        <w:t xml:space="preserve"> Communication Study Program</w:t>
      </w:r>
    </w:p>
    <w:p w14:paraId="11A47565">
      <w:pPr>
        <w:pStyle w:val="56"/>
        <w:tabs>
          <w:tab w:val="left" w:pos="1560"/>
          <w:tab w:val="left" w:pos="1843"/>
        </w:tabs>
        <w:spacing w:line="240" w:lineRule="auto"/>
        <w:ind w:left="-1260" w:right="-427" w:firstLine="0"/>
        <w:jc w:val="center"/>
        <w:rPr>
          <w:rFonts w:ascii="Book Antiqua" w:hAnsi="Book Antiqua" w:cs="Book Antiqua"/>
          <w:b w:val="0"/>
          <w:bCs/>
          <w:iCs/>
          <w:position w:val="0"/>
          <w:sz w:val="20"/>
          <w:szCs w:val="20"/>
          <w:vertAlign w:val="baseline"/>
          <w:lang w:val="en-US"/>
        </w:rPr>
      </w:pPr>
      <w:r>
        <w:rPr>
          <w:rFonts w:ascii="Book Antiqua" w:hAnsi="Book Antiqua" w:cs="Book Antiqua"/>
          <w:b w:val="0"/>
          <w:bCs/>
          <w:iCs/>
          <w:sz w:val="20"/>
          <w:szCs w:val="20"/>
          <w:vertAlign w:val="baseline"/>
          <w:lang w:val="en-US"/>
        </w:rPr>
        <w:t xml:space="preserve"> Dharmawangsa University</w:t>
      </w:r>
    </w:p>
    <w:p w14:paraId="0D131E7D">
      <w:pPr>
        <w:pStyle w:val="56"/>
        <w:tabs>
          <w:tab w:val="left" w:pos="1560"/>
          <w:tab w:val="left" w:pos="1843"/>
        </w:tabs>
        <w:spacing w:line="240" w:lineRule="auto"/>
        <w:ind w:left="-1260" w:right="-427" w:firstLine="0"/>
        <w:jc w:val="center"/>
        <w:rPr>
          <w:rFonts w:ascii="Book Antiqua" w:hAnsi="Book Antiqua" w:cs="Book Antiqua"/>
          <w:b w:val="0"/>
          <w:bCs/>
          <w:iCs/>
          <w:position w:val="0"/>
          <w:sz w:val="20"/>
          <w:szCs w:val="20"/>
          <w:vertAlign w:val="baseline"/>
          <w:lang w:val="en-US"/>
        </w:rPr>
      </w:pPr>
      <w:r>
        <w:rPr>
          <w:rFonts w:ascii="Book Antiqua" w:hAnsi="Book Antiqua" w:cs="Book Antiqua"/>
          <w:sz w:val="20"/>
          <w:szCs w:val="20"/>
          <w:lang w:val="id-ID"/>
        </w:rPr>
        <w:t>Email:</w:t>
      </w:r>
    </w:p>
    <w:p w14:paraId="2E0F60DD">
      <w:pPr>
        <w:spacing w:line="240" w:lineRule="auto"/>
        <w:jc w:val="both"/>
        <w:rPr>
          <w:b/>
          <w:color w:val="000000"/>
          <w:sz w:val="20"/>
          <w:szCs w:val="20"/>
          <w:lang w:val="es-ES"/>
        </w:rPr>
      </w:pPr>
    </w:p>
    <w:p w14:paraId="57B93ADB">
      <w:pPr>
        <w:spacing w:line="240" w:lineRule="auto"/>
        <w:rPr>
          <w:b/>
          <w:sz w:val="28"/>
          <w:lang w:val="es-ES"/>
        </w:rPr>
      </w:pPr>
    </w:p>
    <w:p w14:paraId="49C44E57">
      <w:pPr>
        <w:tabs>
          <w:tab w:val="center" w:pos="1276"/>
          <w:tab w:val="left" w:pos="1560"/>
        </w:tabs>
        <w:spacing w:line="240" w:lineRule="auto"/>
        <w:ind w:firstLine="567"/>
        <w:jc w:val="center"/>
        <w:rPr>
          <w:rFonts w:ascii="Book Antiqua" w:hAnsi="Book Antiqua" w:cs="Book Antiqua"/>
          <w:b/>
          <w:bCs w:val="0"/>
          <w:i/>
          <w:iCs/>
          <w:color w:val="000000"/>
          <w:lang w:val="id-ID"/>
        </w:rPr>
      </w:pPr>
      <w:r>
        <w:rPr>
          <w:rFonts w:ascii="Book Antiqua" w:hAnsi="Book Antiqua" w:cs="Book Antiqua"/>
          <w:b/>
          <w:bCs w:val="0"/>
          <w:i/>
          <w:iCs/>
          <w:color w:val="000000"/>
        </w:rPr>
        <w:t>ABSTRACT</w:t>
      </w:r>
    </w:p>
    <w:p w14:paraId="12CF7F47">
      <w:pPr>
        <w:autoSpaceDE w:val="0"/>
        <w:spacing w:line="240" w:lineRule="auto"/>
        <w:ind w:left="0" w:leftChars="0" w:firstLine="0" w:firstLineChars="0"/>
        <w:jc w:val="both"/>
        <w:rPr>
          <w:rFonts w:hint="default" w:ascii="Book Antiqua" w:hAnsi="Book Antiqua"/>
          <w:b/>
          <w:bCs w:val="0"/>
          <w:i/>
          <w:iCs/>
          <w:sz w:val="20"/>
          <w:szCs w:val="20"/>
          <w:lang w:eastAsia="id-ID"/>
        </w:rPr>
      </w:pPr>
      <w:r>
        <w:rPr>
          <w:rFonts w:hint="default" w:ascii="Book Antiqua" w:hAnsi="Book Antiqua"/>
          <w:b/>
          <w:bCs w:val="0"/>
          <w:i/>
          <w:iCs/>
          <w:sz w:val="20"/>
          <w:szCs w:val="20"/>
          <w:lang w:eastAsia="id-ID"/>
        </w:rPr>
        <w:t>Effect of Giving Probiotics EM-4 (Effective Microorganism-4) with Different Doses on the Survival and Growth of Brackish Tilapia Larvae (Oreochromis niloticus). The purpose of this study was to determine the effect of the dose of probiotic EM-4 (Effective Microorganism-4) in fish feed on the growth of survival and growth rate of brackish tilapia larvae. To determine the best and highest dose of probiotic EM-4 (Effective Microorganism-4) in fish feed that produces growth and survival of tilapia (Oreochromis niloticus). This research was conducted in January - February 2025 in Sicanang Pond, Medan Belawan Village. The method used was an experimental method using a non-factorial completely randomised design consisting of 4 treatments and 3 replicates. The highest percentage of survival of tilapia larvae in this study was found in treatment C and treatment D at 100% while treatment A (control) was 99.63% and the lowest was in treatment B at 98.89% The results of the analysis of variance showed that there was an effect of giving EM-4 very significantly different (P&gt;0.01) on the absolute weight growth of tilapia larvae (Oreochromis niloticus). The average weight growth increased in treatment C with the addition of EM-4 dose of 20 ml/kg feed by 0.70 grams and decreased in treatment D which is the addition of EM-4 dose of 25 ml/kg feed by 0.61 grams followed by treatment B 15 ml/kg feed by 0.35 grams while the lowest treatment was in treatment A (control) without EM-4 with an average weight of 0.25 grams. The highest absolute length growth of tilapia larvae was obtained in treatment C at 35.57 mm, followed by treatment D at 29.37 mm, treatment B at 17.77 mm and the lowest was in treatment A at 15.87 mm. The results of the Sisdik analysis of variance showed that there was a highly significant effect (highly significant) of giving doses of EM-4 probiotics (P &lt; 0.01) on the growth of brackish tilapia larvae length. The results of water quality measurements Temperature ranged from 26ºC - 29ºC, water pH ranged from 7 - 8, salinity 10 ppt and dissolved oxygen 4.0 - 4.8 mg/l.</w:t>
      </w:r>
    </w:p>
    <w:p w14:paraId="55D77B0E">
      <w:pPr>
        <w:autoSpaceDE w:val="0"/>
        <w:spacing w:line="240" w:lineRule="auto"/>
        <w:ind w:left="1260" w:hanging="1260"/>
        <w:jc w:val="both"/>
        <w:rPr>
          <w:rFonts w:hint="default" w:ascii="Book Antiqua" w:hAnsi="Book Antiqua"/>
          <w:b/>
          <w:bCs w:val="0"/>
          <w:i/>
          <w:iCs/>
          <w:sz w:val="20"/>
          <w:szCs w:val="20"/>
          <w:lang w:eastAsia="id-ID"/>
        </w:rPr>
      </w:pPr>
    </w:p>
    <w:p w14:paraId="2999AC22">
      <w:pPr>
        <w:autoSpaceDE w:val="0"/>
        <w:spacing w:line="240" w:lineRule="auto"/>
        <w:ind w:left="1260" w:hanging="1260"/>
        <w:jc w:val="both"/>
        <w:rPr>
          <w:rFonts w:hint="default" w:ascii="Book Antiqua" w:hAnsi="Book Antiqua"/>
          <w:b/>
          <w:bCs w:val="0"/>
          <w:i/>
          <w:iCs/>
          <w:sz w:val="20"/>
          <w:szCs w:val="20"/>
          <w:lang w:eastAsia="id-ID"/>
        </w:rPr>
      </w:pPr>
    </w:p>
    <w:p w14:paraId="0EF2C622">
      <w:pPr>
        <w:autoSpaceDE w:val="0"/>
        <w:spacing w:line="240" w:lineRule="auto"/>
        <w:ind w:left="1260" w:hanging="1260"/>
        <w:jc w:val="both"/>
        <w:rPr>
          <w:rFonts w:ascii="Book Antiqua" w:hAnsi="Book Antiqua" w:cs="Book Antiqua"/>
          <w:b/>
          <w:bCs w:val="0"/>
          <w:i/>
          <w:iCs/>
          <w:sz w:val="20"/>
          <w:szCs w:val="20"/>
          <w:lang w:eastAsia="id-ID"/>
        </w:rPr>
      </w:pPr>
      <w:r>
        <w:rPr>
          <w:rFonts w:hint="default" w:ascii="Book Antiqua" w:hAnsi="Book Antiqua"/>
          <w:b/>
          <w:bCs w:val="0"/>
          <w:i/>
          <w:iCs/>
          <w:sz w:val="20"/>
          <w:szCs w:val="20"/>
          <w:lang w:eastAsia="id-ID"/>
        </w:rPr>
        <w:t>Keywords: Survival, Tilapia larvae (Oreochromis niloticus), Growth, Probiotic EM-4, Water quality.</w:t>
      </w:r>
    </w:p>
    <w:p w14:paraId="38ECBE90">
      <w:pPr>
        <w:autoSpaceDE w:val="0"/>
        <w:spacing w:line="240" w:lineRule="auto"/>
        <w:jc w:val="both"/>
        <w:rPr>
          <w:rFonts w:ascii="Book Antiqua" w:hAnsi="Book Antiqua" w:cs="Book Antiqua"/>
          <w:b/>
          <w:bCs w:val="0"/>
          <w:i/>
          <w:iCs/>
          <w:sz w:val="20"/>
          <w:szCs w:val="20"/>
          <w:lang w:eastAsia="id-ID"/>
        </w:rPr>
      </w:pPr>
    </w:p>
    <w:p w14:paraId="195EEB5C">
      <w:pPr>
        <w:tabs>
          <w:tab w:val="center" w:pos="1440"/>
        </w:tabs>
        <w:spacing w:line="240" w:lineRule="auto"/>
        <w:jc w:val="center"/>
        <w:rPr>
          <w:rFonts w:ascii="Book Antiqua" w:hAnsi="Book Antiqua" w:cs="Book Antiqua"/>
          <w:b/>
          <w:i/>
          <w:iCs/>
          <w:sz w:val="28"/>
          <w:szCs w:val="28"/>
          <w:lang w:eastAsia="id-ID"/>
        </w:rPr>
      </w:pPr>
    </w:p>
    <w:p w14:paraId="09320A16">
      <w:pPr>
        <w:tabs>
          <w:tab w:val="center" w:pos="1440"/>
        </w:tabs>
        <w:spacing w:line="240" w:lineRule="auto"/>
        <w:jc w:val="center"/>
        <w:rPr>
          <w:b/>
          <w:sz w:val="28"/>
          <w:szCs w:val="28"/>
        </w:rPr>
      </w:pPr>
    </w:p>
    <w:p w14:paraId="47CFD37C">
      <w:pPr>
        <w:tabs>
          <w:tab w:val="center" w:pos="1440"/>
        </w:tabs>
        <w:spacing w:line="240" w:lineRule="auto"/>
        <w:jc w:val="center"/>
        <w:rPr>
          <w:b/>
          <w:sz w:val="28"/>
          <w:szCs w:val="28"/>
        </w:rPr>
      </w:pPr>
    </w:p>
    <w:p w14:paraId="71049F83">
      <w:pPr>
        <w:tabs>
          <w:tab w:val="center" w:pos="1440"/>
        </w:tabs>
        <w:spacing w:line="240" w:lineRule="auto"/>
        <w:jc w:val="center"/>
        <w:rPr>
          <w:b/>
          <w:sz w:val="28"/>
          <w:szCs w:val="28"/>
        </w:rPr>
      </w:pPr>
    </w:p>
    <w:p w14:paraId="33FBB999">
      <w:pPr>
        <w:tabs>
          <w:tab w:val="center" w:pos="1440"/>
        </w:tabs>
        <w:spacing w:line="240" w:lineRule="auto"/>
        <w:jc w:val="center"/>
        <w:rPr>
          <w:b/>
          <w:sz w:val="28"/>
          <w:szCs w:val="28"/>
        </w:rPr>
      </w:pPr>
    </w:p>
    <w:p w14:paraId="5F13E278">
      <w:pPr>
        <w:tabs>
          <w:tab w:val="center" w:pos="1440"/>
        </w:tabs>
        <w:spacing w:line="240" w:lineRule="auto"/>
        <w:jc w:val="center"/>
        <w:rPr>
          <w:b/>
          <w:sz w:val="28"/>
          <w:szCs w:val="28"/>
        </w:rPr>
      </w:pPr>
    </w:p>
    <w:p w14:paraId="7D782FCA">
      <w:pPr>
        <w:tabs>
          <w:tab w:val="center" w:pos="1440"/>
        </w:tabs>
        <w:spacing w:line="240" w:lineRule="auto"/>
        <w:jc w:val="center"/>
        <w:rPr>
          <w:b/>
          <w:sz w:val="28"/>
          <w:szCs w:val="28"/>
        </w:rPr>
      </w:pPr>
    </w:p>
    <w:p w14:paraId="1135147A">
      <w:pPr>
        <w:tabs>
          <w:tab w:val="center" w:pos="1440"/>
        </w:tabs>
        <w:spacing w:line="240" w:lineRule="auto"/>
        <w:jc w:val="both"/>
        <w:rPr>
          <w:b/>
          <w:sz w:val="28"/>
          <w:szCs w:val="28"/>
        </w:rPr>
        <w:sectPr>
          <w:headerReference r:id="rId3" w:type="default"/>
          <w:footerReference r:id="rId4" w:type="default"/>
          <w:pgSz w:w="11906" w:h="16838"/>
          <w:pgMar w:top="1152" w:right="1699" w:bottom="1152" w:left="2275" w:header="706" w:footer="706" w:gutter="0"/>
          <w:pgNumType w:fmt="decimal"/>
          <w:cols w:space="720" w:num="1"/>
          <w:formProt w:val="0"/>
          <w:docGrid w:linePitch="360" w:charSpace="0"/>
        </w:sectPr>
      </w:pPr>
    </w:p>
    <w:p w14:paraId="5E9862F6">
      <w:pPr>
        <w:tabs>
          <w:tab w:val="center" w:pos="1440"/>
        </w:tabs>
        <w:spacing w:line="240" w:lineRule="auto"/>
        <w:jc w:val="both"/>
        <w:rPr>
          <w:b/>
          <w:sz w:val="28"/>
          <w:szCs w:val="28"/>
        </w:rPr>
      </w:pPr>
    </w:p>
    <w:p w14:paraId="5ED0CEE3">
      <w:pPr>
        <w:pStyle w:val="2"/>
        <w:numPr>
          <w:ilvl w:val="0"/>
          <w:numId w:val="2"/>
        </w:numPr>
        <w:spacing w:line="240" w:lineRule="auto"/>
        <w:ind w:left="666" w:leftChars="0" w:hanging="426" w:firstLineChars="0"/>
      </w:pPr>
      <w:r>
        <w:rPr>
          <w:rFonts w:ascii="Book Antiqua" w:hAnsi="Book Antiqua" w:cs="Book Antiqua"/>
          <w:bCs/>
          <w:sz w:val="24"/>
          <w:szCs w:val="24"/>
          <w:lang w:val="id-ID"/>
        </w:rPr>
        <w:t>INTRODUCTIO</w:t>
      </w:r>
      <w:r>
        <w:rPr>
          <w:rFonts w:cs="Times New Roman"/>
          <w:bCs/>
          <w:sz w:val="24"/>
          <w:szCs w:val="24"/>
        </w:rPr>
        <w:t xml:space="preserve">N  </w:t>
      </w:r>
    </w:p>
    <w:p w14:paraId="01486ABF">
      <w:pPr>
        <w:spacing w:line="240" w:lineRule="auto"/>
        <w:ind w:firstLine="567"/>
        <w:jc w:val="both"/>
        <w:rPr>
          <w:rFonts w:hint="default"/>
          <w:lang w:val="zh-CN"/>
        </w:rPr>
      </w:pPr>
      <w:r>
        <w:rPr>
          <w:rFonts w:hint="default"/>
          <w:lang w:val="zh-CN"/>
        </w:rPr>
        <w:t xml:space="preserve">Indonesia is known to have a lot of fishery resources, especially about fish species. According to Amri (2007), it is estimated that around 167 thousand species of fish in the world live in Indonesian waters. These fish species are not only marine fish, but also freshwater fish. Freshwater fish is a type of fish that lives in inland waters. In Indonesia, there are several types of freshwater fish that have been cultivated by the community. Besides having high nutrition, freshwater fish also has high economic value for trade, one of which is tilapia (Oreochromis niloticus). </w:t>
      </w:r>
    </w:p>
    <w:p w14:paraId="70502218">
      <w:pPr>
        <w:spacing w:line="240" w:lineRule="auto"/>
        <w:ind w:firstLine="567"/>
        <w:jc w:val="both"/>
        <w:rPr>
          <w:rFonts w:hint="default"/>
          <w:lang w:val="zh-CN"/>
        </w:rPr>
      </w:pPr>
      <w:r>
        <w:rPr>
          <w:rFonts w:hint="default"/>
          <w:lang w:val="zh-CN"/>
        </w:rPr>
        <w:t xml:space="preserve">Brackish tilapia (Oreochromis niloticus) is the result of hybridisation of two superior strains (sultana and gift) with a local strain of tilapia (jabir) that is tolerant of saline waters with salinities ranging from 4 ppt to 20 ppt. Compared to other fish species, this fish has many advantages to be developed because of its favourable biological characteristics such as omnivorous, wide adaptability and tolerance to high environmental conditions (Hasbullah et al., 2013). The wide spread of tilapia farming around the world results from its adaptability to the environment and intensive farming systems, as well as in Asian countries that are the largest tilapia producers (Ath-thar and Rudy., 2010). </w:t>
      </w:r>
    </w:p>
    <w:p w14:paraId="6C3360DA">
      <w:pPr>
        <w:spacing w:line="240" w:lineRule="auto"/>
        <w:ind w:firstLine="567"/>
        <w:jc w:val="both"/>
        <w:rPr>
          <w:rFonts w:hint="default"/>
          <w:lang w:val="zh-CN"/>
        </w:rPr>
      </w:pPr>
      <w:r>
        <w:rPr>
          <w:rFonts w:hint="default"/>
          <w:lang w:val="zh-CN"/>
        </w:rPr>
        <w:t>One indicator of successful aquaculture is reflected in high growth and production and low mortality rates. This can be realised if the environmental conditions of aquaculture are favourable as well as the high resistance of the fish body to disease during the maintenance period. Probiotics are one of the alternatives that are considered capable of improving aquatic conditions and cultured organisms from disease attacks. Probiotics in the field of aquaculture are live microorganisms that have beneficial properties for the host animal, so that the population of harmful microorganisms does not increase and maintain microbial balance and control of pathogens in the digestive tract, water, and aquatic environment (Andriyanto et al., 2010).</w:t>
      </w:r>
    </w:p>
    <w:p w14:paraId="7B43DE32">
      <w:pPr>
        <w:spacing w:line="240" w:lineRule="auto"/>
        <w:ind w:firstLine="567"/>
        <w:jc w:val="both"/>
        <w:rPr>
          <w:rFonts w:hint="default"/>
          <w:lang w:val="zh-CN"/>
        </w:rPr>
      </w:pPr>
      <w:r>
        <w:rPr>
          <w:rFonts w:hint="default"/>
          <w:lang w:val="zh-CN"/>
        </w:rPr>
        <w:t xml:space="preserve">Probiotics in aquaculture have several roles including: 1). suppressing the population of harmful microbes in the digestive tract by competing for space (place of attachment) and opportunities to get nutrients. 2). produce anti-microbial compounds that will directly suppress microbial growth and prevent the formation of harmful microbial colonisation in the digestive system of the host animal. 3). produce compounds that are immunostimulants, namely increasing the immune system of fish (host animals) in the face of disease attacks by increasing antibody levels and macrophage activity, such as lipo polysaccharides, glycans and peptidoglycans. 4). produce vitamin compounds that are beneficial to the host animal given probiotics and will indirectly increase the nutritional value of the feed. (Atmomarsono et al., 2009). </w:t>
      </w:r>
    </w:p>
    <w:p w14:paraId="06BC741B">
      <w:pPr>
        <w:spacing w:line="240" w:lineRule="auto"/>
        <w:ind w:firstLine="567"/>
        <w:jc w:val="both"/>
        <w:rPr>
          <w:rFonts w:hint="default"/>
          <w:lang w:val="zh-CN"/>
        </w:rPr>
      </w:pPr>
      <w:r>
        <w:rPr>
          <w:rFonts w:hint="default"/>
          <w:lang w:val="zh-CN"/>
        </w:rPr>
        <w:t xml:space="preserve">Several studies have proven that the use of probiotics can provide benefits in tilapia aquaculture and other types of fish, including improving the immune system, growth and survival rate of fish and resistance to disease, including the provision of probiotics with different doses can increase the survival and growth of Pangasius djambal catfish seeds (Andriyanto., 2010). </w:t>
      </w:r>
    </w:p>
    <w:p w14:paraId="0C3C4F45">
      <w:pPr>
        <w:spacing w:line="240" w:lineRule="auto"/>
        <w:ind w:firstLine="567"/>
        <w:jc w:val="both"/>
        <w:rPr>
          <w:rFonts w:hint="default"/>
          <w:lang w:val="zh-CN"/>
        </w:rPr>
      </w:pPr>
      <w:r>
        <w:rPr>
          <w:rFonts w:hint="default"/>
          <w:lang w:val="zh-CN"/>
        </w:rPr>
        <w:t xml:space="preserve">In improving feed nutrition, bacteria contained in probiotics have a mechanism in producing several enzymes for feed digestion such as amylase, protease, lipase and cellulose. These enzymes will help hydrolyse feed nutrients (complex molecules), such as breaking down carbohydrates, proteins and fats into simpler molecules by facilitating the process of digestion and absorption in the fish digestive tract. giving probiotics with different doses in commercial feed can produce good growth rates and feed efficiency in tilapia, so it can be used in feed with the hope of reducing costs. </w:t>
      </w:r>
    </w:p>
    <w:p w14:paraId="3C105728">
      <w:pPr>
        <w:spacing w:line="240" w:lineRule="auto"/>
        <w:jc w:val="both"/>
        <w:rPr>
          <w:rFonts w:hint="default"/>
          <w:lang w:val="zh-CN"/>
        </w:rPr>
      </w:pPr>
      <w:r>
        <w:rPr>
          <w:rFonts w:hint="default"/>
          <w:lang w:val="zh-CN"/>
        </w:rPr>
        <w:t>feed in tilapia aquaculture (Kamil et al., 2016)</w:t>
      </w:r>
    </w:p>
    <w:p w14:paraId="4123F08B">
      <w:pPr>
        <w:spacing w:line="240" w:lineRule="auto"/>
        <w:ind w:firstLine="567"/>
        <w:jc w:val="both"/>
        <w:rPr>
          <w:rFonts w:hint="default"/>
          <w:lang w:val="zh-CN"/>
        </w:rPr>
      </w:pPr>
      <w:r>
        <w:rPr>
          <w:rFonts w:hint="default"/>
          <w:lang w:val="zh-CN"/>
        </w:rPr>
        <w:t>Research on the effect of EM-4 (Effective Microorganism-4) probiotics with different doses on the survival and growth of brackish tilapia larvae has never been done, therefore it is deemed necessary to study this probiotic on the growth and survival of tilapia cultured in brackish water.</w:t>
      </w:r>
    </w:p>
    <w:p w14:paraId="1A770637">
      <w:pPr>
        <w:spacing w:line="240" w:lineRule="auto"/>
        <w:ind w:firstLine="567"/>
        <w:jc w:val="both"/>
        <w:rPr>
          <w:rFonts w:hint="default"/>
          <w:lang w:val="zh-CN"/>
        </w:rPr>
      </w:pPr>
    </w:p>
    <w:p w14:paraId="55EB8E50">
      <w:pPr>
        <w:numPr>
          <w:ilvl w:val="0"/>
          <w:numId w:val="2"/>
        </w:numPr>
        <w:spacing w:line="240" w:lineRule="auto"/>
        <w:ind w:left="0" w:leftChars="0" w:firstLine="0" w:firstLineChars="0"/>
        <w:jc w:val="left"/>
        <w:rPr>
          <w:rFonts w:ascii="Book Antiqua" w:hAnsi="Book Antiqua" w:cs="Book Antiqua"/>
          <w:b w:val="0"/>
          <w:bCs/>
          <w:i/>
          <w:iCs/>
        </w:rPr>
      </w:pPr>
      <w:r>
        <w:rPr>
          <w:rFonts w:ascii="Book Antiqua" w:hAnsi="Book Antiqua" w:cs="Book Antiqua"/>
          <w:b/>
          <w:bCs/>
          <w:sz w:val="24"/>
          <w:szCs w:val="24"/>
          <w:lang w:val="id-ID"/>
        </w:rPr>
        <w:t>LITERATURE REVIEW</w:t>
      </w:r>
    </w:p>
    <w:p w14:paraId="399720A7">
      <w:pPr>
        <w:numPr>
          <w:ilvl w:val="0"/>
          <w:numId w:val="3"/>
        </w:numPr>
        <w:spacing w:line="240" w:lineRule="auto"/>
        <w:ind w:left="425" w:leftChars="0" w:hanging="425" w:firstLineChars="0"/>
        <w:jc w:val="left"/>
        <w:rPr>
          <w:rFonts w:ascii="Book Antiqua" w:hAnsi="Book Antiqua" w:cs="Book Antiqua"/>
          <w:b w:val="0"/>
          <w:bCs/>
          <w:i/>
          <w:iCs/>
        </w:rPr>
      </w:pPr>
      <w:r>
        <w:rPr>
          <w:rFonts w:ascii="Book Antiqua" w:hAnsi="Book Antiqua" w:cs="Book Antiqua"/>
          <w:b w:val="0"/>
          <w:bCs/>
          <w:i/>
          <w:iCs/>
        </w:rPr>
        <w:t xml:space="preserve">Classification </w:t>
      </w:r>
    </w:p>
    <w:p w14:paraId="4A43DD38">
      <w:pPr>
        <w:shd w:val="clear" w:fill="FFFFFF"/>
        <w:spacing w:line="240" w:lineRule="auto"/>
        <w:ind w:firstLine="720" w:firstLineChars="0"/>
        <w:jc w:val="both"/>
        <w:rPr>
          <w:color w:val="000000"/>
        </w:rPr>
      </w:pPr>
      <w:r>
        <w:rPr>
          <w:rFonts w:hint="default"/>
          <w:color w:val="000000"/>
        </w:rPr>
        <w:t>Khairuman &amp; Khairul (2013), stated that initially tilapia was included in the Tilapia nilotica species, but in its development fisheries experts have decided to change the name to Oreochromis niloticus or Oreochromis sp. The name niloticus indicates the place where tilapia comes from, namely the Nile river on the African continent.</w:t>
      </w:r>
    </w:p>
    <w:p w14:paraId="4233F6D8">
      <w:pPr>
        <w:pStyle w:val="57"/>
        <w:shd w:val="clear" w:fill="FFFFFF"/>
        <w:spacing w:line="240" w:lineRule="auto"/>
        <w:ind w:left="0" w:firstLine="567"/>
        <w:jc w:val="both"/>
        <w:rPr>
          <w:rFonts w:ascii="Times New Roman" w:hAnsi="Times New Roman" w:eastAsia="Times New Roman" w:cs="Times New Roman"/>
          <w:color w:val="000000"/>
          <w:sz w:val="24"/>
          <w:szCs w:val="24"/>
        </w:rPr>
      </w:pPr>
    </w:p>
    <w:p w14:paraId="2C71BD95">
      <w:pPr>
        <w:pStyle w:val="57"/>
        <w:numPr>
          <w:ilvl w:val="0"/>
          <w:numId w:val="3"/>
        </w:numPr>
        <w:shd w:val="clear" w:fill="FFFFFF"/>
        <w:spacing w:line="240" w:lineRule="auto"/>
        <w:ind w:left="425" w:leftChars="0" w:hanging="425" w:firstLineChars="0"/>
        <w:jc w:val="both"/>
        <w:rPr>
          <w:rFonts w:ascii="Book Antiqua" w:hAnsi="Book Antiqua" w:eastAsia="Times New Roman" w:cs="Book Antiqua"/>
          <w:i/>
          <w:iCs/>
          <w:color w:val="000000"/>
          <w:sz w:val="24"/>
          <w:szCs w:val="24"/>
          <w:lang w:val="en-US"/>
        </w:rPr>
      </w:pPr>
      <w:r>
        <w:rPr>
          <w:rFonts w:ascii="Book Antiqua" w:hAnsi="Book Antiqua" w:eastAsia="Times New Roman" w:cs="Book Antiqua"/>
          <w:i/>
          <w:iCs/>
          <w:color w:val="000000"/>
          <w:sz w:val="24"/>
          <w:szCs w:val="24"/>
          <w:lang w:val="en-US"/>
        </w:rPr>
        <w:t>Morphology</w:t>
      </w:r>
    </w:p>
    <w:p w14:paraId="2E077125">
      <w:pPr>
        <w:spacing w:after="40" w:line="240" w:lineRule="auto"/>
        <w:ind w:firstLine="720" w:firstLineChars="0"/>
        <w:jc w:val="both"/>
        <w:rPr>
          <w:rFonts w:ascii="Times New Roman" w:hAnsi="Times New Roman"/>
          <w:sz w:val="24"/>
          <w:szCs w:val="24"/>
        </w:rPr>
      </w:pPr>
      <w:r>
        <w:rPr>
          <w:rFonts w:ascii="Times New Roman" w:hAnsi="Times New Roman"/>
          <w:sz w:val="24"/>
          <w:szCs w:val="24"/>
        </w:rPr>
        <w:t>Susanto (2009) states that in general the body shape of tilapia is flat to the side and elongated. Vertical lines on the body are 9-11 pieces, while the lines on the red tail fin are 6-12 pieces. On the dorsal fin there are also oblique lines, the eyes look prominent and relatively large with the edges of the eyes coloured white. The body is relatively thicker and stockier than that of tilapia. The lateral line (lateral line in the middle of the body) is interrupted followed by a line located below.</w:t>
      </w:r>
    </w:p>
    <w:p w14:paraId="19A91504">
      <w:pPr>
        <w:spacing w:line="240" w:lineRule="auto"/>
        <w:ind w:firstLine="720"/>
        <w:jc w:val="both"/>
        <w:rPr>
          <w:rFonts w:ascii="Book Antiqua" w:hAnsi="Book Antiqua" w:cs="Book Antiqua"/>
          <w:b w:val="0"/>
          <w:bCs w:val="0"/>
          <w:i/>
          <w:iCs/>
        </w:rPr>
      </w:pPr>
      <w:r>
        <w:rPr>
          <w:rFonts w:ascii="Times New Roman" w:hAnsi="Times New Roman"/>
          <w:sz w:val="24"/>
          <w:szCs w:val="24"/>
        </w:rPr>
        <w:t xml:space="preserve">While the morphology of tilapia according to Amri and Khairuman (2007) is that the width of the tilapia body is generally one third of its body length. The body shape is elongated and slender, the fish scales are relatively large, the eyes are prominent and large with white edges. Tilapia have five fins located on the back, chest, abdomen, anus, and tail. The </w:t>
      </w:r>
      <w:r>
        <w:rPr>
          <w:rFonts w:ascii="Times New Roman" w:hAnsi="Times New Roman"/>
          <w:i/>
          <w:sz w:val="24"/>
          <w:szCs w:val="24"/>
        </w:rPr>
        <w:t xml:space="preserve">anal fin </w:t>
      </w:r>
      <w:r>
        <w:rPr>
          <w:rFonts w:ascii="Times New Roman" w:hAnsi="Times New Roman"/>
          <w:sz w:val="24"/>
          <w:szCs w:val="24"/>
        </w:rPr>
        <w:t xml:space="preserve">has 3 hard spokes and 9-11 weak spokes. The </w:t>
      </w:r>
      <w:r>
        <w:rPr>
          <w:rFonts w:ascii="Times New Roman" w:hAnsi="Times New Roman"/>
          <w:i/>
          <w:sz w:val="24"/>
          <w:szCs w:val="24"/>
        </w:rPr>
        <w:t xml:space="preserve">caudal </w:t>
      </w:r>
      <w:r>
        <w:rPr>
          <w:rFonts w:ascii="Times New Roman" w:hAnsi="Times New Roman"/>
          <w:sz w:val="24"/>
          <w:szCs w:val="24"/>
        </w:rPr>
        <w:t xml:space="preserve">fin has 2 hardened weak spokes and 16-18 weak fin spokes. The </w:t>
      </w:r>
      <w:r>
        <w:rPr>
          <w:rFonts w:ascii="Times New Roman" w:hAnsi="Times New Roman"/>
          <w:i/>
          <w:sz w:val="24"/>
          <w:szCs w:val="24"/>
        </w:rPr>
        <w:t xml:space="preserve">dorsal </w:t>
      </w:r>
      <w:r>
        <w:rPr>
          <w:rFonts w:ascii="Times New Roman" w:hAnsi="Times New Roman"/>
          <w:sz w:val="24"/>
          <w:szCs w:val="24"/>
        </w:rPr>
        <w:t xml:space="preserve">fin has 17 hard fin spokes and 13 weak fin spokes. The </w:t>
      </w:r>
      <w:r>
        <w:rPr>
          <w:rFonts w:ascii="Times New Roman" w:hAnsi="Times New Roman"/>
          <w:i/>
          <w:sz w:val="24"/>
          <w:szCs w:val="24"/>
        </w:rPr>
        <w:t xml:space="preserve">pectoral </w:t>
      </w:r>
      <w:r>
        <w:rPr>
          <w:rFonts w:ascii="Times New Roman" w:hAnsi="Times New Roman"/>
          <w:sz w:val="24"/>
          <w:szCs w:val="24"/>
        </w:rPr>
        <w:t xml:space="preserve">fin has 1 hard radius and 5 weak fin radii. The </w:t>
      </w:r>
      <w:r>
        <w:rPr>
          <w:rFonts w:ascii="Times New Roman" w:hAnsi="Times New Roman"/>
          <w:i/>
          <w:sz w:val="24"/>
          <w:szCs w:val="24"/>
        </w:rPr>
        <w:t xml:space="preserve">ventral </w:t>
      </w:r>
      <w:r>
        <w:rPr>
          <w:rFonts w:ascii="Times New Roman" w:hAnsi="Times New Roman"/>
          <w:sz w:val="24"/>
          <w:szCs w:val="24"/>
        </w:rPr>
        <w:t xml:space="preserve">fin has 1 hard fin radius and 5 weak fin radii. Tilapia has </w:t>
      </w:r>
      <w:r>
        <w:rPr>
          <w:rFonts w:ascii="Times New Roman" w:hAnsi="Times New Roman"/>
          <w:i/>
          <w:sz w:val="24"/>
          <w:szCs w:val="24"/>
        </w:rPr>
        <w:t xml:space="preserve">cycloid </w:t>
      </w:r>
      <w:r>
        <w:rPr>
          <w:rFonts w:ascii="Times New Roman" w:hAnsi="Times New Roman"/>
          <w:sz w:val="24"/>
          <w:szCs w:val="24"/>
        </w:rPr>
        <w:t>scales that cover its entire body.</w:t>
      </w:r>
    </w:p>
    <w:p w14:paraId="2E1990C2">
      <w:pPr>
        <w:shd w:val="clear" w:fill="FFFFFF"/>
        <w:spacing w:line="240" w:lineRule="auto"/>
        <w:ind w:left="360" w:hanging="360"/>
        <w:jc w:val="left"/>
        <w:rPr>
          <w:rFonts w:ascii="Book Antiqua" w:hAnsi="Book Antiqua" w:cs="Book Antiqua"/>
          <w:b w:val="0"/>
          <w:bCs w:val="0"/>
          <w:i/>
          <w:iCs/>
        </w:rPr>
      </w:pPr>
    </w:p>
    <w:p w14:paraId="4D49EF8B">
      <w:pPr>
        <w:numPr>
          <w:ilvl w:val="0"/>
          <w:numId w:val="3"/>
        </w:numPr>
        <w:shd w:val="clear" w:fill="FFFFFF"/>
        <w:spacing w:line="240" w:lineRule="auto"/>
        <w:ind w:left="425" w:leftChars="0" w:hanging="425" w:firstLineChars="0"/>
        <w:jc w:val="left"/>
        <w:rPr>
          <w:rFonts w:hint="default" w:ascii="Book Antiqua" w:hAnsi="Book Antiqua" w:cs="Book Antiqua"/>
          <w:b w:val="0"/>
          <w:bCs w:val="0"/>
          <w:i/>
          <w:iCs/>
          <w:color w:val="000000"/>
          <w:lang w:val="en-US"/>
        </w:rPr>
      </w:pPr>
      <w:r>
        <w:rPr>
          <w:rFonts w:hint="default" w:ascii="Book Antiqua" w:hAnsi="Book Antiqua" w:cs="Book Antiqua"/>
          <w:b w:val="0"/>
          <w:bCs w:val="0"/>
          <w:i/>
          <w:iCs/>
          <w:lang w:val="en-US"/>
        </w:rPr>
        <w:t>Ecology</w:t>
      </w:r>
    </w:p>
    <w:p w14:paraId="33EFF9FF">
      <w:pPr>
        <w:shd w:val="clear" w:fill="FFFFFF"/>
        <w:spacing w:line="240" w:lineRule="auto"/>
        <w:ind w:firstLine="567"/>
        <w:jc w:val="both"/>
        <w:rPr>
          <w:rFonts w:hint="default"/>
          <w:color w:val="000000"/>
        </w:rPr>
      </w:pPr>
      <w:r>
        <w:rPr>
          <w:rFonts w:hint="default"/>
          <w:color w:val="000000"/>
        </w:rPr>
        <w:t xml:space="preserve">Tilapia is a commonly consumed fish that lives in freshwater, sometimes tilapia is also found living in slightly saline (brackish) waters. Tilapia is known as a euryhaline fish (can live in a high salinity range), tilapia inhabits a variety of freshwater habitats, including shallow waterways, ponds, rivers and lakes. </w:t>
      </w:r>
    </w:p>
    <w:p w14:paraId="4A769B23">
      <w:pPr>
        <w:shd w:val="clear" w:fill="FFFFFF"/>
        <w:spacing w:line="240" w:lineRule="auto"/>
        <w:ind w:firstLine="567"/>
        <w:jc w:val="both"/>
        <w:rPr>
          <w:rFonts w:hint="default"/>
          <w:color w:val="000000"/>
        </w:rPr>
      </w:pPr>
      <w:r>
        <w:rPr>
          <w:rFonts w:hint="default"/>
          <w:color w:val="000000"/>
        </w:rPr>
        <w:t>Tilapia has a habitat in fresh waters, such as rivers, lakes, reservoirs and swamps. But because of its high tolerance to salinity, the fish can live and breed in brackish waters. The preferred salinity is between 0-35 ppt. Tilapia that are still small are more resistant to environmental changes than fish that are already large (Suyanto, 2003).</w:t>
      </w:r>
    </w:p>
    <w:p w14:paraId="3355B322">
      <w:pPr>
        <w:shd w:val="clear" w:fill="FFFFFF"/>
        <w:spacing w:line="240" w:lineRule="auto"/>
        <w:ind w:firstLine="567"/>
        <w:jc w:val="both"/>
        <w:rPr>
          <w:color w:val="000000"/>
        </w:rPr>
      </w:pPr>
      <w:r>
        <w:rPr>
          <w:rFonts w:hint="default"/>
          <w:color w:val="000000"/>
        </w:rPr>
        <w:tab/>
      </w:r>
      <w:r>
        <w:rPr>
          <w:color w:val="000000"/>
        </w:rPr>
        <w:tab/>
      </w:r>
    </w:p>
    <w:p w14:paraId="79DD4FCD">
      <w:pPr>
        <w:pStyle w:val="3"/>
        <w:numPr>
          <w:ilvl w:val="0"/>
          <w:numId w:val="3"/>
        </w:numPr>
        <w:tabs>
          <w:tab w:val="clear" w:pos="425"/>
        </w:tabs>
        <w:spacing w:line="240" w:lineRule="auto"/>
        <w:ind w:left="425" w:leftChars="0" w:hanging="425" w:firstLineChars="0"/>
        <w:rPr>
          <w:rFonts w:ascii="Times New Roman" w:hAnsi="Times New Roman" w:cs="Times New Roman"/>
          <w:b w:val="0"/>
          <w:bCs w:val="0"/>
          <w:i/>
          <w:iCs w:val="0"/>
          <w:color w:val="000000"/>
          <w:sz w:val="24"/>
          <w:szCs w:val="24"/>
        </w:rPr>
      </w:pPr>
      <w:r>
        <w:rPr>
          <w:rFonts w:ascii="Times New Roman" w:hAnsi="Times New Roman" w:cs="Times New Roman"/>
          <w:b w:val="0"/>
          <w:bCs w:val="0"/>
          <w:i/>
          <w:iCs w:val="0"/>
          <w:color w:val="000000"/>
          <w:sz w:val="24"/>
          <w:szCs w:val="24"/>
        </w:rPr>
        <w:t>Eating Habits of Goldfish</w:t>
      </w:r>
      <w:r>
        <w:rPr>
          <w:rFonts w:ascii="Times New Roman" w:hAnsi="Times New Roman" w:cs="Times New Roman"/>
          <w:b w:val="0"/>
          <w:bCs w:val="0"/>
          <w:i/>
          <w:iCs w:val="0"/>
          <w:color w:val="000000"/>
          <w:sz w:val="24"/>
          <w:szCs w:val="24"/>
        </w:rPr>
        <w:tab/>
      </w:r>
    </w:p>
    <w:p w14:paraId="3D632B34">
      <w:pPr>
        <w:shd w:val="clear" w:fill="FFFFFF"/>
        <w:spacing w:line="240" w:lineRule="auto"/>
        <w:ind w:firstLine="567"/>
        <w:jc w:val="both"/>
        <w:rPr>
          <w:color w:val="000000"/>
        </w:rPr>
      </w:pPr>
      <w:r>
        <w:rPr>
          <w:color w:val="000000"/>
        </w:rPr>
        <w:t>In general, after the age of 5 days, goldfish eat microorganisms in the form of plankton. Goldfish larvae eat vegetable plankton measuring 100-300 microns. At the age of 5 days, the size of the larvae reaches 6 mm-7 mm. At the age of 1 month, the normal size of larvae reaches 25 mm-30 mm and the size of organisms that can be swallowed ranges from 0.5 mm-2.0 mm. Even though goldfish like natural food in the form of plankton, this habit changes gradually in line with their development and growth. Goldfish are known as omnivorous aquatic animals. Adult goldfish are relatively greedy in swallowing all types of natural or artificial food (Santoso, 1993).</w:t>
      </w:r>
    </w:p>
    <w:p w14:paraId="6D330D40">
      <w:pPr>
        <w:shd w:val="clear" w:fill="FFFFFF"/>
        <w:spacing w:line="240" w:lineRule="auto"/>
        <w:jc w:val="both"/>
        <w:rPr>
          <w:color w:val="000000"/>
        </w:rPr>
      </w:pPr>
    </w:p>
    <w:p w14:paraId="7D4FA9DA">
      <w:pPr>
        <w:numPr>
          <w:ilvl w:val="0"/>
          <w:numId w:val="3"/>
        </w:numPr>
        <w:tabs>
          <w:tab w:val="left" w:pos="0"/>
          <w:tab w:val="left" w:pos="540"/>
          <w:tab w:val="clear" w:pos="425"/>
        </w:tabs>
        <w:spacing w:after="0" w:line="360" w:lineRule="auto"/>
        <w:ind w:left="425" w:leftChars="0" w:hanging="425" w:firstLineChars="0"/>
        <w:jc w:val="both"/>
        <w:rPr>
          <w:rFonts w:hint="default" w:ascii="Book Antiqua" w:hAnsi="Book Antiqua" w:cs="Book Antiqua"/>
          <w:b w:val="0"/>
          <w:bCs/>
          <w:i/>
          <w:iCs/>
          <w:sz w:val="24"/>
          <w:szCs w:val="24"/>
        </w:rPr>
      </w:pPr>
      <w:r>
        <w:rPr>
          <w:rFonts w:hint="default" w:ascii="Book Antiqua" w:hAnsi="Book Antiqua" w:cs="Book Antiqua"/>
          <w:b w:val="0"/>
          <w:bCs/>
          <w:i/>
          <w:iCs/>
          <w:sz w:val="24"/>
          <w:szCs w:val="24"/>
        </w:rPr>
        <w:t xml:space="preserve"> Eating and Eating Habits</w:t>
      </w:r>
    </w:p>
    <w:p w14:paraId="3F7C2931">
      <w:pPr>
        <w:numPr>
          <w:ilvl w:val="0"/>
          <w:numId w:val="0"/>
        </w:numPr>
        <w:tabs>
          <w:tab w:val="left" w:pos="0"/>
          <w:tab w:val="left" w:pos="540"/>
        </w:tabs>
        <w:spacing w:after="0" w:line="240" w:lineRule="auto"/>
        <w:ind w:leftChars="0"/>
        <w:jc w:val="both"/>
        <w:rPr>
          <w:rFonts w:ascii="Times New Roman" w:hAnsi="Times New Roman"/>
          <w:sz w:val="24"/>
          <w:szCs w:val="24"/>
        </w:rPr>
      </w:pPr>
      <w:r>
        <w:rPr>
          <w:rFonts w:ascii="Times New Roman" w:hAnsi="Times New Roman"/>
          <w:sz w:val="24"/>
          <w:szCs w:val="24"/>
          <w:lang w:val="fi-FI"/>
        </w:rPr>
        <w:tab/>
      </w:r>
      <w:r>
        <w:rPr>
          <w:rFonts w:ascii="Times New Roman" w:hAnsi="Times New Roman"/>
          <w:sz w:val="24"/>
          <w:szCs w:val="24"/>
        </w:rPr>
        <w:t xml:space="preserve">Tilapia is classified as an omnivorous fish that can consume animal or plant food. Therefore, this fish is very easy to cultivate. Tilapia larvae love zooplankton (animal plankton), such as rotifers, moina, or daphnia. In addition, it also preys on algae or moss attached to objects in its habitat. Tilapia also eat aquatic plants that grow in the culture pond (Khairuman and Amri., 2013). Other types of additional food commonly given to tilapia such as fine bran, peanut meal, coconut pulp and so on (Andrianto., 2007). </w:t>
      </w:r>
    </w:p>
    <w:p w14:paraId="4E6B6F2D">
      <w:pPr>
        <w:numPr>
          <w:ilvl w:val="0"/>
          <w:numId w:val="3"/>
        </w:numPr>
        <w:spacing w:before="200" w:after="0" w:line="240" w:lineRule="auto"/>
        <w:ind w:left="425" w:leftChars="0" w:hanging="425" w:firstLineChars="0"/>
        <w:jc w:val="both"/>
        <w:rPr>
          <w:rFonts w:hint="default" w:ascii="Book Antiqua" w:hAnsi="Book Antiqua"/>
          <w:b w:val="0"/>
          <w:bCs/>
          <w:i/>
          <w:iCs/>
        </w:rPr>
      </w:pPr>
      <w:r>
        <w:rPr>
          <w:rFonts w:hint="default" w:ascii="Book Antiqua" w:hAnsi="Book Antiqua"/>
          <w:b w:val="0"/>
          <w:bCs/>
          <w:i/>
          <w:iCs/>
        </w:rPr>
        <w:t>Probiotics</w:t>
      </w:r>
    </w:p>
    <w:p w14:paraId="4858D06D">
      <w:pPr>
        <w:spacing w:after="0" w:line="240" w:lineRule="auto"/>
        <w:ind w:firstLine="720"/>
        <w:jc w:val="both"/>
        <w:rPr>
          <w:rFonts w:ascii="Times New Roman" w:hAnsi="Times New Roman"/>
          <w:sz w:val="24"/>
          <w:szCs w:val="24"/>
          <w:lang w:val="en-US"/>
        </w:rPr>
      </w:pPr>
      <w:r>
        <w:rPr>
          <w:rFonts w:ascii="Times New Roman" w:hAnsi="Times New Roman"/>
          <w:sz w:val="24"/>
          <w:szCs w:val="24"/>
        </w:rPr>
        <w:t xml:space="preserve">According to Arief et al, (2008) probiotics are defined as live microorganisms consumed by humans or animals in sufficient quantities, able to live and pass through stomach and digestive tract conditions and benefit their host cells by improving health for the host. Probiotic bacteria must also belong to the safe group or GRAS (Generally Recognized As Safe). </w:t>
      </w:r>
    </w:p>
    <w:p w14:paraId="01BC1F14">
      <w:pPr>
        <w:spacing w:after="0" w:line="240" w:lineRule="auto"/>
        <w:ind w:firstLine="720"/>
        <w:jc w:val="both"/>
        <w:rPr>
          <w:rFonts w:ascii="Times New Roman" w:hAnsi="Times New Roman"/>
          <w:sz w:val="24"/>
          <w:szCs w:val="24"/>
        </w:rPr>
      </w:pPr>
      <w:r>
        <w:rPr>
          <w:rFonts w:ascii="Times New Roman" w:hAnsi="Times New Roman"/>
          <w:sz w:val="24"/>
          <w:szCs w:val="24"/>
        </w:rPr>
        <w:t xml:space="preserve">Probiotics are live microorganisms that have beneficial properties for the host animal, so that the population of harmful pathogenic microorganisms does not increase and further change the balance of microflora in the digestive tract. Probiotics, in other words, are supplementary food for host animals in the form of microorganism cells (microbes) or as microscopic feed that aims to win the competition in the digestive tract system of fish (host animals) with harmful bacteria (pathogens). The competition takes place in terms of the utilisation of nutrients derived from the metabolic products of feed and efforts to place space in the digestive tract to form colonies (Supriyanto, 2009). </w:t>
      </w:r>
    </w:p>
    <w:p w14:paraId="017108E1">
      <w:pPr>
        <w:numPr>
          <w:ilvl w:val="0"/>
          <w:numId w:val="3"/>
        </w:numPr>
        <w:spacing w:before="200" w:after="0" w:line="240" w:lineRule="auto"/>
        <w:ind w:left="425" w:leftChars="0" w:hanging="425" w:firstLineChars="0"/>
        <w:jc w:val="both"/>
        <w:rPr>
          <w:rFonts w:ascii="Book Antiqua" w:hAnsi="Book Antiqua" w:cs="Book Antiqua"/>
          <w:b w:val="0"/>
          <w:bCs/>
          <w:i/>
          <w:iCs/>
        </w:rPr>
      </w:pPr>
      <w:r>
        <w:rPr>
          <w:rFonts w:hint="default" w:ascii="Book Antiqua" w:hAnsi="Book Antiqua"/>
          <w:b w:val="0"/>
          <w:bCs/>
          <w:i/>
          <w:iCs/>
        </w:rPr>
        <w:t>Probiotic EM-4 (Effective Microorganism-4)</w:t>
      </w:r>
    </w:p>
    <w:p w14:paraId="13F909AE">
      <w:pPr>
        <w:spacing w:line="240" w:lineRule="auto"/>
        <w:ind w:firstLine="720"/>
        <w:jc w:val="both"/>
        <w:rPr>
          <w:rFonts w:ascii="Times New Roman" w:hAnsi="Times New Roman" w:eastAsia="SimSun"/>
          <w:color w:val="000000"/>
          <w:sz w:val="24"/>
          <w:szCs w:val="24"/>
          <w:lang w:val="fi-FI" w:eastAsia="zh-CN"/>
        </w:rPr>
      </w:pPr>
      <w:r>
        <w:rPr>
          <w:rFonts w:ascii="Times New Roman" w:hAnsi="Times New Roman" w:eastAsia="SimSun"/>
          <w:color w:val="000000"/>
          <w:sz w:val="24"/>
          <w:szCs w:val="24"/>
          <w:lang w:val="en-US" w:eastAsia="zh-CN"/>
        </w:rPr>
        <w:t xml:space="preserve">The provision of probiotics containing </w:t>
      </w:r>
      <w:r>
        <w:rPr>
          <w:rFonts w:ascii="Times New Roman" w:hAnsi="Times New Roman" w:eastAsia="SimSun"/>
          <w:i/>
          <w:iCs/>
          <w:color w:val="000000"/>
          <w:sz w:val="24"/>
          <w:szCs w:val="24"/>
          <w:lang w:val="en-US" w:eastAsia="zh-CN"/>
        </w:rPr>
        <w:t xml:space="preserve">Lactobacillius </w:t>
      </w:r>
      <w:r>
        <w:rPr>
          <w:rFonts w:ascii="Times New Roman" w:hAnsi="Times New Roman" w:eastAsia="SimSun"/>
          <w:color w:val="000000"/>
          <w:sz w:val="24"/>
          <w:szCs w:val="24"/>
          <w:lang w:val="en-US" w:eastAsia="zh-CN"/>
        </w:rPr>
        <w:t xml:space="preserve">bacteria, </w:t>
      </w:r>
      <w:r>
        <w:rPr>
          <w:rFonts w:ascii="Times New Roman" w:hAnsi="Times New Roman" w:eastAsia="SimSun"/>
          <w:i/>
          <w:iCs/>
          <w:color w:val="000000"/>
          <w:sz w:val="24"/>
          <w:szCs w:val="24"/>
          <w:lang w:val="en-US" w:eastAsia="zh-CN"/>
        </w:rPr>
        <w:t xml:space="preserve">Actinomycetes sp, and Saccharmyces cerevisiae </w:t>
      </w:r>
      <w:r>
        <w:rPr>
          <w:rFonts w:ascii="Times New Roman" w:hAnsi="Times New Roman" w:eastAsia="SimSun"/>
          <w:color w:val="000000"/>
          <w:sz w:val="24"/>
          <w:szCs w:val="24"/>
          <w:lang w:val="en-US" w:eastAsia="zh-CN"/>
        </w:rPr>
        <w:t xml:space="preserve">in feed is intended to increase fish digestibility of feed by increasing digestive enzymes that can hydrolyse proteins into simpler compounds so that they are easily absorbed and used as deposits for growth. Probiotics are photosynthetic bacteria, such as </w:t>
      </w:r>
      <w:r>
        <w:rPr>
          <w:rFonts w:ascii="Times New Roman" w:hAnsi="Times New Roman" w:eastAsia="SimSun"/>
          <w:i/>
          <w:iCs/>
          <w:color w:val="000000"/>
          <w:sz w:val="24"/>
          <w:szCs w:val="24"/>
          <w:lang w:val="en-US" w:eastAsia="zh-CN"/>
        </w:rPr>
        <w:t>Lactobacillus sp, Actinomycetes sp, Streptomycetes sp</w:t>
      </w:r>
      <w:r>
        <w:rPr>
          <w:rFonts w:ascii="Times New Roman" w:hAnsi="Times New Roman" w:eastAsia="SimSun"/>
          <w:color w:val="000000"/>
          <w:sz w:val="24"/>
          <w:szCs w:val="24"/>
          <w:lang w:val="en-US" w:eastAsia="zh-CN"/>
        </w:rPr>
        <w:t xml:space="preserve">, and yeast. EM4 probiotics containing lignocellulotic microbes will help break lignocellulotic bonds so that lignin and cellulose will be released and proteolytic microbes produce protease enzymes that function to break down proteins into amino acids. </w:t>
      </w:r>
      <w:r>
        <w:rPr>
          <w:rFonts w:ascii="Times New Roman" w:hAnsi="Times New Roman" w:eastAsia="SimSun"/>
          <w:color w:val="000000"/>
          <w:sz w:val="24"/>
          <w:szCs w:val="24"/>
          <w:lang w:val="fi-FI" w:eastAsia="zh-CN"/>
        </w:rPr>
        <w:t xml:space="preserve">The use of probiotics in fish feed can improve digestibility and growth of tilapia. Therefore, it is necessary to conduct research that examines the effect of probiotics in feed on the level of feed consumption and growth of tilapia (Noviana </w:t>
      </w:r>
      <w:r>
        <w:rPr>
          <w:rFonts w:ascii="Times New Roman" w:hAnsi="Times New Roman" w:eastAsia="SimSun"/>
          <w:i/>
          <w:iCs/>
          <w:color w:val="000000"/>
          <w:sz w:val="24"/>
          <w:szCs w:val="24"/>
          <w:lang w:val="fi-FI" w:eastAsia="zh-CN"/>
        </w:rPr>
        <w:t>et al</w:t>
      </w:r>
      <w:r>
        <w:rPr>
          <w:rFonts w:ascii="Times New Roman" w:hAnsi="Times New Roman" w:eastAsia="SimSun"/>
          <w:color w:val="000000"/>
          <w:sz w:val="24"/>
          <w:szCs w:val="24"/>
          <w:lang w:val="fi-FI" w:eastAsia="zh-CN"/>
        </w:rPr>
        <w:t xml:space="preserve">., 2014). </w:t>
      </w:r>
    </w:p>
    <w:p w14:paraId="5374610D">
      <w:pPr>
        <w:spacing w:line="240" w:lineRule="auto"/>
        <w:ind w:firstLine="720"/>
        <w:jc w:val="both"/>
        <w:rPr>
          <w:rFonts w:hint="default" w:ascii="Times New Roman" w:hAnsi="Times New Roman" w:eastAsia="SimSun"/>
          <w:color w:val="000000"/>
          <w:sz w:val="24"/>
          <w:szCs w:val="24"/>
          <w:lang w:val="fi-FI" w:eastAsia="zh-CN"/>
        </w:rPr>
      </w:pPr>
      <w:r>
        <w:rPr>
          <w:rFonts w:ascii="Times New Roman" w:hAnsi="Times New Roman" w:eastAsia="SimSun"/>
          <w:color w:val="000000"/>
          <w:sz w:val="24"/>
          <w:szCs w:val="24"/>
          <w:lang w:val="fi-FI" w:eastAsia="zh-CN"/>
        </w:rPr>
        <w:t xml:space="preserve">EM-4 product is a culture in a yellowish-brown liquid medium that is beneficial for livestock growth and production with a sweet and sour smell. EM-4 farms are able to improve microorganisms in the digestive tract of livestock so that the health of livestock will increase, not easily stressed and the smell of faeces will decrease. Giving EM4 to livestock feed and drinking water will increase livestock appetite due to the sweet and sour aroma caused (Kukuh, 2010). </w:t>
      </w:r>
    </w:p>
    <w:p w14:paraId="71562AC3">
      <w:pPr>
        <w:numPr>
          <w:ilvl w:val="0"/>
          <w:numId w:val="3"/>
        </w:numPr>
        <w:spacing w:before="200" w:after="0" w:line="240" w:lineRule="auto"/>
        <w:ind w:left="425" w:leftChars="0" w:hanging="425" w:firstLineChars="0"/>
        <w:jc w:val="both"/>
        <w:rPr>
          <w:rFonts w:hint="default" w:ascii="Book Antiqua" w:hAnsi="Book Antiqua" w:cs="Book Antiqua"/>
          <w:b w:val="0"/>
          <w:bCs/>
          <w:i/>
          <w:iCs/>
        </w:rPr>
      </w:pPr>
      <w:r>
        <w:rPr>
          <w:rFonts w:hint="default" w:ascii="Book Antiqua" w:hAnsi="Book Antiqua" w:cs="Book Antiqua"/>
          <w:b w:val="0"/>
          <w:bCs/>
          <w:i/>
          <w:iCs/>
          <w:sz w:val="24"/>
          <w:szCs w:val="24"/>
          <w:lang w:val="en-US"/>
        </w:rPr>
        <w:t xml:space="preserve"> Trajectory</w:t>
      </w:r>
    </w:p>
    <w:p w14:paraId="1BF97553">
      <w:pPr>
        <w:numPr>
          <w:ilvl w:val="0"/>
          <w:numId w:val="0"/>
        </w:numPr>
        <w:spacing w:before="200" w:after="0" w:line="240" w:lineRule="auto"/>
        <w:ind w:leftChars="0" w:firstLine="720" w:firstLineChars="0"/>
        <w:jc w:val="both"/>
        <w:rPr>
          <w:rFonts w:ascii="Times New Roman" w:hAnsi="Times New Roman"/>
          <w:sz w:val="24"/>
          <w:szCs w:val="24"/>
        </w:rPr>
      </w:pPr>
      <w:r>
        <w:rPr>
          <w:rFonts w:ascii="Times New Roman" w:hAnsi="Times New Roman"/>
          <w:sz w:val="24"/>
          <w:szCs w:val="24"/>
        </w:rPr>
        <w:t xml:space="preserve">To maintain fish survival, food that fulfils the nutritional needs of fish is required. The food eaten by the fish is used for survival and the rest will be utilised for growth. The quality of the feed must meet the nutritional needs of the fish and the quantity must be adjusted to the number of fish stocked. An increase in stocking density that is not appropriate will result in competition for space and food, which in turn can reduce health and physiological conditions so that fish will experience stress. While diseases that attack are usually related to poor water quality, so good water quality will reduce the risk of fish disease and fish can survive. The use of probiotics can increase fish survival as done in several previous studies. </w:t>
      </w:r>
    </w:p>
    <w:p w14:paraId="03284C43">
      <w:pPr>
        <w:numPr>
          <w:ilvl w:val="0"/>
          <w:numId w:val="0"/>
        </w:numPr>
        <w:spacing w:before="200" w:after="0" w:line="240" w:lineRule="auto"/>
        <w:ind w:leftChars="0" w:firstLine="720" w:firstLineChars="0"/>
        <w:jc w:val="both"/>
        <w:rPr>
          <w:rFonts w:hint="default" w:ascii="Times New Roman" w:hAnsi="Times New Roman"/>
          <w:sz w:val="24"/>
          <w:szCs w:val="24"/>
        </w:rPr>
      </w:pPr>
      <w:r>
        <w:rPr>
          <w:rFonts w:hint="default" w:ascii="Times New Roman" w:hAnsi="Times New Roman"/>
          <w:sz w:val="24"/>
          <w:szCs w:val="24"/>
        </w:rPr>
        <w:t>Noviana et al, (2014) raised tilapia by feeding with probiotics added to Lactobacillus sp. producing a survival rate of 90%, while for the treatment without probiotics the survival rate obtained was only 50.8%. Similarly, Anggriani et al, (2012) in their research obtained a tilapia survival rate of 70% which was fed with the addition of probiotic Bacillus sp, while without probiotics, the survival rate was only 43%. Furthermore, Andriyanto et al, (2010) also obtained the highest survival rate of 86.67% and without the provision of probiotics produced the lowest survival rate of 76.67% with the use of probiotics Bacillus sp. added to fish feed in the maintenance of jambal catfish (Pangasius jambal).</w:t>
      </w:r>
    </w:p>
    <w:p w14:paraId="41E67530">
      <w:pPr>
        <w:pStyle w:val="57"/>
        <w:numPr>
          <w:ilvl w:val="0"/>
          <w:numId w:val="3"/>
        </w:numPr>
        <w:spacing w:before="200" w:after="0" w:line="240" w:lineRule="auto"/>
        <w:ind w:left="425" w:leftChars="0" w:hanging="425" w:firstLineChars="0"/>
        <w:contextualSpacing/>
        <w:jc w:val="both"/>
        <w:rPr>
          <w:rFonts w:hint="default" w:ascii="Book Antiqua" w:hAnsi="Book Antiqua" w:cs="Book Antiqua"/>
          <w:b w:val="0"/>
          <w:bCs/>
          <w:i/>
          <w:iCs/>
          <w:sz w:val="24"/>
          <w:szCs w:val="24"/>
          <w:lang w:val="en-US"/>
        </w:rPr>
      </w:pPr>
      <w:r>
        <w:rPr>
          <w:rFonts w:hint="default" w:ascii="Book Antiqua" w:hAnsi="Book Antiqua" w:cs="Book Antiqua"/>
          <w:b w:val="0"/>
          <w:bCs/>
          <w:i/>
          <w:iCs/>
          <w:sz w:val="24"/>
          <w:szCs w:val="24"/>
          <w:lang w:val="en-US"/>
        </w:rPr>
        <w:t xml:space="preserve"> Growth</w:t>
      </w:r>
    </w:p>
    <w:p w14:paraId="727A422E">
      <w:pPr>
        <w:pStyle w:val="57"/>
        <w:numPr>
          <w:ilvl w:val="0"/>
          <w:numId w:val="0"/>
        </w:numPr>
        <w:spacing w:before="200" w:after="0" w:line="240" w:lineRule="auto"/>
        <w:ind w:leftChars="0" w:firstLine="720" w:firstLineChars="0"/>
        <w:contextualSpacing/>
        <w:jc w:val="both"/>
        <w:rPr>
          <w:rFonts w:hint="default" w:ascii="Times New Roman" w:hAnsi="Times New Roman"/>
          <w:sz w:val="24"/>
          <w:szCs w:val="24"/>
        </w:rPr>
      </w:pPr>
      <w:r>
        <w:rPr>
          <w:rFonts w:ascii="Times New Roman" w:hAnsi="Times New Roman"/>
          <w:sz w:val="24"/>
          <w:szCs w:val="24"/>
        </w:rPr>
        <w:t xml:space="preserve">Male tilapia have a faster growth rate than female tilapia. The growth rate of male tilapia averages 2.1 grams/day, while the growth rate of female tilapia averages 1.8 grams/day (Ghufran, 2009). In 3-4 months of rearing, tilapia can be obtained at an average size of 250 grams from an initial weight of 30-50 grams (Cholik, 2005). In addition to its rapid growth, tilapia also has a </w:t>
      </w:r>
      <w:r>
        <w:rPr>
          <w:rFonts w:hint="default" w:ascii="Times New Roman" w:hAnsi="Times New Roman"/>
          <w:sz w:val="24"/>
          <w:szCs w:val="24"/>
        </w:rPr>
        <w:t xml:space="preserve">high </w:t>
      </w:r>
      <w:r>
        <w:rPr>
          <w:rFonts w:ascii="Times New Roman" w:hAnsi="Times New Roman"/>
          <w:sz w:val="24"/>
          <w:szCs w:val="24"/>
        </w:rPr>
        <w:t xml:space="preserve">survival rate </w:t>
      </w:r>
      <w:r>
        <w:rPr>
          <w:rFonts w:hint="default" w:ascii="Times New Roman" w:hAnsi="Times New Roman"/>
          <w:sz w:val="24"/>
          <w:szCs w:val="24"/>
        </w:rPr>
        <w:t>during the rearing period. Wiryanta et al (2010) explained that the survival rate of tilapia in enlargement activities is 65-75%.</w:t>
      </w:r>
    </w:p>
    <w:p w14:paraId="6C580B1A">
      <w:pPr>
        <w:pStyle w:val="57"/>
        <w:numPr>
          <w:ilvl w:val="0"/>
          <w:numId w:val="0"/>
        </w:numPr>
        <w:spacing w:before="200" w:after="0" w:line="240" w:lineRule="auto"/>
        <w:ind w:leftChars="0" w:firstLine="720" w:firstLineChars="0"/>
        <w:contextualSpacing/>
        <w:jc w:val="both"/>
        <w:rPr>
          <w:rFonts w:hint="default" w:ascii="Times New Roman" w:hAnsi="Times New Roman"/>
          <w:sz w:val="24"/>
          <w:szCs w:val="24"/>
          <w:lang w:val="en-US"/>
        </w:rPr>
      </w:pPr>
      <w:r>
        <w:rPr>
          <w:rFonts w:hint="default" w:ascii="Times New Roman" w:hAnsi="Times New Roman"/>
          <w:sz w:val="24"/>
          <w:szCs w:val="24"/>
          <w:lang w:val="en-US"/>
        </w:rPr>
        <w:t>The use of probiotics on the growth of fish or other cultured organisms has been proven in several previous studies: Noviana et al, (2014) obtained a relative growth rate of tilapia of 3.20% fed with probiotic Lactobacillus sp. compared to the growth rate of fish without probiotics which was only 1.2%. Furthermore, Agustin et al, (2014) who raised cork fish with the addition of probiotics obtained the highest growth rate of 3.17% and the lowest growth rate of 2.14% without probiotics. The highest growth of gourami fish seeds was also obtained (1.67%) with the addition of probiotic Lactobacillus sp. compared to the growth rate of seeds fed without probiotics (0.41%) (Suminto., 2015).</w:t>
      </w:r>
    </w:p>
    <w:p w14:paraId="20D1E9E8">
      <w:pPr>
        <w:pStyle w:val="57"/>
        <w:numPr>
          <w:ilvl w:val="0"/>
          <w:numId w:val="0"/>
        </w:numPr>
        <w:spacing w:before="200" w:after="0" w:line="240" w:lineRule="auto"/>
        <w:ind w:leftChars="0" w:firstLine="720" w:firstLineChars="0"/>
        <w:contextualSpacing/>
        <w:jc w:val="both"/>
        <w:rPr>
          <w:rFonts w:hint="default" w:ascii="Times New Roman" w:hAnsi="Times New Roman"/>
          <w:sz w:val="24"/>
          <w:szCs w:val="24"/>
          <w:lang w:val="en-US"/>
        </w:rPr>
      </w:pPr>
    </w:p>
    <w:p w14:paraId="6DDFD3AB">
      <w:pPr>
        <w:numPr>
          <w:ilvl w:val="0"/>
          <w:numId w:val="3"/>
        </w:numPr>
        <w:tabs>
          <w:tab w:val="left" w:pos="540"/>
          <w:tab w:val="clear" w:pos="425"/>
        </w:tabs>
        <w:spacing w:after="0" w:line="360" w:lineRule="auto"/>
        <w:ind w:left="425" w:leftChars="0" w:hanging="425" w:firstLineChars="0"/>
        <w:jc w:val="both"/>
        <w:rPr>
          <w:rFonts w:ascii="Times New Roman" w:hAnsi="Times New Roman"/>
          <w:sz w:val="24"/>
          <w:szCs w:val="24"/>
        </w:rPr>
      </w:pPr>
      <w:r>
        <w:rPr>
          <w:rFonts w:hint="default" w:ascii="Book Antiqua" w:hAnsi="Book Antiqua" w:cs="Book Antiqua"/>
          <w:b w:val="0"/>
          <w:bCs/>
          <w:i/>
          <w:iCs/>
          <w:sz w:val="24"/>
          <w:szCs w:val="24"/>
        </w:rPr>
        <w:t>Life Graduation</w:t>
      </w:r>
    </w:p>
    <w:p w14:paraId="434D6302">
      <w:pPr>
        <w:numPr>
          <w:ilvl w:val="0"/>
          <w:numId w:val="0"/>
        </w:numPr>
        <w:tabs>
          <w:tab w:val="left" w:pos="540"/>
        </w:tabs>
        <w:spacing w:after="0" w:line="240" w:lineRule="auto"/>
        <w:ind w:leftChars="0"/>
        <w:jc w:val="both"/>
        <w:rPr>
          <w:rFonts w:hint="default"/>
          <w:sz w:val="24"/>
          <w:szCs w:val="24"/>
          <w:lang w:val="en-US"/>
        </w:rPr>
      </w:pPr>
      <w:r>
        <w:rPr>
          <w:rFonts w:hint="default"/>
          <w:sz w:val="24"/>
          <w:szCs w:val="24"/>
          <w:lang w:val="en-US"/>
        </w:rPr>
        <w:tab/>
      </w:r>
      <w:r>
        <w:rPr>
          <w:rFonts w:hint="default" w:ascii="Times New Roman" w:hAnsi="Times New Roman"/>
          <w:sz w:val="24"/>
          <w:szCs w:val="24"/>
        </w:rPr>
        <w:t>Survival is a success rate of a number of fish tested within a certain period of time. This success rate is influenced by factors such as feed. survival (SR) is the percentage of the number of fish that are still alive after being fed and then calculated at the end of the study (Mudjiman, 2004)</w:t>
      </w:r>
      <w:r>
        <w:rPr>
          <w:rFonts w:hint="default"/>
          <w:sz w:val="24"/>
          <w:szCs w:val="24"/>
          <w:lang w:val="en-US"/>
        </w:rPr>
        <w:t>.</w:t>
      </w:r>
    </w:p>
    <w:p w14:paraId="6820A086">
      <w:pPr>
        <w:numPr>
          <w:ilvl w:val="0"/>
          <w:numId w:val="0"/>
        </w:numPr>
        <w:tabs>
          <w:tab w:val="left" w:pos="540"/>
        </w:tabs>
        <w:spacing w:after="0" w:line="240" w:lineRule="auto"/>
        <w:ind w:leftChars="0"/>
        <w:jc w:val="both"/>
        <w:rPr>
          <w:rFonts w:ascii="Times New Roman" w:hAnsi="Times New Roman"/>
          <w:sz w:val="24"/>
          <w:szCs w:val="24"/>
        </w:rPr>
      </w:pPr>
      <w:r>
        <w:rPr>
          <w:rFonts w:hint="default"/>
          <w:sz w:val="24"/>
          <w:szCs w:val="24"/>
          <w:lang w:val="en-US"/>
        </w:rPr>
        <w:tab/>
      </w:r>
      <w:r>
        <w:rPr>
          <w:rFonts w:ascii="Times New Roman" w:hAnsi="Times New Roman"/>
          <w:sz w:val="24"/>
          <w:szCs w:val="24"/>
        </w:rPr>
        <w:t>However, if poor water quality is not immediately corrected to normal, these fish will be susceptible to bacterial, fungal and protozoan infections. These diseases can result in the death of the fish, and can be transmitted from one to another quickly, resulting in mass mortality. The size of the fish itself determines its survival. A relatively small size or larvae, its survival will be small compared to fish that are already large or have become seeds.</w:t>
      </w:r>
    </w:p>
    <w:p w14:paraId="070867E0">
      <w:pPr>
        <w:numPr>
          <w:ilvl w:val="0"/>
          <w:numId w:val="0"/>
        </w:numPr>
        <w:tabs>
          <w:tab w:val="left" w:pos="540"/>
        </w:tabs>
        <w:spacing w:after="0" w:line="240" w:lineRule="auto"/>
        <w:ind w:leftChars="0"/>
        <w:jc w:val="both"/>
        <w:rPr>
          <w:rFonts w:ascii="Times New Roman" w:hAnsi="Times New Roman"/>
          <w:sz w:val="24"/>
          <w:szCs w:val="24"/>
        </w:rPr>
      </w:pPr>
    </w:p>
    <w:p w14:paraId="7F5F21E1">
      <w:pPr>
        <w:numPr>
          <w:ilvl w:val="0"/>
          <w:numId w:val="3"/>
        </w:numPr>
        <w:tabs>
          <w:tab w:val="left" w:pos="540"/>
          <w:tab w:val="clear" w:pos="425"/>
        </w:tabs>
        <w:spacing w:after="0" w:line="240" w:lineRule="auto"/>
        <w:ind w:left="425" w:leftChars="0" w:hanging="425" w:firstLineChars="0"/>
        <w:jc w:val="both"/>
        <w:rPr>
          <w:rFonts w:hint="default" w:ascii="Book Antiqua" w:hAnsi="Book Antiqua" w:cs="Book Antiqua"/>
          <w:i/>
          <w:iCs/>
          <w:sz w:val="24"/>
          <w:szCs w:val="24"/>
          <w:lang w:val="en-US"/>
        </w:rPr>
      </w:pPr>
      <w:r>
        <w:rPr>
          <w:rFonts w:hint="default" w:ascii="Book Antiqua" w:hAnsi="Book Antiqua" w:cs="Book Antiqua"/>
          <w:i/>
          <w:iCs/>
          <w:sz w:val="24"/>
          <w:szCs w:val="24"/>
          <w:lang w:val="en-US"/>
        </w:rPr>
        <w:t>Water Quality</w:t>
      </w:r>
    </w:p>
    <w:p w14:paraId="30DD7D65">
      <w:pPr>
        <w:numPr>
          <w:ilvl w:val="0"/>
          <w:numId w:val="0"/>
        </w:numPr>
        <w:tabs>
          <w:tab w:val="left" w:pos="540"/>
        </w:tabs>
        <w:spacing w:after="0" w:line="240" w:lineRule="auto"/>
        <w:ind w:leftChars="0"/>
        <w:jc w:val="both"/>
        <w:rPr>
          <w:rFonts w:hint="default" w:ascii="Times New Roman" w:hAnsi="Times New Roman"/>
          <w:sz w:val="24"/>
          <w:szCs w:val="24"/>
          <w:lang w:val="en-US"/>
        </w:rPr>
      </w:pPr>
      <w:r>
        <w:rPr>
          <w:rFonts w:hint="default" w:ascii="Times New Roman" w:hAnsi="Times New Roman"/>
          <w:sz w:val="24"/>
          <w:szCs w:val="24"/>
          <w:lang w:val="en-US"/>
        </w:rPr>
        <w:tab/>
      </w:r>
      <w:r>
        <w:rPr>
          <w:rFonts w:hint="default" w:ascii="Times New Roman" w:hAnsi="Times New Roman"/>
          <w:sz w:val="24"/>
          <w:szCs w:val="24"/>
          <w:lang w:val="en-US"/>
        </w:rPr>
        <w:t>Water quality is one of the factors that play an important role in aquaculture activities. Biota grow optimally in water quality that suits their needs (Ghufran, 2009). Water quality includes physical, chemical and biological properties of water. Physical properties include temperature, water brightness, turbidity, and water colour. Chemical properties of water include acidity (pH), dissolved oxygen (DO), carbohydrates, ammonia, and alkalinity, while biological properties of water include plankton, benthos, and aquatic plants. Some important water quality parameters in tilapia aquaculture are temperature, pH, dissolved oxygen, and ammonia. In order for the growth and development of tilapia to run well, these water quality parameters must be maintained so that the growth of tilapia seeds can take place optimally (Popma and Masser, 1999).</w:t>
      </w:r>
    </w:p>
    <w:p w14:paraId="24977476">
      <w:pPr>
        <w:numPr>
          <w:ilvl w:val="0"/>
          <w:numId w:val="0"/>
        </w:numPr>
        <w:tabs>
          <w:tab w:val="left" w:pos="540"/>
        </w:tabs>
        <w:spacing w:after="0" w:line="240" w:lineRule="auto"/>
        <w:ind w:leftChars="0"/>
        <w:jc w:val="both"/>
        <w:rPr>
          <w:rFonts w:hint="default" w:ascii="Book Antiqua" w:hAnsi="Book Antiqua" w:cs="Book Antiqua"/>
          <w:b w:val="0"/>
          <w:bCs/>
          <w:i/>
          <w:iCs/>
          <w:sz w:val="24"/>
          <w:szCs w:val="24"/>
          <w:lang w:val="en-US"/>
        </w:rPr>
      </w:pPr>
      <w:r>
        <w:rPr>
          <w:rFonts w:hint="default"/>
          <w:sz w:val="24"/>
          <w:szCs w:val="24"/>
          <w:lang w:val="en-US"/>
        </w:rPr>
        <w:tab/>
      </w:r>
      <w:r>
        <w:rPr>
          <w:rFonts w:hint="default" w:ascii="Times New Roman" w:hAnsi="Times New Roman"/>
          <w:sz w:val="24"/>
          <w:szCs w:val="24"/>
          <w:lang w:val="en-US"/>
        </w:rPr>
        <w:t xml:space="preserve">Water quality management includes salinity, acidity (pH), temperature, dissolved oxygen, and ammonia. Tilapia is a fish that is euryhaline so that its habitat is very wide, including fresh waters, river estuaries and brackish waters. The Agency for the Assessment and Application of Technology (2011) states that brackish water tilapia is tolerant of brackish and sea water with salinities reaching 20 ppt. Khairuman and Amri, (2002) stated that the optimum temperature for tilapia is 25-33°C. The ideal dissolved oxygen value for tilapia rearing ranges from 3.0-8.0 ppm (Djarijah, 2002). The acidity level of water (pH) where tilapia live ranges from 6-8.5. The optimal pH is 6.5-9 (Setyo, 2006). </w:t>
      </w:r>
    </w:p>
    <w:p w14:paraId="3780F2CF">
      <w:pPr>
        <w:numPr>
          <w:ilvl w:val="0"/>
          <w:numId w:val="2"/>
        </w:numPr>
        <w:spacing w:before="200" w:after="0" w:line="240" w:lineRule="auto"/>
        <w:ind w:left="480" w:leftChars="0" w:hanging="426" w:firstLineChars="0"/>
        <w:rPr>
          <w:rFonts w:hint="default" w:ascii="Book Antiqua" w:hAnsi="Book Antiqua" w:eastAsia="Wingdings" w:cs="Book Antiqua"/>
          <w:b w:val="0"/>
          <w:sz w:val="24"/>
          <w:szCs w:val="24"/>
          <w:lang w:val="id-ID"/>
        </w:rPr>
      </w:pPr>
      <w:r>
        <w:rPr>
          <w:rFonts w:hint="default" w:ascii="Book Antiqua" w:hAnsi="Book Antiqua" w:cs="Book Antiqua"/>
          <w:b/>
          <w:bCs w:val="0"/>
          <w:sz w:val="24"/>
          <w:szCs w:val="24"/>
          <w:lang w:val="id-ID"/>
        </w:rPr>
        <w:t xml:space="preserve">RESEARCH </w:t>
      </w:r>
      <w:r>
        <w:rPr>
          <w:rFonts w:hint="default" w:ascii="Book Antiqua" w:hAnsi="Book Antiqua" w:cs="Book Antiqua"/>
          <w:b w:val="0"/>
          <w:sz w:val="24"/>
          <w:szCs w:val="24"/>
          <w:lang w:val="id-ID"/>
        </w:rPr>
        <w:t xml:space="preserve">METHODOLOGY </w:t>
      </w:r>
    </w:p>
    <w:p w14:paraId="09D0C55A">
      <w:pPr>
        <w:pStyle w:val="57"/>
        <w:spacing w:line="240" w:lineRule="auto"/>
        <w:ind w:left="0" w:firstLine="720"/>
        <w:jc w:val="both"/>
        <w:rPr>
          <w:rFonts w:hint="default" w:ascii="Times New Roman" w:hAnsi="Times New Roman"/>
          <w:sz w:val="24"/>
          <w:szCs w:val="24"/>
        </w:rPr>
      </w:pPr>
      <w:r>
        <w:rPr>
          <w:rFonts w:hint="default" w:ascii="Times New Roman" w:hAnsi="Times New Roman"/>
          <w:sz w:val="24"/>
          <w:szCs w:val="24"/>
        </w:rPr>
        <w:t>This research was conducted in January - February 2025 in Sicanang Pond, Medan Belawan Village.</w:t>
      </w:r>
    </w:p>
    <w:p w14:paraId="19B36EB3">
      <w:pPr>
        <w:pStyle w:val="57"/>
        <w:spacing w:line="240" w:lineRule="auto"/>
        <w:ind w:left="0" w:firstLine="720"/>
        <w:jc w:val="both"/>
        <w:rPr>
          <w:rFonts w:ascii="Times New Roman" w:hAnsi="Times New Roman"/>
          <w:sz w:val="24"/>
          <w:szCs w:val="24"/>
        </w:rPr>
      </w:pPr>
      <w:r>
        <w:rPr>
          <w:rFonts w:ascii="Times New Roman" w:hAnsi="Times New Roman"/>
          <w:sz w:val="24"/>
          <w:szCs w:val="24"/>
        </w:rPr>
        <w:t xml:space="preserve">The research method used is the experimental method. Silalahi (2003) states that experimental research basically wants to test the relationship between a cause and an effect. This research generally aims to determine the cause and effect relationship by giving a dose treatment of </w:t>
      </w:r>
      <w:r>
        <w:rPr>
          <w:rFonts w:ascii="Times New Roman" w:hAnsi="Times New Roman"/>
          <w:iCs/>
          <w:sz w:val="24"/>
          <w:szCs w:val="24"/>
        </w:rPr>
        <w:t xml:space="preserve">EM-4 </w:t>
      </w:r>
      <w:r>
        <w:rPr>
          <w:rFonts w:ascii="Times New Roman" w:hAnsi="Times New Roman"/>
          <w:sz w:val="24"/>
          <w:szCs w:val="24"/>
        </w:rPr>
        <w:t xml:space="preserve">probiotics in fish feed on the survival and growth rate of brackish tilapia larvae. </w:t>
      </w:r>
    </w:p>
    <w:p w14:paraId="27A977C7">
      <w:pPr>
        <w:pStyle w:val="57"/>
        <w:spacing w:line="240" w:lineRule="auto"/>
        <w:ind w:left="0" w:firstLine="720"/>
        <w:jc w:val="both"/>
        <w:rPr>
          <w:rFonts w:ascii="Times New Roman" w:hAnsi="Times New Roman"/>
          <w:sz w:val="24"/>
          <w:szCs w:val="24"/>
        </w:rPr>
      </w:pPr>
    </w:p>
    <w:p w14:paraId="625DBE7C">
      <w:pPr>
        <w:pStyle w:val="57"/>
        <w:spacing w:line="240" w:lineRule="auto"/>
        <w:ind w:left="0" w:firstLine="720"/>
        <w:jc w:val="both"/>
        <w:rPr>
          <w:rFonts w:ascii="Times New Roman" w:hAnsi="Times New Roman"/>
          <w:sz w:val="24"/>
          <w:szCs w:val="24"/>
        </w:rPr>
      </w:pPr>
    </w:p>
    <w:p w14:paraId="300E544A">
      <w:pPr>
        <w:numPr>
          <w:ilvl w:val="0"/>
          <w:numId w:val="2"/>
        </w:numPr>
        <w:spacing w:before="200" w:after="0" w:line="240" w:lineRule="auto"/>
        <w:ind w:left="480" w:leftChars="0" w:hanging="426" w:firstLineChars="0"/>
        <w:jc w:val="both"/>
        <w:rPr>
          <w:rFonts w:hint="default" w:ascii="Book Antiqua" w:hAnsi="Book Antiqua" w:cs="Book Antiqua"/>
          <w:b/>
          <w:sz w:val="24"/>
          <w:lang w:val="id-ID"/>
        </w:rPr>
      </w:pPr>
      <w:r>
        <w:rPr>
          <w:rFonts w:hint="default" w:ascii="Book Antiqua" w:hAnsi="Book Antiqua" w:cs="Book Antiqua"/>
          <w:b/>
          <w:sz w:val="24"/>
          <w:lang w:val="id-ID"/>
        </w:rPr>
        <w:t>RESULTS AND DISCUSSION</w:t>
      </w:r>
    </w:p>
    <w:p w14:paraId="69AA5FE7">
      <w:pPr>
        <w:numPr>
          <w:ilvl w:val="0"/>
          <w:numId w:val="4"/>
        </w:numPr>
        <w:spacing w:after="0" w:line="360" w:lineRule="auto"/>
        <w:ind w:left="425" w:leftChars="0" w:hanging="425" w:firstLineChars="0"/>
        <w:jc w:val="both"/>
        <w:rPr>
          <w:rFonts w:hint="default" w:ascii="Book Antiqua" w:hAnsi="Book Antiqua" w:cs="Book Antiqua"/>
          <w:b w:val="0"/>
          <w:bCs/>
          <w:i/>
          <w:iCs/>
          <w:sz w:val="24"/>
          <w:szCs w:val="24"/>
          <w:lang w:val="en-US"/>
        </w:rPr>
      </w:pPr>
      <w:r>
        <w:rPr>
          <w:rFonts w:hint="default" w:ascii="Book Antiqua" w:hAnsi="Book Antiqua" w:cs="Book Antiqua"/>
          <w:b w:val="0"/>
          <w:bCs/>
          <w:i/>
          <w:iCs/>
          <w:sz w:val="24"/>
          <w:szCs w:val="24"/>
        </w:rPr>
        <w:t xml:space="preserve">Live Graduation of </w:t>
      </w:r>
      <w:r>
        <w:rPr>
          <w:rFonts w:hint="default" w:ascii="Book Antiqua" w:hAnsi="Book Antiqua" w:cs="Book Antiqua"/>
          <w:b w:val="0"/>
          <w:bCs/>
          <w:i/>
          <w:iCs/>
          <w:sz w:val="24"/>
          <w:szCs w:val="24"/>
          <w:lang w:val="en-US"/>
        </w:rPr>
        <w:t>Tilapia Larvae</w:t>
      </w:r>
    </w:p>
    <w:p w14:paraId="482E1D13">
      <w:pPr>
        <w:spacing w:after="0" w:line="240" w:lineRule="auto"/>
        <w:ind w:firstLine="720"/>
        <w:jc w:val="both"/>
        <w:rPr>
          <w:rFonts w:ascii="Times New Roman" w:hAnsi="Times New Roman" w:eastAsia="Times New Roman"/>
          <w:sz w:val="24"/>
          <w:szCs w:val="24"/>
          <w:lang w:eastAsia="id-ID"/>
        </w:rPr>
      </w:pPr>
      <w:r>
        <w:rPr>
          <w:rFonts w:ascii="Times New Roman" w:hAnsi="Times New Roman" w:eastAsia="Times New Roman"/>
          <w:sz w:val="24"/>
          <w:szCs w:val="24"/>
          <w:lang w:eastAsia="id-ID"/>
        </w:rPr>
        <w:t xml:space="preserve">The percentage of survival of </w:t>
      </w:r>
      <w:r>
        <w:rPr>
          <w:rFonts w:ascii="Times New Roman" w:hAnsi="Times New Roman" w:eastAsia="Times New Roman"/>
          <w:sz w:val="24"/>
          <w:szCs w:val="24"/>
          <w:lang w:val="en-US" w:eastAsia="id-ID"/>
        </w:rPr>
        <w:t xml:space="preserve">brackish tilapia larvae sprayed with EM-4 probiotic </w:t>
      </w:r>
      <w:r>
        <w:rPr>
          <w:rFonts w:ascii="Times New Roman" w:hAnsi="Times New Roman" w:eastAsia="Times New Roman"/>
          <w:sz w:val="24"/>
          <w:szCs w:val="24"/>
          <w:lang w:eastAsia="id-ID"/>
        </w:rPr>
        <w:t xml:space="preserve">after 30 days of research can be seen in Table 3. </w:t>
      </w:r>
    </w:p>
    <w:p w14:paraId="1EC71B1F">
      <w:pPr>
        <w:spacing w:after="0" w:line="240" w:lineRule="auto"/>
        <w:ind w:left="882" w:hanging="879" w:hangingChars="366"/>
        <w:jc w:val="center"/>
        <w:rPr>
          <w:rFonts w:ascii="Times New Roman" w:hAnsi="Times New Roman" w:eastAsia="Times New Roman"/>
          <w:b/>
          <w:sz w:val="24"/>
          <w:szCs w:val="24"/>
          <w:lang w:eastAsia="id-ID"/>
        </w:rPr>
      </w:pPr>
      <w:r>
        <w:rPr>
          <w:rFonts w:ascii="Times New Roman" w:hAnsi="Times New Roman" w:eastAsia="Times New Roman"/>
          <w:b/>
          <w:sz w:val="24"/>
          <w:szCs w:val="24"/>
          <w:lang w:eastAsia="id-ID"/>
        </w:rPr>
        <w:t xml:space="preserve">Table </w:t>
      </w:r>
      <w:r>
        <w:rPr>
          <w:rFonts w:ascii="Times New Roman" w:hAnsi="Times New Roman" w:eastAsia="Times New Roman"/>
          <w:b/>
          <w:sz w:val="24"/>
          <w:szCs w:val="24"/>
          <w:lang w:val="fi-FI" w:eastAsia="id-ID"/>
        </w:rPr>
        <w:t>3</w:t>
      </w:r>
      <w:r>
        <w:rPr>
          <w:rFonts w:ascii="Times New Roman" w:hAnsi="Times New Roman" w:eastAsia="Times New Roman"/>
          <w:b/>
          <w:sz w:val="24"/>
          <w:szCs w:val="24"/>
          <w:lang w:eastAsia="id-ID"/>
        </w:rPr>
        <w:t xml:space="preserve">. Survival rate of </w:t>
      </w:r>
      <w:r>
        <w:rPr>
          <w:rFonts w:ascii="Times New Roman" w:hAnsi="Times New Roman" w:eastAsia="Times New Roman"/>
          <w:b/>
          <w:sz w:val="24"/>
          <w:szCs w:val="24"/>
          <w:lang w:val="fi-FI" w:eastAsia="id-ID"/>
        </w:rPr>
        <w:t>Tilapia larvae (</w:t>
      </w:r>
      <w:r>
        <w:rPr>
          <w:rFonts w:ascii="Times New Roman" w:hAnsi="Times New Roman" w:eastAsia="Times New Roman"/>
          <w:b/>
          <w:i/>
          <w:iCs/>
          <w:sz w:val="24"/>
          <w:szCs w:val="24"/>
          <w:lang w:val="fi-FI" w:eastAsia="id-ID"/>
        </w:rPr>
        <w:t>Oreochromis niloticus</w:t>
      </w:r>
      <w:r>
        <w:rPr>
          <w:rFonts w:ascii="Times New Roman" w:hAnsi="Times New Roman" w:eastAsia="Times New Roman"/>
          <w:b/>
          <w:sz w:val="24"/>
          <w:szCs w:val="24"/>
          <w:lang w:val="fi-FI" w:eastAsia="id-ID"/>
        </w:rPr>
        <w:t xml:space="preserve">) </w:t>
      </w:r>
      <w:r>
        <w:rPr>
          <w:rFonts w:ascii="Times New Roman" w:hAnsi="Times New Roman" w:eastAsia="Times New Roman"/>
          <w:b/>
          <w:sz w:val="24"/>
          <w:szCs w:val="24"/>
          <w:lang w:eastAsia="id-ID"/>
        </w:rPr>
        <w:t>during the study.</w:t>
      </w:r>
    </w:p>
    <w:tbl>
      <w:tblPr>
        <w:tblStyle w:val="7"/>
        <w:tblW w:w="8127" w:type="dxa"/>
        <w:tblInd w:w="93" w:type="dxa"/>
        <w:tblLayout w:type="fixed"/>
        <w:tblCellMar>
          <w:top w:w="0" w:type="dxa"/>
          <w:left w:w="108" w:type="dxa"/>
          <w:bottom w:w="0" w:type="dxa"/>
          <w:right w:w="108" w:type="dxa"/>
        </w:tblCellMar>
      </w:tblPr>
      <w:tblGrid>
        <w:gridCol w:w="1722"/>
        <w:gridCol w:w="1564"/>
        <w:gridCol w:w="1585"/>
        <w:gridCol w:w="1586"/>
        <w:gridCol w:w="1670"/>
      </w:tblGrid>
      <w:tr w14:paraId="2CE345C2">
        <w:tblPrEx>
          <w:tblCellMar>
            <w:top w:w="0" w:type="dxa"/>
            <w:left w:w="108" w:type="dxa"/>
            <w:bottom w:w="0" w:type="dxa"/>
            <w:right w:w="108" w:type="dxa"/>
          </w:tblCellMar>
        </w:tblPrEx>
        <w:trPr>
          <w:trHeight w:val="342" w:hRule="atLeast"/>
        </w:trPr>
        <w:tc>
          <w:tcPr>
            <w:tcW w:w="1722" w:type="dxa"/>
            <w:vMerge w:val="restart"/>
            <w:tcBorders>
              <w:top w:val="single" w:color="auto" w:sz="4" w:space="0"/>
              <w:left w:val="nil"/>
              <w:bottom w:val="single" w:color="000000" w:sz="4" w:space="0"/>
              <w:right w:val="nil"/>
            </w:tcBorders>
            <w:shd w:val="clear" w:color="auto" w:fill="auto"/>
            <w:noWrap/>
            <w:vAlign w:val="center"/>
          </w:tcPr>
          <w:p w14:paraId="57682E41">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Repeat</w:t>
            </w:r>
          </w:p>
        </w:tc>
        <w:tc>
          <w:tcPr>
            <w:tcW w:w="6405" w:type="dxa"/>
            <w:gridSpan w:val="4"/>
            <w:tcBorders>
              <w:top w:val="single" w:color="auto" w:sz="4" w:space="0"/>
              <w:left w:val="nil"/>
              <w:bottom w:val="single" w:color="auto" w:sz="4" w:space="0"/>
              <w:right w:val="nil"/>
            </w:tcBorders>
            <w:shd w:val="clear" w:color="auto" w:fill="auto"/>
            <w:noWrap/>
            <w:vAlign w:val="center"/>
          </w:tcPr>
          <w:p w14:paraId="52C36414">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Treatment</w:t>
            </w:r>
          </w:p>
        </w:tc>
      </w:tr>
      <w:tr w14:paraId="435A52B3">
        <w:tblPrEx>
          <w:tblCellMar>
            <w:top w:w="0" w:type="dxa"/>
            <w:left w:w="108" w:type="dxa"/>
            <w:bottom w:w="0" w:type="dxa"/>
            <w:right w:w="108" w:type="dxa"/>
          </w:tblCellMar>
        </w:tblPrEx>
        <w:trPr>
          <w:trHeight w:val="427" w:hRule="atLeast"/>
        </w:trPr>
        <w:tc>
          <w:tcPr>
            <w:tcW w:w="1722" w:type="dxa"/>
            <w:vMerge w:val="continue"/>
            <w:tcBorders>
              <w:top w:val="single" w:color="auto" w:sz="4" w:space="0"/>
              <w:left w:val="nil"/>
              <w:bottom w:val="single" w:color="000000" w:sz="4" w:space="0"/>
              <w:right w:val="nil"/>
            </w:tcBorders>
            <w:vAlign w:val="center"/>
          </w:tcPr>
          <w:p w14:paraId="25F7EBEF">
            <w:pPr>
              <w:jc w:val="center"/>
              <w:rPr>
                <w:rFonts w:ascii="Times New Roman" w:hAnsi="Times New Roman" w:eastAsia="Times New Roman"/>
                <w:color w:val="000000"/>
                <w:sz w:val="24"/>
                <w:szCs w:val="24"/>
                <w:lang w:val="en-GB" w:eastAsia="en-GB"/>
              </w:rPr>
            </w:pPr>
          </w:p>
        </w:tc>
        <w:tc>
          <w:tcPr>
            <w:tcW w:w="1564" w:type="dxa"/>
            <w:tcBorders>
              <w:top w:val="nil"/>
              <w:left w:val="nil"/>
              <w:bottom w:val="single" w:color="auto" w:sz="4" w:space="0"/>
              <w:right w:val="nil"/>
            </w:tcBorders>
            <w:shd w:val="clear" w:color="auto" w:fill="auto"/>
            <w:noWrap/>
            <w:vAlign w:val="center"/>
          </w:tcPr>
          <w:p w14:paraId="3322FC1A">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A</w:t>
            </w:r>
          </w:p>
        </w:tc>
        <w:tc>
          <w:tcPr>
            <w:tcW w:w="1585" w:type="dxa"/>
            <w:tcBorders>
              <w:top w:val="nil"/>
              <w:left w:val="nil"/>
              <w:bottom w:val="single" w:color="auto" w:sz="4" w:space="0"/>
              <w:right w:val="nil"/>
            </w:tcBorders>
            <w:shd w:val="clear" w:color="auto" w:fill="auto"/>
            <w:noWrap/>
            <w:vAlign w:val="center"/>
          </w:tcPr>
          <w:p w14:paraId="602E47D6">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B</w:t>
            </w:r>
          </w:p>
        </w:tc>
        <w:tc>
          <w:tcPr>
            <w:tcW w:w="1586" w:type="dxa"/>
            <w:tcBorders>
              <w:top w:val="nil"/>
              <w:left w:val="nil"/>
              <w:bottom w:val="single" w:color="auto" w:sz="4" w:space="0"/>
              <w:right w:val="nil"/>
            </w:tcBorders>
            <w:shd w:val="clear" w:color="auto" w:fill="auto"/>
            <w:noWrap/>
            <w:vAlign w:val="center"/>
          </w:tcPr>
          <w:p w14:paraId="6A86C723">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C</w:t>
            </w:r>
          </w:p>
        </w:tc>
        <w:tc>
          <w:tcPr>
            <w:tcW w:w="1670" w:type="dxa"/>
            <w:tcBorders>
              <w:top w:val="nil"/>
              <w:left w:val="nil"/>
              <w:bottom w:val="single" w:color="auto" w:sz="4" w:space="0"/>
              <w:right w:val="nil"/>
            </w:tcBorders>
            <w:shd w:val="clear" w:color="auto" w:fill="auto"/>
            <w:noWrap/>
            <w:vAlign w:val="center"/>
          </w:tcPr>
          <w:p w14:paraId="4F928738">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D</w:t>
            </w:r>
          </w:p>
        </w:tc>
      </w:tr>
      <w:tr w14:paraId="23D0B174">
        <w:tblPrEx>
          <w:tblCellMar>
            <w:top w:w="0" w:type="dxa"/>
            <w:left w:w="108" w:type="dxa"/>
            <w:bottom w:w="0" w:type="dxa"/>
            <w:right w:w="108" w:type="dxa"/>
          </w:tblCellMar>
        </w:tblPrEx>
        <w:trPr>
          <w:trHeight w:val="412" w:hRule="atLeast"/>
        </w:trPr>
        <w:tc>
          <w:tcPr>
            <w:tcW w:w="1722" w:type="dxa"/>
            <w:tcBorders>
              <w:top w:val="nil"/>
              <w:left w:val="nil"/>
              <w:bottom w:val="single" w:color="auto" w:sz="4" w:space="0"/>
              <w:right w:val="nil"/>
            </w:tcBorders>
            <w:shd w:val="clear" w:color="auto" w:fill="auto"/>
            <w:noWrap/>
            <w:vAlign w:val="center"/>
          </w:tcPr>
          <w:p w14:paraId="7B237152">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w:t>
            </w:r>
          </w:p>
        </w:tc>
        <w:tc>
          <w:tcPr>
            <w:tcW w:w="1564" w:type="dxa"/>
            <w:tcBorders>
              <w:top w:val="nil"/>
              <w:left w:val="nil"/>
              <w:bottom w:val="single" w:color="auto" w:sz="4" w:space="0"/>
              <w:right w:val="nil"/>
            </w:tcBorders>
            <w:shd w:val="clear" w:color="auto" w:fill="auto"/>
            <w:noWrap/>
            <w:vAlign w:val="center"/>
          </w:tcPr>
          <w:p w14:paraId="19BF3DE5">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98.89</w:t>
            </w:r>
          </w:p>
        </w:tc>
        <w:tc>
          <w:tcPr>
            <w:tcW w:w="1585" w:type="dxa"/>
            <w:tcBorders>
              <w:top w:val="nil"/>
              <w:left w:val="nil"/>
              <w:bottom w:val="single" w:color="auto" w:sz="4" w:space="0"/>
              <w:right w:val="nil"/>
            </w:tcBorders>
            <w:shd w:val="clear" w:color="auto" w:fill="auto"/>
            <w:noWrap/>
            <w:vAlign w:val="center"/>
          </w:tcPr>
          <w:p w14:paraId="58B62B45">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97.78</w:t>
            </w:r>
          </w:p>
        </w:tc>
        <w:tc>
          <w:tcPr>
            <w:tcW w:w="1586" w:type="dxa"/>
            <w:tcBorders>
              <w:top w:val="nil"/>
              <w:left w:val="nil"/>
              <w:bottom w:val="single" w:color="auto" w:sz="4" w:space="0"/>
              <w:right w:val="nil"/>
            </w:tcBorders>
            <w:shd w:val="clear" w:color="auto" w:fill="auto"/>
            <w:noWrap/>
            <w:vAlign w:val="center"/>
          </w:tcPr>
          <w:p w14:paraId="5FA6CEEE">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c>
          <w:tcPr>
            <w:tcW w:w="1670" w:type="dxa"/>
            <w:tcBorders>
              <w:top w:val="nil"/>
              <w:left w:val="nil"/>
              <w:bottom w:val="single" w:color="auto" w:sz="4" w:space="0"/>
              <w:right w:val="nil"/>
            </w:tcBorders>
            <w:shd w:val="clear" w:color="auto" w:fill="auto"/>
            <w:noWrap/>
            <w:vAlign w:val="center"/>
          </w:tcPr>
          <w:p w14:paraId="1D5D6AA3">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r>
      <w:tr w14:paraId="784F99F5">
        <w:tblPrEx>
          <w:tblCellMar>
            <w:top w:w="0" w:type="dxa"/>
            <w:left w:w="108" w:type="dxa"/>
            <w:bottom w:w="0" w:type="dxa"/>
            <w:right w:w="108" w:type="dxa"/>
          </w:tblCellMar>
        </w:tblPrEx>
        <w:trPr>
          <w:trHeight w:val="330" w:hRule="atLeast"/>
        </w:trPr>
        <w:tc>
          <w:tcPr>
            <w:tcW w:w="1722" w:type="dxa"/>
            <w:tcBorders>
              <w:top w:val="nil"/>
              <w:left w:val="nil"/>
              <w:bottom w:val="single" w:color="auto" w:sz="4" w:space="0"/>
              <w:right w:val="nil"/>
            </w:tcBorders>
            <w:shd w:val="clear" w:color="auto" w:fill="auto"/>
            <w:noWrap/>
            <w:vAlign w:val="center"/>
          </w:tcPr>
          <w:p w14:paraId="18347880">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2</w:t>
            </w:r>
          </w:p>
        </w:tc>
        <w:tc>
          <w:tcPr>
            <w:tcW w:w="1564" w:type="dxa"/>
            <w:tcBorders>
              <w:top w:val="nil"/>
              <w:left w:val="nil"/>
              <w:bottom w:val="single" w:color="auto" w:sz="4" w:space="0"/>
              <w:right w:val="nil"/>
            </w:tcBorders>
            <w:shd w:val="clear" w:color="auto" w:fill="auto"/>
            <w:noWrap/>
            <w:vAlign w:val="center"/>
          </w:tcPr>
          <w:p w14:paraId="2FFF734F">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c>
          <w:tcPr>
            <w:tcW w:w="1585" w:type="dxa"/>
            <w:tcBorders>
              <w:top w:val="nil"/>
              <w:left w:val="nil"/>
              <w:bottom w:val="single" w:color="auto" w:sz="4" w:space="0"/>
              <w:right w:val="nil"/>
            </w:tcBorders>
            <w:shd w:val="clear" w:color="auto" w:fill="auto"/>
            <w:noWrap/>
            <w:vAlign w:val="center"/>
          </w:tcPr>
          <w:p w14:paraId="75F76900">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c>
          <w:tcPr>
            <w:tcW w:w="1586" w:type="dxa"/>
            <w:tcBorders>
              <w:top w:val="nil"/>
              <w:left w:val="nil"/>
              <w:bottom w:val="single" w:color="auto" w:sz="4" w:space="0"/>
              <w:right w:val="nil"/>
            </w:tcBorders>
            <w:shd w:val="clear" w:color="auto" w:fill="auto"/>
            <w:noWrap/>
            <w:vAlign w:val="center"/>
          </w:tcPr>
          <w:p w14:paraId="2F8413E5">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c>
          <w:tcPr>
            <w:tcW w:w="1670" w:type="dxa"/>
            <w:tcBorders>
              <w:top w:val="nil"/>
              <w:left w:val="nil"/>
              <w:bottom w:val="single" w:color="auto" w:sz="4" w:space="0"/>
              <w:right w:val="nil"/>
            </w:tcBorders>
            <w:shd w:val="clear" w:color="auto" w:fill="auto"/>
            <w:noWrap/>
            <w:vAlign w:val="center"/>
          </w:tcPr>
          <w:p w14:paraId="78FC0B6F">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r>
      <w:tr w14:paraId="263AEBE2">
        <w:tblPrEx>
          <w:tblCellMar>
            <w:top w:w="0" w:type="dxa"/>
            <w:left w:w="108" w:type="dxa"/>
            <w:bottom w:w="0" w:type="dxa"/>
            <w:right w:w="108" w:type="dxa"/>
          </w:tblCellMar>
        </w:tblPrEx>
        <w:trPr>
          <w:trHeight w:val="330" w:hRule="atLeast"/>
        </w:trPr>
        <w:tc>
          <w:tcPr>
            <w:tcW w:w="1722" w:type="dxa"/>
            <w:tcBorders>
              <w:top w:val="nil"/>
              <w:left w:val="nil"/>
              <w:bottom w:val="single" w:color="auto" w:sz="4" w:space="0"/>
              <w:right w:val="nil"/>
            </w:tcBorders>
            <w:shd w:val="clear" w:color="auto" w:fill="auto"/>
            <w:noWrap/>
            <w:vAlign w:val="center"/>
          </w:tcPr>
          <w:p w14:paraId="20D236EE">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3</w:t>
            </w:r>
          </w:p>
        </w:tc>
        <w:tc>
          <w:tcPr>
            <w:tcW w:w="1564" w:type="dxa"/>
            <w:tcBorders>
              <w:top w:val="nil"/>
              <w:left w:val="nil"/>
              <w:bottom w:val="single" w:color="auto" w:sz="4" w:space="0"/>
              <w:right w:val="nil"/>
            </w:tcBorders>
            <w:shd w:val="clear" w:color="auto" w:fill="auto"/>
            <w:noWrap/>
            <w:vAlign w:val="center"/>
          </w:tcPr>
          <w:p w14:paraId="3B9203BB">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c>
          <w:tcPr>
            <w:tcW w:w="1585" w:type="dxa"/>
            <w:tcBorders>
              <w:top w:val="nil"/>
              <w:left w:val="nil"/>
              <w:bottom w:val="single" w:color="auto" w:sz="4" w:space="0"/>
              <w:right w:val="nil"/>
            </w:tcBorders>
            <w:shd w:val="clear" w:color="auto" w:fill="auto"/>
            <w:noWrap/>
            <w:vAlign w:val="center"/>
          </w:tcPr>
          <w:p w14:paraId="6BA5EA68">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98.89</w:t>
            </w:r>
          </w:p>
        </w:tc>
        <w:tc>
          <w:tcPr>
            <w:tcW w:w="1586" w:type="dxa"/>
            <w:tcBorders>
              <w:top w:val="nil"/>
              <w:left w:val="nil"/>
              <w:bottom w:val="single" w:color="auto" w:sz="4" w:space="0"/>
              <w:right w:val="nil"/>
            </w:tcBorders>
            <w:shd w:val="clear" w:color="auto" w:fill="auto"/>
            <w:noWrap/>
            <w:vAlign w:val="center"/>
          </w:tcPr>
          <w:p w14:paraId="571E90F0">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c>
          <w:tcPr>
            <w:tcW w:w="1670" w:type="dxa"/>
            <w:tcBorders>
              <w:top w:val="nil"/>
              <w:left w:val="nil"/>
              <w:bottom w:val="single" w:color="auto" w:sz="4" w:space="0"/>
              <w:right w:val="nil"/>
            </w:tcBorders>
            <w:shd w:val="clear" w:color="auto" w:fill="auto"/>
            <w:noWrap/>
            <w:vAlign w:val="center"/>
          </w:tcPr>
          <w:p w14:paraId="4AAB3C73">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color w:val="000000"/>
                <w:sz w:val="24"/>
                <w:szCs w:val="24"/>
                <w:lang w:val="en-US" w:eastAsia="zh-CN"/>
              </w:rPr>
              <w:t>100</w:t>
            </w:r>
          </w:p>
        </w:tc>
      </w:tr>
      <w:tr w14:paraId="3C1445D6">
        <w:tblPrEx>
          <w:tblCellMar>
            <w:top w:w="0" w:type="dxa"/>
            <w:left w:w="108" w:type="dxa"/>
            <w:bottom w:w="0" w:type="dxa"/>
            <w:right w:w="108" w:type="dxa"/>
          </w:tblCellMar>
        </w:tblPrEx>
        <w:trPr>
          <w:trHeight w:val="330" w:hRule="atLeast"/>
        </w:trPr>
        <w:tc>
          <w:tcPr>
            <w:tcW w:w="1722" w:type="dxa"/>
            <w:tcBorders>
              <w:top w:val="nil"/>
              <w:left w:val="nil"/>
              <w:bottom w:val="single" w:color="auto" w:sz="4" w:space="0"/>
              <w:right w:val="nil"/>
            </w:tcBorders>
            <w:shd w:val="clear" w:color="auto" w:fill="auto"/>
            <w:noWrap/>
            <w:vAlign w:val="center"/>
          </w:tcPr>
          <w:p w14:paraId="3D780A5A">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Total</w:t>
            </w:r>
          </w:p>
        </w:tc>
        <w:tc>
          <w:tcPr>
            <w:tcW w:w="1564" w:type="dxa"/>
            <w:tcBorders>
              <w:top w:val="nil"/>
              <w:left w:val="nil"/>
              <w:bottom w:val="single" w:color="auto" w:sz="4" w:space="0"/>
              <w:right w:val="nil"/>
            </w:tcBorders>
            <w:shd w:val="clear" w:color="auto" w:fill="auto"/>
            <w:noWrap/>
            <w:vAlign w:val="center"/>
          </w:tcPr>
          <w:p w14:paraId="413202F3">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298.89</w:t>
            </w:r>
          </w:p>
        </w:tc>
        <w:tc>
          <w:tcPr>
            <w:tcW w:w="1585" w:type="dxa"/>
            <w:tcBorders>
              <w:top w:val="nil"/>
              <w:left w:val="nil"/>
              <w:bottom w:val="single" w:color="auto" w:sz="4" w:space="0"/>
              <w:right w:val="nil"/>
            </w:tcBorders>
            <w:shd w:val="clear" w:color="auto" w:fill="auto"/>
            <w:noWrap/>
            <w:vAlign w:val="center"/>
          </w:tcPr>
          <w:p w14:paraId="36A7FF77">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296.67</w:t>
            </w:r>
          </w:p>
        </w:tc>
        <w:tc>
          <w:tcPr>
            <w:tcW w:w="1586" w:type="dxa"/>
            <w:tcBorders>
              <w:top w:val="nil"/>
              <w:left w:val="nil"/>
              <w:bottom w:val="single" w:color="auto" w:sz="4" w:space="0"/>
              <w:right w:val="nil"/>
            </w:tcBorders>
            <w:shd w:val="clear" w:color="auto" w:fill="auto"/>
            <w:noWrap/>
            <w:vAlign w:val="center"/>
          </w:tcPr>
          <w:p w14:paraId="6600543E">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300</w:t>
            </w:r>
          </w:p>
        </w:tc>
        <w:tc>
          <w:tcPr>
            <w:tcW w:w="1670" w:type="dxa"/>
            <w:tcBorders>
              <w:top w:val="nil"/>
              <w:left w:val="nil"/>
              <w:bottom w:val="single" w:color="auto" w:sz="4" w:space="0"/>
              <w:right w:val="nil"/>
            </w:tcBorders>
            <w:shd w:val="clear" w:color="auto" w:fill="auto"/>
            <w:noWrap/>
            <w:vAlign w:val="center"/>
          </w:tcPr>
          <w:p w14:paraId="35ACAA76">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300</w:t>
            </w:r>
          </w:p>
        </w:tc>
      </w:tr>
      <w:tr w14:paraId="524599E1">
        <w:tblPrEx>
          <w:tblCellMar>
            <w:top w:w="0" w:type="dxa"/>
            <w:left w:w="108" w:type="dxa"/>
            <w:bottom w:w="0" w:type="dxa"/>
            <w:right w:w="108" w:type="dxa"/>
          </w:tblCellMar>
        </w:tblPrEx>
        <w:trPr>
          <w:trHeight w:val="315" w:hRule="atLeast"/>
        </w:trPr>
        <w:tc>
          <w:tcPr>
            <w:tcW w:w="1722" w:type="dxa"/>
            <w:tcBorders>
              <w:top w:val="nil"/>
              <w:left w:val="nil"/>
              <w:bottom w:val="single" w:color="auto" w:sz="4" w:space="0"/>
              <w:right w:val="nil"/>
            </w:tcBorders>
            <w:shd w:val="clear" w:color="auto" w:fill="auto"/>
            <w:noWrap/>
            <w:vAlign w:val="center"/>
          </w:tcPr>
          <w:p w14:paraId="70C7FBD4">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Average</w:t>
            </w:r>
          </w:p>
        </w:tc>
        <w:tc>
          <w:tcPr>
            <w:tcW w:w="1564" w:type="dxa"/>
            <w:tcBorders>
              <w:top w:val="nil"/>
              <w:left w:val="nil"/>
              <w:bottom w:val="single" w:color="auto" w:sz="4" w:space="0"/>
              <w:right w:val="nil"/>
            </w:tcBorders>
            <w:shd w:val="clear" w:color="auto" w:fill="auto"/>
            <w:noWrap/>
            <w:vAlign w:val="center"/>
          </w:tcPr>
          <w:p w14:paraId="4314F318">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99.63</w:t>
            </w:r>
          </w:p>
        </w:tc>
        <w:tc>
          <w:tcPr>
            <w:tcW w:w="1585" w:type="dxa"/>
            <w:tcBorders>
              <w:top w:val="nil"/>
              <w:left w:val="nil"/>
              <w:bottom w:val="single" w:color="auto" w:sz="4" w:space="0"/>
              <w:right w:val="nil"/>
            </w:tcBorders>
            <w:shd w:val="clear" w:color="auto" w:fill="auto"/>
            <w:noWrap/>
            <w:vAlign w:val="center"/>
          </w:tcPr>
          <w:p w14:paraId="15BEBBF5">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98.89</w:t>
            </w:r>
          </w:p>
        </w:tc>
        <w:tc>
          <w:tcPr>
            <w:tcW w:w="1586" w:type="dxa"/>
            <w:tcBorders>
              <w:top w:val="nil"/>
              <w:left w:val="nil"/>
              <w:bottom w:val="single" w:color="auto" w:sz="4" w:space="0"/>
              <w:right w:val="nil"/>
            </w:tcBorders>
            <w:shd w:val="clear" w:color="auto" w:fill="auto"/>
            <w:noWrap/>
            <w:vAlign w:val="center"/>
          </w:tcPr>
          <w:p w14:paraId="513D707B">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100.00</w:t>
            </w:r>
          </w:p>
        </w:tc>
        <w:tc>
          <w:tcPr>
            <w:tcW w:w="1670" w:type="dxa"/>
            <w:tcBorders>
              <w:top w:val="nil"/>
              <w:left w:val="nil"/>
              <w:bottom w:val="single" w:color="auto" w:sz="4" w:space="0"/>
              <w:right w:val="nil"/>
            </w:tcBorders>
            <w:shd w:val="clear" w:color="auto" w:fill="auto"/>
            <w:noWrap/>
            <w:vAlign w:val="center"/>
          </w:tcPr>
          <w:p w14:paraId="3D110DA7">
            <w:pPr>
              <w:jc w:val="center"/>
              <w:textAlignment w:val="center"/>
              <w:rPr>
                <w:rFonts w:ascii="Times New Roman" w:hAnsi="Times New Roman" w:eastAsia="Times New Roman"/>
                <w:color w:val="000000"/>
                <w:sz w:val="24"/>
                <w:szCs w:val="24"/>
                <w:lang w:val="en-GB" w:eastAsia="en-GB"/>
              </w:rPr>
            </w:pPr>
            <w:r>
              <w:rPr>
                <w:rFonts w:ascii="Times New Roman" w:hAnsi="Times New Roman" w:eastAsia="SimSun"/>
                <w:b/>
                <w:bCs/>
                <w:color w:val="000000"/>
                <w:sz w:val="24"/>
                <w:szCs w:val="24"/>
                <w:lang w:val="en-US" w:eastAsia="zh-CN"/>
              </w:rPr>
              <w:t>100.00</w:t>
            </w:r>
          </w:p>
        </w:tc>
      </w:tr>
    </w:tbl>
    <w:p w14:paraId="0A2D1F67">
      <w:pPr>
        <w:spacing w:after="0" w:line="240" w:lineRule="auto"/>
        <w:ind w:firstLine="720"/>
        <w:jc w:val="both"/>
        <w:rPr>
          <w:rFonts w:ascii="Times New Roman" w:hAnsi="Times New Roman" w:eastAsia="Times New Roman"/>
          <w:color w:val="000000"/>
          <w:sz w:val="24"/>
          <w:szCs w:val="24"/>
        </w:rPr>
      </w:pPr>
      <w:r>
        <w:rPr>
          <w:rFonts w:ascii="Times New Roman" w:hAnsi="Times New Roman" w:eastAsia="Times New Roman"/>
          <w:color w:val="000000"/>
          <w:sz w:val="24"/>
          <w:szCs w:val="24"/>
        </w:rPr>
        <w:t>In Table 3, it can be seen that the percentage of brackish tilapia larvae survival in each treatment did not differ significantly. The highest percentage of tilapia larvae survival in this study was found in treatment C and treatment D at 100% while treatment A (control) was 99.63% and the lowest was found in treatment B at 98.89%.</w:t>
      </w:r>
    </w:p>
    <w:p w14:paraId="26F4AF29">
      <w:pPr>
        <w:spacing w:after="0" w:line="240" w:lineRule="auto"/>
        <w:ind w:left="882" w:hanging="879" w:hangingChars="366"/>
        <w:jc w:val="center"/>
        <w:rPr>
          <w:rFonts w:ascii="Times New Roman" w:hAnsi="Times New Roman" w:eastAsia="Times New Roman"/>
          <w:b/>
          <w:sz w:val="24"/>
          <w:szCs w:val="24"/>
          <w:lang w:eastAsia="id-ID"/>
        </w:rPr>
      </w:pPr>
    </w:p>
    <w:p w14:paraId="039C54F8">
      <w:pPr>
        <w:spacing w:after="0" w:line="240" w:lineRule="auto"/>
        <w:ind w:firstLine="720"/>
        <w:jc w:val="both"/>
        <w:rPr>
          <w:rFonts w:hint="default" w:ascii="Times New Roman" w:hAnsi="Times New Roman" w:eastAsia="Times New Roman"/>
          <w:sz w:val="24"/>
          <w:szCs w:val="24"/>
          <w:lang w:eastAsia="id-ID"/>
        </w:rPr>
      </w:pPr>
      <w:r>
        <w:rPr>
          <w:rFonts w:hint="default" w:ascii="Times New Roman" w:hAnsi="Times New Roman" w:eastAsia="Times New Roman"/>
          <w:sz w:val="24"/>
          <w:szCs w:val="24"/>
          <w:lang w:eastAsia="id-ID"/>
        </w:rPr>
        <w:t>Haris in Sulastri (2006) states that factors that affect survival are internal and external factors. Internal factors are the fish itself, its heredity, physiology, while external factors are water quality, temperature, pH, DO, NH3 and food. Alikhunti et al in Suhardianti (2006) distinguish 3 categories of larval survival, namely: 1) larval survival of more than 50% is classified as good, 2) 30-50% is classified as moderate and 3) Less than 30% is classified as poor.</w:t>
      </w:r>
    </w:p>
    <w:p w14:paraId="3338E6F1">
      <w:pPr>
        <w:spacing w:after="0" w:line="240" w:lineRule="auto"/>
        <w:ind w:firstLine="720"/>
        <w:jc w:val="both"/>
        <w:rPr>
          <w:rFonts w:hint="default" w:ascii="Times New Roman" w:hAnsi="Times New Roman" w:eastAsia="Times New Roman"/>
          <w:sz w:val="24"/>
          <w:szCs w:val="24"/>
          <w:lang w:eastAsia="id-ID"/>
        </w:rPr>
      </w:pPr>
      <w:r>
        <w:rPr>
          <w:rFonts w:hint="default" w:ascii="Times New Roman" w:hAnsi="Times New Roman" w:eastAsia="Times New Roman"/>
          <w:sz w:val="24"/>
          <w:szCs w:val="24"/>
          <w:lang w:eastAsia="id-ID"/>
        </w:rPr>
        <w:t xml:space="preserve">According to Ardita et al. (2015) the ability of tilapia has a high value and the addition of probiotics does not have a significant effect on fish survival. </w:t>
      </w:r>
    </w:p>
    <w:p w14:paraId="539E2ADD">
      <w:pPr>
        <w:spacing w:after="0" w:line="240" w:lineRule="auto"/>
        <w:ind w:firstLine="720"/>
        <w:jc w:val="both"/>
        <w:rPr>
          <w:rFonts w:hint="default" w:ascii="Times New Roman" w:hAnsi="Times New Roman" w:eastAsia="Times New Roman"/>
          <w:sz w:val="24"/>
          <w:szCs w:val="24"/>
          <w:lang w:eastAsia="id-ID"/>
        </w:rPr>
      </w:pPr>
    </w:p>
    <w:p w14:paraId="3401974C">
      <w:pPr>
        <w:numPr>
          <w:ilvl w:val="0"/>
          <w:numId w:val="4"/>
        </w:numPr>
        <w:spacing w:after="0" w:line="360" w:lineRule="auto"/>
        <w:ind w:left="425" w:leftChars="0" w:hanging="425" w:firstLineChars="0"/>
        <w:jc w:val="both"/>
        <w:rPr>
          <w:rFonts w:ascii="Times New Roman" w:hAnsi="Times New Roman"/>
          <w:b w:val="0"/>
          <w:bCs/>
          <w:i/>
          <w:iCs/>
          <w:sz w:val="24"/>
          <w:szCs w:val="24"/>
        </w:rPr>
      </w:pPr>
      <w:r>
        <w:rPr>
          <w:rFonts w:hint="default" w:ascii="Book Antiqua" w:hAnsi="Book Antiqua" w:cs="Book Antiqua"/>
          <w:b w:val="0"/>
          <w:bCs/>
          <w:i/>
          <w:iCs/>
          <w:sz w:val="24"/>
          <w:szCs w:val="24"/>
        </w:rPr>
        <w:t xml:space="preserve"> Absolute Weight Growth of Tilapia Larvae</w:t>
      </w:r>
    </w:p>
    <w:p w14:paraId="3C161886">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After 30 days of observation in the research container, the absolute weight growth data of tilapia larvae (</w:t>
      </w:r>
      <w:r>
        <w:rPr>
          <w:rFonts w:ascii="Times New Roman" w:hAnsi="Times New Roman"/>
          <w:i/>
          <w:iCs/>
          <w:sz w:val="24"/>
          <w:szCs w:val="24"/>
        </w:rPr>
        <w:t>Oreochromis niloticus</w:t>
      </w:r>
      <w:r>
        <w:rPr>
          <w:rFonts w:ascii="Times New Roman" w:hAnsi="Times New Roman"/>
          <w:sz w:val="24"/>
          <w:szCs w:val="24"/>
        </w:rPr>
        <w:t>) can be seen in Table 4.</w:t>
      </w:r>
    </w:p>
    <w:p w14:paraId="04F2EDE5">
      <w:pPr>
        <w:spacing w:after="0" w:line="240" w:lineRule="auto"/>
        <w:jc w:val="both"/>
        <w:rPr>
          <w:rFonts w:ascii="Times New Roman" w:hAnsi="Times New Roman"/>
          <w:sz w:val="24"/>
          <w:szCs w:val="24"/>
        </w:rPr>
      </w:pPr>
    </w:p>
    <w:tbl>
      <w:tblPr>
        <w:tblStyle w:val="7"/>
        <w:tblW w:w="8220" w:type="dxa"/>
        <w:tblInd w:w="93" w:type="dxa"/>
        <w:tblLayout w:type="autofit"/>
        <w:tblCellMar>
          <w:top w:w="0" w:type="dxa"/>
          <w:left w:w="108" w:type="dxa"/>
          <w:bottom w:w="0" w:type="dxa"/>
          <w:right w:w="108" w:type="dxa"/>
        </w:tblCellMar>
      </w:tblPr>
      <w:tblGrid>
        <w:gridCol w:w="1600"/>
        <w:gridCol w:w="1600"/>
        <w:gridCol w:w="1400"/>
        <w:gridCol w:w="1480"/>
        <w:gridCol w:w="2140"/>
      </w:tblGrid>
      <w:tr w14:paraId="51554E60">
        <w:tblPrEx>
          <w:tblCellMar>
            <w:top w:w="0" w:type="dxa"/>
            <w:left w:w="108" w:type="dxa"/>
            <w:bottom w:w="0" w:type="dxa"/>
            <w:right w:w="108" w:type="dxa"/>
          </w:tblCellMar>
        </w:tblPrEx>
        <w:trPr>
          <w:trHeight w:val="330" w:hRule="atLeast"/>
        </w:trPr>
        <w:tc>
          <w:tcPr>
            <w:tcW w:w="1600" w:type="dxa"/>
            <w:vMerge w:val="restart"/>
            <w:tcBorders>
              <w:top w:val="single" w:color="000000" w:sz="8" w:space="0"/>
              <w:left w:val="nil"/>
              <w:bottom w:val="single" w:color="000000" w:sz="8" w:space="0"/>
              <w:right w:val="nil"/>
            </w:tcBorders>
            <w:shd w:val="clear" w:color="auto" w:fill="auto"/>
            <w:vAlign w:val="center"/>
          </w:tcPr>
          <w:p w14:paraId="53CADE0C">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Repeat</w:t>
            </w:r>
          </w:p>
        </w:tc>
        <w:tc>
          <w:tcPr>
            <w:tcW w:w="6620" w:type="dxa"/>
            <w:gridSpan w:val="4"/>
            <w:tcBorders>
              <w:top w:val="single" w:color="000000" w:sz="8" w:space="0"/>
              <w:left w:val="nil"/>
              <w:bottom w:val="single" w:color="000000" w:sz="8" w:space="0"/>
              <w:right w:val="nil"/>
            </w:tcBorders>
            <w:shd w:val="clear" w:color="auto" w:fill="auto"/>
            <w:vAlign w:val="center"/>
          </w:tcPr>
          <w:p w14:paraId="28B560F5">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Treatment (gram)</w:t>
            </w:r>
          </w:p>
        </w:tc>
      </w:tr>
      <w:tr w14:paraId="1FC9464B">
        <w:tblPrEx>
          <w:tblCellMar>
            <w:top w:w="0" w:type="dxa"/>
            <w:left w:w="108" w:type="dxa"/>
            <w:bottom w:w="0" w:type="dxa"/>
            <w:right w:w="108" w:type="dxa"/>
          </w:tblCellMar>
        </w:tblPrEx>
        <w:trPr>
          <w:trHeight w:val="330" w:hRule="atLeast"/>
        </w:trPr>
        <w:tc>
          <w:tcPr>
            <w:tcW w:w="1600" w:type="dxa"/>
            <w:vMerge w:val="continue"/>
            <w:tcBorders>
              <w:top w:val="single" w:color="000000" w:sz="8" w:space="0"/>
              <w:left w:val="nil"/>
              <w:bottom w:val="single" w:color="000000" w:sz="8" w:space="0"/>
              <w:right w:val="nil"/>
            </w:tcBorders>
            <w:shd w:val="clear" w:color="auto" w:fill="auto"/>
            <w:vAlign w:val="center"/>
          </w:tcPr>
          <w:p w14:paraId="50AC9BA1">
            <w:pPr>
              <w:jc w:val="center"/>
              <w:rPr>
                <w:rFonts w:ascii="Times New Roman" w:hAnsi="Times New Roman"/>
                <w:color w:val="000000"/>
                <w:sz w:val="24"/>
                <w:szCs w:val="24"/>
              </w:rPr>
            </w:pPr>
          </w:p>
        </w:tc>
        <w:tc>
          <w:tcPr>
            <w:tcW w:w="1600" w:type="dxa"/>
            <w:tcBorders>
              <w:top w:val="nil"/>
              <w:left w:val="nil"/>
              <w:bottom w:val="single" w:color="000000" w:sz="8" w:space="0"/>
              <w:right w:val="nil"/>
            </w:tcBorders>
            <w:shd w:val="clear" w:color="auto" w:fill="auto"/>
            <w:vAlign w:val="center"/>
          </w:tcPr>
          <w:p w14:paraId="08DB58C4">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A</w:t>
            </w:r>
          </w:p>
        </w:tc>
        <w:tc>
          <w:tcPr>
            <w:tcW w:w="1400" w:type="dxa"/>
            <w:tcBorders>
              <w:top w:val="nil"/>
              <w:left w:val="nil"/>
              <w:bottom w:val="single" w:color="000000" w:sz="8" w:space="0"/>
              <w:right w:val="nil"/>
            </w:tcBorders>
            <w:shd w:val="clear" w:color="auto" w:fill="auto"/>
            <w:vAlign w:val="center"/>
          </w:tcPr>
          <w:p w14:paraId="61E9128B">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B</w:t>
            </w:r>
          </w:p>
        </w:tc>
        <w:tc>
          <w:tcPr>
            <w:tcW w:w="1480" w:type="dxa"/>
            <w:tcBorders>
              <w:top w:val="nil"/>
              <w:left w:val="nil"/>
              <w:bottom w:val="single" w:color="000000" w:sz="8" w:space="0"/>
              <w:right w:val="nil"/>
            </w:tcBorders>
            <w:shd w:val="clear" w:color="auto" w:fill="auto"/>
            <w:vAlign w:val="center"/>
          </w:tcPr>
          <w:p w14:paraId="4579594E">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C</w:t>
            </w:r>
          </w:p>
        </w:tc>
        <w:tc>
          <w:tcPr>
            <w:tcW w:w="2140" w:type="dxa"/>
            <w:tcBorders>
              <w:top w:val="nil"/>
              <w:left w:val="nil"/>
              <w:bottom w:val="single" w:color="000000" w:sz="8" w:space="0"/>
              <w:right w:val="nil"/>
            </w:tcBorders>
            <w:shd w:val="clear" w:color="auto" w:fill="auto"/>
            <w:vAlign w:val="center"/>
          </w:tcPr>
          <w:p w14:paraId="5B63D402">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D</w:t>
            </w:r>
          </w:p>
        </w:tc>
      </w:tr>
      <w:tr w14:paraId="4660B98E">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079A5E80">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w:t>
            </w:r>
          </w:p>
        </w:tc>
        <w:tc>
          <w:tcPr>
            <w:tcW w:w="0" w:type="auto"/>
            <w:tcBorders>
              <w:top w:val="nil"/>
              <w:left w:val="nil"/>
              <w:bottom w:val="single" w:color="auto" w:sz="8" w:space="0"/>
              <w:right w:val="nil"/>
            </w:tcBorders>
            <w:shd w:val="clear" w:color="auto" w:fill="auto"/>
            <w:noWrap/>
            <w:vAlign w:val="center"/>
          </w:tcPr>
          <w:p w14:paraId="48281144">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0.21</w:t>
            </w:r>
          </w:p>
        </w:tc>
        <w:tc>
          <w:tcPr>
            <w:tcW w:w="1400" w:type="dxa"/>
            <w:tcBorders>
              <w:top w:val="nil"/>
              <w:left w:val="nil"/>
              <w:bottom w:val="single" w:color="000000" w:sz="8" w:space="0"/>
              <w:right w:val="nil"/>
            </w:tcBorders>
            <w:shd w:val="clear" w:color="auto" w:fill="auto"/>
            <w:vAlign w:val="center"/>
          </w:tcPr>
          <w:p w14:paraId="442B4375">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0.29</w:t>
            </w:r>
          </w:p>
        </w:tc>
        <w:tc>
          <w:tcPr>
            <w:tcW w:w="1480" w:type="dxa"/>
            <w:tcBorders>
              <w:top w:val="nil"/>
              <w:left w:val="nil"/>
              <w:bottom w:val="single" w:color="000000" w:sz="8" w:space="0"/>
              <w:right w:val="nil"/>
            </w:tcBorders>
            <w:shd w:val="clear" w:color="auto" w:fill="auto"/>
            <w:vAlign w:val="center"/>
          </w:tcPr>
          <w:p w14:paraId="4AC7AC9B">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0.72</w:t>
            </w:r>
          </w:p>
        </w:tc>
        <w:tc>
          <w:tcPr>
            <w:tcW w:w="2140" w:type="dxa"/>
            <w:tcBorders>
              <w:top w:val="nil"/>
              <w:left w:val="nil"/>
              <w:bottom w:val="single" w:color="000000" w:sz="8" w:space="0"/>
              <w:right w:val="nil"/>
            </w:tcBorders>
            <w:shd w:val="clear" w:color="auto" w:fill="auto"/>
            <w:vAlign w:val="center"/>
          </w:tcPr>
          <w:p w14:paraId="69358CA0">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0.63</w:t>
            </w:r>
          </w:p>
        </w:tc>
      </w:tr>
      <w:tr w14:paraId="63F01237">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07BB57DA">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2</w:t>
            </w:r>
          </w:p>
        </w:tc>
        <w:tc>
          <w:tcPr>
            <w:tcW w:w="0" w:type="auto"/>
            <w:tcBorders>
              <w:top w:val="nil"/>
              <w:left w:val="nil"/>
              <w:bottom w:val="single" w:color="auto" w:sz="8" w:space="0"/>
              <w:right w:val="nil"/>
            </w:tcBorders>
            <w:shd w:val="clear" w:color="auto" w:fill="auto"/>
            <w:noWrap/>
            <w:vAlign w:val="center"/>
          </w:tcPr>
          <w:p w14:paraId="392602D0">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0.28</w:t>
            </w:r>
          </w:p>
        </w:tc>
        <w:tc>
          <w:tcPr>
            <w:tcW w:w="1400" w:type="dxa"/>
            <w:tcBorders>
              <w:top w:val="nil"/>
              <w:left w:val="nil"/>
              <w:bottom w:val="single" w:color="000000" w:sz="8" w:space="0"/>
              <w:right w:val="nil"/>
            </w:tcBorders>
            <w:shd w:val="clear" w:color="auto" w:fill="auto"/>
            <w:vAlign w:val="center"/>
          </w:tcPr>
          <w:p w14:paraId="0246BD62">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0.39</w:t>
            </w:r>
          </w:p>
        </w:tc>
        <w:tc>
          <w:tcPr>
            <w:tcW w:w="1480" w:type="dxa"/>
            <w:tcBorders>
              <w:top w:val="nil"/>
              <w:left w:val="nil"/>
              <w:bottom w:val="single" w:color="000000" w:sz="8" w:space="0"/>
              <w:right w:val="nil"/>
            </w:tcBorders>
            <w:shd w:val="clear" w:color="auto" w:fill="auto"/>
            <w:vAlign w:val="center"/>
          </w:tcPr>
          <w:p w14:paraId="6EDC0794">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0.68</w:t>
            </w:r>
          </w:p>
        </w:tc>
        <w:tc>
          <w:tcPr>
            <w:tcW w:w="2140" w:type="dxa"/>
            <w:tcBorders>
              <w:top w:val="nil"/>
              <w:left w:val="nil"/>
              <w:bottom w:val="single" w:color="000000" w:sz="8" w:space="0"/>
              <w:right w:val="nil"/>
            </w:tcBorders>
            <w:shd w:val="clear" w:color="auto" w:fill="auto"/>
            <w:vAlign w:val="center"/>
          </w:tcPr>
          <w:p w14:paraId="0A1BB4B4">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0.58</w:t>
            </w:r>
          </w:p>
        </w:tc>
      </w:tr>
      <w:tr w14:paraId="4EC490B4">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0BF7A3FF">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3</w:t>
            </w:r>
          </w:p>
        </w:tc>
        <w:tc>
          <w:tcPr>
            <w:tcW w:w="0" w:type="auto"/>
            <w:tcBorders>
              <w:top w:val="nil"/>
              <w:left w:val="nil"/>
              <w:bottom w:val="single" w:color="auto" w:sz="8" w:space="0"/>
              <w:right w:val="nil"/>
            </w:tcBorders>
            <w:shd w:val="clear" w:color="auto" w:fill="auto"/>
            <w:noWrap/>
            <w:vAlign w:val="center"/>
          </w:tcPr>
          <w:p w14:paraId="365B233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0.25</w:t>
            </w:r>
          </w:p>
        </w:tc>
        <w:tc>
          <w:tcPr>
            <w:tcW w:w="1400" w:type="dxa"/>
            <w:tcBorders>
              <w:top w:val="nil"/>
              <w:left w:val="nil"/>
              <w:bottom w:val="single" w:color="000000" w:sz="8" w:space="0"/>
              <w:right w:val="nil"/>
            </w:tcBorders>
            <w:shd w:val="clear" w:color="auto" w:fill="auto"/>
            <w:vAlign w:val="center"/>
          </w:tcPr>
          <w:p w14:paraId="6162A39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0.38</w:t>
            </w:r>
          </w:p>
        </w:tc>
        <w:tc>
          <w:tcPr>
            <w:tcW w:w="1480" w:type="dxa"/>
            <w:tcBorders>
              <w:top w:val="nil"/>
              <w:left w:val="nil"/>
              <w:bottom w:val="single" w:color="000000" w:sz="8" w:space="0"/>
              <w:right w:val="nil"/>
            </w:tcBorders>
            <w:shd w:val="clear" w:color="auto" w:fill="auto"/>
            <w:vAlign w:val="center"/>
          </w:tcPr>
          <w:p w14:paraId="202A8A9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0.71</w:t>
            </w:r>
          </w:p>
        </w:tc>
        <w:tc>
          <w:tcPr>
            <w:tcW w:w="2140" w:type="dxa"/>
            <w:tcBorders>
              <w:top w:val="nil"/>
              <w:left w:val="nil"/>
              <w:bottom w:val="single" w:color="000000" w:sz="8" w:space="0"/>
              <w:right w:val="nil"/>
            </w:tcBorders>
            <w:shd w:val="clear" w:color="auto" w:fill="auto"/>
            <w:vAlign w:val="center"/>
          </w:tcPr>
          <w:p w14:paraId="1B134ED9">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0.62</w:t>
            </w:r>
          </w:p>
        </w:tc>
      </w:tr>
      <w:tr w14:paraId="564822E7">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65F03A3B">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Total</w:t>
            </w:r>
          </w:p>
        </w:tc>
        <w:tc>
          <w:tcPr>
            <w:tcW w:w="0" w:type="auto"/>
            <w:tcBorders>
              <w:top w:val="nil"/>
              <w:left w:val="nil"/>
              <w:bottom w:val="single" w:color="auto" w:sz="8" w:space="0"/>
              <w:right w:val="nil"/>
            </w:tcBorders>
            <w:shd w:val="clear" w:color="auto" w:fill="auto"/>
            <w:noWrap/>
            <w:vAlign w:val="center"/>
          </w:tcPr>
          <w:p w14:paraId="4BF6D867">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0.74</w:t>
            </w:r>
          </w:p>
        </w:tc>
        <w:tc>
          <w:tcPr>
            <w:tcW w:w="1400" w:type="dxa"/>
            <w:tcBorders>
              <w:top w:val="nil"/>
              <w:left w:val="nil"/>
              <w:bottom w:val="single" w:color="000000" w:sz="8" w:space="0"/>
              <w:right w:val="nil"/>
            </w:tcBorders>
            <w:shd w:val="clear" w:color="auto" w:fill="auto"/>
            <w:vAlign w:val="center"/>
          </w:tcPr>
          <w:p w14:paraId="57D8C1A1">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1.06</w:t>
            </w:r>
          </w:p>
        </w:tc>
        <w:tc>
          <w:tcPr>
            <w:tcW w:w="1480" w:type="dxa"/>
            <w:tcBorders>
              <w:top w:val="nil"/>
              <w:left w:val="nil"/>
              <w:bottom w:val="single" w:color="000000" w:sz="8" w:space="0"/>
              <w:right w:val="nil"/>
            </w:tcBorders>
            <w:shd w:val="clear" w:color="auto" w:fill="auto"/>
            <w:vAlign w:val="center"/>
          </w:tcPr>
          <w:p w14:paraId="31893201">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2.11</w:t>
            </w:r>
          </w:p>
        </w:tc>
        <w:tc>
          <w:tcPr>
            <w:tcW w:w="2140" w:type="dxa"/>
            <w:tcBorders>
              <w:top w:val="nil"/>
              <w:left w:val="nil"/>
              <w:bottom w:val="single" w:color="000000" w:sz="8" w:space="0"/>
              <w:right w:val="nil"/>
            </w:tcBorders>
            <w:shd w:val="clear" w:color="auto" w:fill="auto"/>
            <w:vAlign w:val="center"/>
          </w:tcPr>
          <w:p w14:paraId="77501525">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1.83</w:t>
            </w:r>
          </w:p>
        </w:tc>
      </w:tr>
      <w:tr w14:paraId="32BB2330">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286FD881">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Average</w:t>
            </w:r>
          </w:p>
        </w:tc>
        <w:tc>
          <w:tcPr>
            <w:tcW w:w="0" w:type="auto"/>
            <w:tcBorders>
              <w:top w:val="nil"/>
              <w:left w:val="nil"/>
              <w:bottom w:val="single" w:color="auto" w:sz="8" w:space="0"/>
              <w:right w:val="nil"/>
            </w:tcBorders>
            <w:shd w:val="clear" w:color="auto" w:fill="auto"/>
            <w:noWrap/>
            <w:vAlign w:val="center"/>
          </w:tcPr>
          <w:p w14:paraId="65D18582">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0.25</w:t>
            </w:r>
          </w:p>
        </w:tc>
        <w:tc>
          <w:tcPr>
            <w:tcW w:w="1400" w:type="dxa"/>
            <w:tcBorders>
              <w:top w:val="nil"/>
              <w:left w:val="nil"/>
              <w:bottom w:val="single" w:color="000000" w:sz="8" w:space="0"/>
              <w:right w:val="nil"/>
            </w:tcBorders>
            <w:shd w:val="clear" w:color="auto" w:fill="auto"/>
            <w:vAlign w:val="center"/>
          </w:tcPr>
          <w:p w14:paraId="31FBB25B">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0.35</w:t>
            </w:r>
          </w:p>
        </w:tc>
        <w:tc>
          <w:tcPr>
            <w:tcW w:w="1480" w:type="dxa"/>
            <w:tcBorders>
              <w:top w:val="nil"/>
              <w:left w:val="nil"/>
              <w:bottom w:val="single" w:color="000000" w:sz="8" w:space="0"/>
              <w:right w:val="nil"/>
            </w:tcBorders>
            <w:shd w:val="clear" w:color="auto" w:fill="auto"/>
            <w:vAlign w:val="center"/>
          </w:tcPr>
          <w:p w14:paraId="1FF616A4">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0.70</w:t>
            </w:r>
          </w:p>
        </w:tc>
        <w:tc>
          <w:tcPr>
            <w:tcW w:w="2140" w:type="dxa"/>
            <w:tcBorders>
              <w:top w:val="nil"/>
              <w:left w:val="nil"/>
              <w:bottom w:val="single" w:color="000000" w:sz="8" w:space="0"/>
              <w:right w:val="nil"/>
            </w:tcBorders>
            <w:shd w:val="clear" w:color="auto" w:fill="auto"/>
            <w:vAlign w:val="center"/>
          </w:tcPr>
          <w:p w14:paraId="3ECF534A">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0.61</w:t>
            </w:r>
          </w:p>
        </w:tc>
      </w:tr>
    </w:tbl>
    <w:p w14:paraId="4BDC5E51">
      <w:pPr>
        <w:spacing w:after="0" w:line="240" w:lineRule="auto"/>
        <w:ind w:firstLine="720"/>
        <w:jc w:val="both"/>
        <w:rPr>
          <w:rFonts w:hint="default" w:ascii="Times New Roman" w:hAnsi="Times New Roman" w:eastAsia="Times New Roman"/>
          <w:sz w:val="24"/>
          <w:szCs w:val="24"/>
          <w:lang w:eastAsia="id-ID"/>
        </w:rPr>
      </w:pPr>
    </w:p>
    <w:p w14:paraId="53C6EA0D">
      <w:pPr>
        <w:spacing w:line="240" w:lineRule="auto"/>
        <w:ind w:firstLine="720" w:firstLineChars="0"/>
        <w:jc w:val="both"/>
        <w:rPr>
          <w:rFonts w:hint="default" w:ascii="Times New Roman" w:hAnsi="Times New Roman"/>
          <w:sz w:val="24"/>
          <w:szCs w:val="24"/>
        </w:rPr>
      </w:pPr>
      <w:r>
        <w:rPr>
          <w:rFonts w:ascii="Times New Roman" w:hAnsi="Times New Roman"/>
          <w:sz w:val="24"/>
          <w:szCs w:val="24"/>
        </w:rPr>
        <w:t>Based on the analysis of variance, there is an effect of EM-4 giving very significantly different (P&gt;0.01) on the absolute weight growth of tilapia larvae (</w:t>
      </w:r>
      <w:r>
        <w:rPr>
          <w:rFonts w:ascii="Times New Roman" w:hAnsi="Times New Roman"/>
          <w:i/>
          <w:iCs/>
          <w:sz w:val="24"/>
          <w:szCs w:val="24"/>
        </w:rPr>
        <w:t>Oreochromis niloticus</w:t>
      </w:r>
      <w:r>
        <w:rPr>
          <w:rFonts w:ascii="Times New Roman" w:hAnsi="Times New Roman"/>
          <w:sz w:val="24"/>
          <w:szCs w:val="24"/>
        </w:rPr>
        <w:t xml:space="preserve">). The average weight growth increased in treatment C with the addition of EM-4 dose of 20 ml/kg feed by 0.70 grams and decreased in treatment D, namely the addition of EM-4 dose of </w:t>
      </w:r>
      <w:r>
        <w:rPr>
          <w:rFonts w:hint="default" w:ascii="Times New Roman" w:hAnsi="Times New Roman"/>
          <w:sz w:val="24"/>
          <w:szCs w:val="24"/>
        </w:rPr>
        <w:t>25 ml/kg feed by 0.61 grams followed by treatment B 15 ml/kg feed by 0.35 grams while the lowest treatment was in treatment A (control) without EM-4 with an average weight of 0.25 grams. It is suspected that the higher addition of probiotic concentration does not always have a positive effect on the population of bacteria in the digestive tract of tilapia larvae (Irianto, 2003).</w:t>
      </w:r>
    </w:p>
    <w:p w14:paraId="75708C1E">
      <w:pPr>
        <w:spacing w:line="240" w:lineRule="auto"/>
        <w:ind w:firstLine="720" w:firstLineChars="0"/>
        <w:jc w:val="both"/>
        <w:rPr>
          <w:rFonts w:hint="default" w:ascii="Times New Roman" w:hAnsi="Times New Roman"/>
          <w:sz w:val="24"/>
          <w:szCs w:val="24"/>
        </w:rPr>
      </w:pPr>
      <w:r>
        <w:rPr>
          <w:rFonts w:hint="default" w:ascii="Times New Roman" w:hAnsi="Times New Roman"/>
          <w:sz w:val="24"/>
          <w:szCs w:val="24"/>
        </w:rPr>
        <w:t>Furthermore, the research data can be shown in the form of a diagram (histogram) in Figure 3.</w:t>
      </w:r>
    </w:p>
    <w:p w14:paraId="0F0EC766">
      <w:pPr>
        <w:spacing w:line="240" w:lineRule="auto"/>
        <w:ind w:firstLine="720" w:firstLineChars="0"/>
        <w:jc w:val="both"/>
        <w:rPr>
          <w:rFonts w:hint="default" w:ascii="Times New Roman" w:hAnsi="Times New Roman"/>
          <w:sz w:val="24"/>
          <w:szCs w:val="24"/>
        </w:rPr>
      </w:pPr>
      <w:r>
        <w:rPr>
          <w:lang w:val="en-US"/>
        </w:rPr>
        <w:drawing>
          <wp:inline distT="0" distB="0" distL="114300" distR="114300">
            <wp:extent cx="3329940" cy="1563370"/>
            <wp:effectExtent l="0" t="0" r="10160" b="11430"/>
            <wp:docPr id="2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9"/>
                    <pic:cNvPicPr>
                      <a:picLocks noChangeAspect="1"/>
                    </pic:cNvPicPr>
                  </pic:nvPicPr>
                  <pic:blipFill>
                    <a:blip r:embed="rId8"/>
                    <a:stretch>
                      <a:fillRect/>
                    </a:stretch>
                  </pic:blipFill>
                  <pic:spPr>
                    <a:xfrm>
                      <a:off x="0" y="0"/>
                      <a:ext cx="3329940" cy="1563370"/>
                    </a:xfrm>
                    <a:prstGeom prst="rect">
                      <a:avLst/>
                    </a:prstGeom>
                    <a:noFill/>
                    <a:ln>
                      <a:noFill/>
                    </a:ln>
                  </pic:spPr>
                </pic:pic>
              </a:graphicData>
            </a:graphic>
          </wp:inline>
        </w:drawing>
      </w:r>
    </w:p>
    <w:p w14:paraId="0B9D71B1">
      <w:pPr>
        <w:spacing w:line="360" w:lineRule="auto"/>
        <w:ind w:firstLine="720"/>
        <w:jc w:val="both"/>
        <w:rPr>
          <w:rFonts w:ascii="Times New Roman" w:hAnsi="Times New Roman" w:eastAsia="TimesNewRomanPSMT"/>
          <w:color w:val="000000"/>
          <w:sz w:val="24"/>
          <w:szCs w:val="24"/>
          <w:lang w:val="fi-FI" w:eastAsia="zh-CN"/>
        </w:rPr>
      </w:pPr>
      <w:r>
        <w:rPr>
          <w:rFonts w:ascii="Times New Roman" w:hAnsi="Times New Roman" w:eastAsia="TimesNewRomanPSMT"/>
          <w:color w:val="000000"/>
          <w:sz w:val="24"/>
          <w:szCs w:val="24"/>
          <w:lang w:val="fi-FI" w:eastAsia="zh-CN"/>
        </w:rPr>
        <w:t xml:space="preserve">This is supported by the research of Midhun </w:t>
      </w:r>
      <w:r>
        <w:rPr>
          <w:rFonts w:ascii="Times New Roman" w:hAnsi="Times New Roman" w:eastAsia="TimesNewRomanPS-ItalicMT"/>
          <w:i/>
          <w:iCs/>
          <w:color w:val="000000"/>
          <w:sz w:val="24"/>
          <w:szCs w:val="24"/>
          <w:lang w:val="fi-FI" w:eastAsia="zh-CN"/>
        </w:rPr>
        <w:t>et al</w:t>
      </w:r>
      <w:r>
        <w:rPr>
          <w:rFonts w:ascii="Times New Roman" w:hAnsi="Times New Roman" w:eastAsia="TimesNewRomanPSMT"/>
          <w:color w:val="000000"/>
          <w:sz w:val="24"/>
          <w:szCs w:val="24"/>
          <w:lang w:val="fi-FI" w:eastAsia="zh-CN"/>
        </w:rPr>
        <w:t xml:space="preserve">. (2019); Mulyasari </w:t>
      </w:r>
      <w:r>
        <w:rPr>
          <w:rFonts w:ascii="Times New Roman" w:hAnsi="Times New Roman" w:eastAsia="TimesNewRomanPS-ItalicMT"/>
          <w:i/>
          <w:iCs/>
          <w:color w:val="000000"/>
          <w:sz w:val="24"/>
          <w:szCs w:val="24"/>
          <w:lang w:val="fi-FI" w:eastAsia="zh-CN"/>
        </w:rPr>
        <w:t>et al</w:t>
      </w:r>
      <w:r>
        <w:rPr>
          <w:rFonts w:ascii="Times New Roman" w:hAnsi="Times New Roman" w:eastAsia="TimesNewRomanPSMT"/>
          <w:color w:val="000000"/>
          <w:sz w:val="24"/>
          <w:szCs w:val="24"/>
          <w:lang w:val="fi-FI" w:eastAsia="zh-CN"/>
        </w:rPr>
        <w:t xml:space="preserve">. (2016); Ling </w:t>
      </w:r>
      <w:r>
        <w:rPr>
          <w:rFonts w:ascii="Times New Roman" w:hAnsi="Times New Roman" w:eastAsia="TimesNewRomanPS-ItalicMT"/>
          <w:i/>
          <w:iCs/>
          <w:color w:val="000000"/>
          <w:sz w:val="24"/>
          <w:szCs w:val="24"/>
          <w:lang w:val="fi-FI" w:eastAsia="zh-CN"/>
        </w:rPr>
        <w:t>et al</w:t>
      </w:r>
      <w:r>
        <w:rPr>
          <w:rFonts w:ascii="Times New Roman" w:hAnsi="Times New Roman" w:eastAsia="TimesNewRomanPSMT"/>
          <w:color w:val="000000"/>
          <w:sz w:val="24"/>
          <w:szCs w:val="24"/>
          <w:lang w:val="fi-FI" w:eastAsia="zh-CN"/>
        </w:rPr>
        <w:t xml:space="preserve">. (2018); Rahmawan </w:t>
      </w:r>
      <w:r>
        <w:rPr>
          <w:rFonts w:ascii="Times New Roman" w:hAnsi="Times New Roman" w:eastAsia="TimesNewRomanPS-ItalicMT"/>
          <w:i/>
          <w:iCs/>
          <w:color w:val="000000"/>
          <w:sz w:val="24"/>
          <w:szCs w:val="24"/>
          <w:lang w:val="fi-FI" w:eastAsia="zh-CN"/>
        </w:rPr>
        <w:t xml:space="preserve">et al. </w:t>
      </w:r>
      <w:r>
        <w:rPr>
          <w:rFonts w:ascii="Times New Roman" w:hAnsi="Times New Roman" w:eastAsia="TimesNewRomanPSMT"/>
          <w:color w:val="000000"/>
          <w:sz w:val="24"/>
          <w:szCs w:val="24"/>
          <w:lang w:val="fi-FI" w:eastAsia="zh-CN"/>
        </w:rPr>
        <w:t xml:space="preserve">(2014); Hemaiswarya </w:t>
      </w:r>
      <w:r>
        <w:rPr>
          <w:rFonts w:ascii="Times New Roman" w:hAnsi="Times New Roman" w:eastAsia="TimesNewRomanPS-ItalicMT"/>
          <w:i/>
          <w:iCs/>
          <w:color w:val="000000"/>
          <w:sz w:val="24"/>
          <w:szCs w:val="24"/>
          <w:lang w:val="fi-FI" w:eastAsia="zh-CN"/>
        </w:rPr>
        <w:t xml:space="preserve">el al. </w:t>
      </w:r>
      <w:r>
        <w:rPr>
          <w:rFonts w:ascii="Times New Roman" w:hAnsi="Times New Roman" w:eastAsia="TimesNewRomanPSMT"/>
          <w:color w:val="000000"/>
          <w:sz w:val="24"/>
          <w:szCs w:val="24"/>
          <w:lang w:val="fi-FI" w:eastAsia="zh-CN"/>
        </w:rPr>
        <w:t xml:space="preserve">(2013), the use of probiotics in aquaculture can improve growth, digestibility and feed efficiency, appetite, fish immune system, stress tolerance and resistance to pathogens. Probiotics enter the fish gut and then help the digestive process so that feed will be more efficiently utilised by fish because feed nutrients will be easily absorbed by the fish body (Setiawati </w:t>
      </w:r>
      <w:r>
        <w:rPr>
          <w:rFonts w:ascii="Times New Roman" w:hAnsi="Times New Roman" w:eastAsia="TimesNewRomanPS-ItalicMT"/>
          <w:i/>
          <w:iCs/>
          <w:color w:val="000000"/>
          <w:sz w:val="24"/>
          <w:szCs w:val="24"/>
          <w:lang w:val="fi-FI" w:eastAsia="zh-CN"/>
        </w:rPr>
        <w:t xml:space="preserve">et al. </w:t>
      </w:r>
      <w:r>
        <w:rPr>
          <w:rFonts w:ascii="Times New Roman" w:hAnsi="Times New Roman" w:eastAsia="TimesNewRomanPSMT"/>
          <w:color w:val="000000"/>
          <w:sz w:val="24"/>
          <w:szCs w:val="24"/>
          <w:lang w:val="fi-FI" w:eastAsia="zh-CN"/>
        </w:rPr>
        <w:t>2013).</w:t>
      </w:r>
    </w:p>
    <w:p w14:paraId="7F543E8E">
      <w:pPr>
        <w:spacing w:line="360" w:lineRule="auto"/>
        <w:ind w:firstLine="720"/>
        <w:jc w:val="both"/>
        <w:rPr>
          <w:rFonts w:ascii="Times New Roman" w:hAnsi="Times New Roman" w:eastAsia="TimesNewRomanPSMT"/>
          <w:color w:val="000000"/>
          <w:sz w:val="24"/>
          <w:szCs w:val="24"/>
          <w:lang w:val="fi-FI" w:eastAsia="zh-CN"/>
        </w:rPr>
      </w:pPr>
    </w:p>
    <w:p w14:paraId="09D92906">
      <w:pPr>
        <w:pStyle w:val="57"/>
        <w:numPr>
          <w:ilvl w:val="0"/>
          <w:numId w:val="4"/>
        </w:numPr>
        <w:spacing w:line="240" w:lineRule="auto"/>
        <w:ind w:left="425" w:leftChars="0" w:hanging="425" w:firstLineChars="0"/>
        <w:jc w:val="both"/>
        <w:rPr>
          <w:rFonts w:hint="default" w:ascii="Book Antiqua" w:hAnsi="Book Antiqua" w:cs="Book Antiqua"/>
          <w:b w:val="0"/>
          <w:bCs/>
          <w:i/>
          <w:iCs/>
          <w:sz w:val="24"/>
          <w:szCs w:val="24"/>
          <w:lang w:val="fi-FI"/>
        </w:rPr>
      </w:pPr>
      <w:r>
        <w:rPr>
          <w:rFonts w:hint="default" w:ascii="Book Antiqua" w:hAnsi="Book Antiqua" w:cs="Book Antiqua"/>
          <w:b w:val="0"/>
          <w:bCs/>
          <w:i/>
          <w:iCs/>
          <w:sz w:val="24"/>
          <w:szCs w:val="24"/>
        </w:rPr>
        <w:t xml:space="preserve">Absolute Length </w:t>
      </w:r>
      <w:r>
        <w:rPr>
          <w:rFonts w:hint="default" w:ascii="Book Antiqua" w:hAnsi="Book Antiqua" w:cs="Book Antiqua"/>
          <w:b w:val="0"/>
          <w:bCs/>
          <w:i/>
          <w:iCs/>
          <w:sz w:val="24"/>
          <w:szCs w:val="24"/>
          <w:lang w:val="fi-FI"/>
        </w:rPr>
        <w:t>Growth of Tilapia Larvae</w:t>
      </w:r>
    </w:p>
    <w:p w14:paraId="6B076ED8">
      <w:pPr>
        <w:pStyle w:val="57"/>
        <w:spacing w:line="240" w:lineRule="auto"/>
        <w:ind w:left="0" w:firstLine="567"/>
        <w:jc w:val="both"/>
        <w:rPr>
          <w:rFonts w:ascii="Times New Roman" w:hAnsi="Times New Roman"/>
          <w:sz w:val="24"/>
          <w:szCs w:val="24"/>
          <w:lang w:val="fi-FI"/>
        </w:rPr>
      </w:pPr>
      <w:r>
        <w:rPr>
          <w:rFonts w:ascii="Times New Roman" w:hAnsi="Times New Roman"/>
          <w:sz w:val="24"/>
          <w:szCs w:val="24"/>
        </w:rPr>
        <w:t xml:space="preserve">From the </w:t>
      </w:r>
      <w:r>
        <w:rPr>
          <w:rFonts w:ascii="Times New Roman" w:hAnsi="Times New Roman"/>
          <w:sz w:val="24"/>
          <w:szCs w:val="24"/>
          <w:lang w:val="fi-FI"/>
        </w:rPr>
        <w:t xml:space="preserve">experiments </w:t>
      </w:r>
      <w:r>
        <w:rPr>
          <w:rFonts w:ascii="Times New Roman" w:hAnsi="Times New Roman"/>
          <w:sz w:val="24"/>
          <w:szCs w:val="24"/>
        </w:rPr>
        <w:t xml:space="preserve">that have been carried out on the absolute length growth of </w:t>
      </w:r>
      <w:r>
        <w:rPr>
          <w:rFonts w:ascii="Times New Roman" w:hAnsi="Times New Roman"/>
          <w:sz w:val="24"/>
          <w:szCs w:val="24"/>
          <w:lang w:val="fi-FI"/>
        </w:rPr>
        <w:t>brackish tilapia larvae by giving EM-4 probiotics</w:t>
      </w:r>
      <w:r>
        <w:rPr>
          <w:rFonts w:ascii="Times New Roman" w:hAnsi="Times New Roman"/>
          <w:sz w:val="24"/>
          <w:szCs w:val="24"/>
        </w:rPr>
        <w:t xml:space="preserve">, the data obtained from the observation of the average absolute length of </w:t>
      </w:r>
      <w:r>
        <w:rPr>
          <w:rFonts w:ascii="Times New Roman" w:hAnsi="Times New Roman"/>
          <w:sz w:val="24"/>
          <w:szCs w:val="24"/>
          <w:lang w:val="fi-FI"/>
        </w:rPr>
        <w:t xml:space="preserve">brackish tilapia larvae are presented </w:t>
      </w:r>
      <w:r>
        <w:rPr>
          <w:rFonts w:ascii="Times New Roman" w:hAnsi="Times New Roman"/>
          <w:sz w:val="24"/>
          <w:szCs w:val="24"/>
        </w:rPr>
        <w:t xml:space="preserve">in Table </w:t>
      </w:r>
      <w:r>
        <w:rPr>
          <w:rFonts w:ascii="Times New Roman" w:hAnsi="Times New Roman"/>
          <w:sz w:val="24"/>
          <w:szCs w:val="24"/>
          <w:lang w:val="fi-FI"/>
        </w:rPr>
        <w:t>5.</w:t>
      </w:r>
    </w:p>
    <w:p w14:paraId="5D4E3FBB">
      <w:pPr>
        <w:pStyle w:val="57"/>
        <w:spacing w:line="240" w:lineRule="auto"/>
        <w:ind w:left="0" w:firstLine="567"/>
        <w:jc w:val="both"/>
        <w:rPr>
          <w:rFonts w:ascii="Times New Roman" w:hAnsi="Times New Roman"/>
          <w:sz w:val="24"/>
          <w:szCs w:val="24"/>
          <w:lang w:val="fi-FI"/>
        </w:rPr>
      </w:pPr>
    </w:p>
    <w:tbl>
      <w:tblPr>
        <w:tblStyle w:val="7"/>
        <w:tblW w:w="7977" w:type="dxa"/>
        <w:tblInd w:w="93" w:type="dxa"/>
        <w:tblLayout w:type="autofit"/>
        <w:tblCellMar>
          <w:top w:w="0" w:type="dxa"/>
          <w:left w:w="108" w:type="dxa"/>
          <w:bottom w:w="0" w:type="dxa"/>
          <w:right w:w="108" w:type="dxa"/>
        </w:tblCellMar>
      </w:tblPr>
      <w:tblGrid>
        <w:gridCol w:w="1600"/>
        <w:gridCol w:w="1600"/>
        <w:gridCol w:w="1400"/>
        <w:gridCol w:w="1480"/>
        <w:gridCol w:w="1897"/>
      </w:tblGrid>
      <w:tr w14:paraId="0982C17C">
        <w:tblPrEx>
          <w:tblCellMar>
            <w:top w:w="0" w:type="dxa"/>
            <w:left w:w="108" w:type="dxa"/>
            <w:bottom w:w="0" w:type="dxa"/>
            <w:right w:w="108" w:type="dxa"/>
          </w:tblCellMar>
        </w:tblPrEx>
        <w:trPr>
          <w:trHeight w:val="330" w:hRule="atLeast"/>
        </w:trPr>
        <w:tc>
          <w:tcPr>
            <w:tcW w:w="1600" w:type="dxa"/>
            <w:vMerge w:val="restart"/>
            <w:tcBorders>
              <w:top w:val="single" w:color="000000" w:sz="8" w:space="0"/>
              <w:left w:val="nil"/>
              <w:bottom w:val="single" w:color="000000" w:sz="8" w:space="0"/>
              <w:right w:val="nil"/>
            </w:tcBorders>
            <w:shd w:val="clear" w:color="auto" w:fill="auto"/>
            <w:vAlign w:val="center"/>
          </w:tcPr>
          <w:p w14:paraId="54DAB9F8">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Repeat</w:t>
            </w:r>
          </w:p>
        </w:tc>
        <w:tc>
          <w:tcPr>
            <w:tcW w:w="6377" w:type="dxa"/>
            <w:gridSpan w:val="4"/>
            <w:tcBorders>
              <w:top w:val="single" w:color="000000" w:sz="8" w:space="0"/>
              <w:left w:val="nil"/>
              <w:bottom w:val="single" w:color="000000" w:sz="8" w:space="0"/>
              <w:right w:val="nil"/>
            </w:tcBorders>
            <w:shd w:val="clear" w:color="auto" w:fill="auto"/>
            <w:vAlign w:val="center"/>
          </w:tcPr>
          <w:p w14:paraId="661D34E2">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Treatment (mm)</w:t>
            </w:r>
          </w:p>
        </w:tc>
      </w:tr>
      <w:tr w14:paraId="2EB1C0A5">
        <w:tblPrEx>
          <w:tblCellMar>
            <w:top w:w="0" w:type="dxa"/>
            <w:left w:w="108" w:type="dxa"/>
            <w:bottom w:w="0" w:type="dxa"/>
            <w:right w:w="108" w:type="dxa"/>
          </w:tblCellMar>
        </w:tblPrEx>
        <w:trPr>
          <w:trHeight w:val="330" w:hRule="atLeast"/>
        </w:trPr>
        <w:tc>
          <w:tcPr>
            <w:tcW w:w="1600" w:type="dxa"/>
            <w:vMerge w:val="continue"/>
            <w:tcBorders>
              <w:top w:val="single" w:color="000000" w:sz="8" w:space="0"/>
              <w:left w:val="nil"/>
              <w:bottom w:val="single" w:color="000000" w:sz="8" w:space="0"/>
              <w:right w:val="nil"/>
            </w:tcBorders>
            <w:shd w:val="clear" w:color="auto" w:fill="auto"/>
            <w:vAlign w:val="center"/>
          </w:tcPr>
          <w:p w14:paraId="78455D6D">
            <w:pPr>
              <w:jc w:val="center"/>
              <w:rPr>
                <w:rFonts w:ascii="Times New Roman" w:hAnsi="Times New Roman"/>
                <w:color w:val="000000"/>
                <w:sz w:val="24"/>
                <w:szCs w:val="24"/>
              </w:rPr>
            </w:pPr>
          </w:p>
        </w:tc>
        <w:tc>
          <w:tcPr>
            <w:tcW w:w="1600" w:type="dxa"/>
            <w:tcBorders>
              <w:top w:val="nil"/>
              <w:left w:val="nil"/>
              <w:bottom w:val="single" w:color="000000" w:sz="8" w:space="0"/>
              <w:right w:val="nil"/>
            </w:tcBorders>
            <w:shd w:val="clear" w:color="auto" w:fill="auto"/>
            <w:vAlign w:val="center"/>
          </w:tcPr>
          <w:p w14:paraId="181E2552">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A</w:t>
            </w:r>
          </w:p>
        </w:tc>
        <w:tc>
          <w:tcPr>
            <w:tcW w:w="1400" w:type="dxa"/>
            <w:tcBorders>
              <w:top w:val="nil"/>
              <w:left w:val="nil"/>
              <w:bottom w:val="single" w:color="000000" w:sz="8" w:space="0"/>
              <w:right w:val="nil"/>
            </w:tcBorders>
            <w:shd w:val="clear" w:color="auto" w:fill="auto"/>
            <w:vAlign w:val="center"/>
          </w:tcPr>
          <w:p w14:paraId="578A850B">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B</w:t>
            </w:r>
          </w:p>
        </w:tc>
        <w:tc>
          <w:tcPr>
            <w:tcW w:w="1480" w:type="dxa"/>
            <w:tcBorders>
              <w:top w:val="nil"/>
              <w:left w:val="nil"/>
              <w:bottom w:val="single" w:color="000000" w:sz="8" w:space="0"/>
              <w:right w:val="nil"/>
            </w:tcBorders>
            <w:shd w:val="clear" w:color="auto" w:fill="auto"/>
            <w:vAlign w:val="center"/>
          </w:tcPr>
          <w:p w14:paraId="781ED10F">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C</w:t>
            </w:r>
          </w:p>
        </w:tc>
        <w:tc>
          <w:tcPr>
            <w:tcW w:w="1897" w:type="dxa"/>
            <w:tcBorders>
              <w:top w:val="nil"/>
              <w:left w:val="nil"/>
              <w:bottom w:val="single" w:color="000000" w:sz="8" w:space="0"/>
              <w:right w:val="nil"/>
            </w:tcBorders>
            <w:shd w:val="clear" w:color="auto" w:fill="auto"/>
            <w:vAlign w:val="center"/>
          </w:tcPr>
          <w:p w14:paraId="5147130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D</w:t>
            </w:r>
          </w:p>
        </w:tc>
      </w:tr>
      <w:tr w14:paraId="457E6CD6">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74385042">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w:t>
            </w:r>
          </w:p>
        </w:tc>
        <w:tc>
          <w:tcPr>
            <w:tcW w:w="0" w:type="auto"/>
            <w:tcBorders>
              <w:top w:val="nil"/>
              <w:left w:val="nil"/>
              <w:bottom w:val="single" w:color="auto" w:sz="8" w:space="0"/>
              <w:right w:val="nil"/>
            </w:tcBorders>
            <w:shd w:val="clear" w:color="auto" w:fill="auto"/>
            <w:noWrap/>
            <w:vAlign w:val="center"/>
          </w:tcPr>
          <w:p w14:paraId="2F6BD768">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15.10</w:t>
            </w:r>
          </w:p>
        </w:tc>
        <w:tc>
          <w:tcPr>
            <w:tcW w:w="1400" w:type="dxa"/>
            <w:tcBorders>
              <w:top w:val="nil"/>
              <w:left w:val="nil"/>
              <w:bottom w:val="single" w:color="000000" w:sz="8" w:space="0"/>
              <w:right w:val="nil"/>
            </w:tcBorders>
            <w:shd w:val="clear" w:color="auto" w:fill="auto"/>
            <w:vAlign w:val="center"/>
          </w:tcPr>
          <w:p w14:paraId="57338C1E">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18.8</w:t>
            </w:r>
          </w:p>
        </w:tc>
        <w:tc>
          <w:tcPr>
            <w:tcW w:w="1480" w:type="dxa"/>
            <w:tcBorders>
              <w:top w:val="nil"/>
              <w:left w:val="nil"/>
              <w:bottom w:val="single" w:color="000000" w:sz="8" w:space="0"/>
              <w:right w:val="nil"/>
            </w:tcBorders>
            <w:shd w:val="clear" w:color="auto" w:fill="auto"/>
            <w:vAlign w:val="center"/>
          </w:tcPr>
          <w:p w14:paraId="6F9344D8">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36.00</w:t>
            </w:r>
          </w:p>
        </w:tc>
        <w:tc>
          <w:tcPr>
            <w:tcW w:w="1897" w:type="dxa"/>
            <w:tcBorders>
              <w:top w:val="nil"/>
              <w:left w:val="nil"/>
              <w:bottom w:val="single" w:color="000000" w:sz="8" w:space="0"/>
              <w:right w:val="nil"/>
            </w:tcBorders>
            <w:shd w:val="clear" w:color="auto" w:fill="auto"/>
            <w:vAlign w:val="center"/>
          </w:tcPr>
          <w:p w14:paraId="7FC50C8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29.70</w:t>
            </w:r>
          </w:p>
        </w:tc>
      </w:tr>
      <w:tr w14:paraId="405368E2">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1E2226D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2</w:t>
            </w:r>
          </w:p>
        </w:tc>
        <w:tc>
          <w:tcPr>
            <w:tcW w:w="0" w:type="auto"/>
            <w:tcBorders>
              <w:top w:val="nil"/>
              <w:left w:val="nil"/>
              <w:bottom w:val="single" w:color="auto" w:sz="8" w:space="0"/>
              <w:right w:val="nil"/>
            </w:tcBorders>
            <w:shd w:val="clear" w:color="auto" w:fill="auto"/>
            <w:noWrap/>
            <w:vAlign w:val="center"/>
          </w:tcPr>
          <w:p w14:paraId="1F389219">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17.00</w:t>
            </w:r>
          </w:p>
        </w:tc>
        <w:tc>
          <w:tcPr>
            <w:tcW w:w="1400" w:type="dxa"/>
            <w:tcBorders>
              <w:top w:val="nil"/>
              <w:left w:val="nil"/>
              <w:bottom w:val="single" w:color="000000" w:sz="8" w:space="0"/>
              <w:right w:val="nil"/>
            </w:tcBorders>
            <w:shd w:val="clear" w:color="auto" w:fill="auto"/>
            <w:vAlign w:val="center"/>
          </w:tcPr>
          <w:p w14:paraId="58497EF4">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17.1</w:t>
            </w:r>
          </w:p>
        </w:tc>
        <w:tc>
          <w:tcPr>
            <w:tcW w:w="1480" w:type="dxa"/>
            <w:tcBorders>
              <w:top w:val="nil"/>
              <w:left w:val="nil"/>
              <w:bottom w:val="single" w:color="000000" w:sz="8" w:space="0"/>
              <w:right w:val="nil"/>
            </w:tcBorders>
            <w:shd w:val="clear" w:color="auto" w:fill="auto"/>
            <w:vAlign w:val="center"/>
          </w:tcPr>
          <w:p w14:paraId="1698477C">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34.90</w:t>
            </w:r>
          </w:p>
        </w:tc>
        <w:tc>
          <w:tcPr>
            <w:tcW w:w="1897" w:type="dxa"/>
            <w:tcBorders>
              <w:top w:val="nil"/>
              <w:left w:val="nil"/>
              <w:bottom w:val="single" w:color="000000" w:sz="8" w:space="0"/>
              <w:right w:val="nil"/>
            </w:tcBorders>
            <w:shd w:val="clear" w:color="auto" w:fill="auto"/>
            <w:vAlign w:val="center"/>
          </w:tcPr>
          <w:p w14:paraId="6AFB28A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28.90</w:t>
            </w:r>
          </w:p>
        </w:tc>
      </w:tr>
      <w:tr w14:paraId="03D39DB8">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5AEB7440">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3</w:t>
            </w:r>
          </w:p>
        </w:tc>
        <w:tc>
          <w:tcPr>
            <w:tcW w:w="0" w:type="auto"/>
            <w:tcBorders>
              <w:top w:val="nil"/>
              <w:left w:val="nil"/>
              <w:bottom w:val="single" w:color="auto" w:sz="8" w:space="0"/>
              <w:right w:val="nil"/>
            </w:tcBorders>
            <w:shd w:val="clear" w:color="auto" w:fill="auto"/>
            <w:noWrap/>
            <w:vAlign w:val="center"/>
          </w:tcPr>
          <w:p w14:paraId="15D7A666">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15.500</w:t>
            </w:r>
          </w:p>
        </w:tc>
        <w:tc>
          <w:tcPr>
            <w:tcW w:w="1400" w:type="dxa"/>
            <w:tcBorders>
              <w:top w:val="nil"/>
              <w:left w:val="nil"/>
              <w:bottom w:val="single" w:color="000000" w:sz="8" w:space="0"/>
              <w:right w:val="nil"/>
            </w:tcBorders>
            <w:shd w:val="clear" w:color="auto" w:fill="auto"/>
            <w:vAlign w:val="center"/>
          </w:tcPr>
          <w:p w14:paraId="0D176728">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17.4</w:t>
            </w:r>
          </w:p>
        </w:tc>
        <w:tc>
          <w:tcPr>
            <w:tcW w:w="1480" w:type="dxa"/>
            <w:tcBorders>
              <w:top w:val="nil"/>
              <w:left w:val="nil"/>
              <w:bottom w:val="single" w:color="000000" w:sz="8" w:space="0"/>
              <w:right w:val="nil"/>
            </w:tcBorders>
            <w:shd w:val="clear" w:color="auto" w:fill="auto"/>
            <w:vAlign w:val="center"/>
          </w:tcPr>
          <w:p w14:paraId="55DD23AD">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35.80</w:t>
            </w:r>
          </w:p>
        </w:tc>
        <w:tc>
          <w:tcPr>
            <w:tcW w:w="1897" w:type="dxa"/>
            <w:tcBorders>
              <w:top w:val="nil"/>
              <w:left w:val="nil"/>
              <w:bottom w:val="single" w:color="000000" w:sz="8" w:space="0"/>
              <w:right w:val="nil"/>
            </w:tcBorders>
            <w:shd w:val="clear" w:color="auto" w:fill="auto"/>
            <w:vAlign w:val="center"/>
          </w:tcPr>
          <w:p w14:paraId="1FAE7BE4">
            <w:pPr>
              <w:jc w:val="center"/>
              <w:textAlignment w:val="center"/>
              <w:rPr>
                <w:rFonts w:ascii="Times New Roman" w:hAnsi="Times New Roman"/>
                <w:color w:val="000000"/>
                <w:sz w:val="24"/>
                <w:szCs w:val="24"/>
              </w:rPr>
            </w:pPr>
            <w:r>
              <w:rPr>
                <w:rFonts w:ascii="Times New Roman" w:hAnsi="Times New Roman" w:eastAsia="SimSun"/>
                <w:color w:val="000000"/>
                <w:sz w:val="24"/>
                <w:szCs w:val="24"/>
                <w:lang w:val="en-US" w:eastAsia="zh-CN"/>
              </w:rPr>
              <w:t>29.50</w:t>
            </w:r>
          </w:p>
        </w:tc>
      </w:tr>
      <w:tr w14:paraId="4A9196B0">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68563EAF">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Total</w:t>
            </w:r>
          </w:p>
        </w:tc>
        <w:tc>
          <w:tcPr>
            <w:tcW w:w="0" w:type="auto"/>
            <w:tcBorders>
              <w:top w:val="nil"/>
              <w:left w:val="nil"/>
              <w:bottom w:val="single" w:color="auto" w:sz="8" w:space="0"/>
              <w:right w:val="nil"/>
            </w:tcBorders>
            <w:shd w:val="clear" w:color="auto" w:fill="auto"/>
            <w:noWrap/>
            <w:vAlign w:val="center"/>
          </w:tcPr>
          <w:p w14:paraId="4FAFAB2C">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47.60</w:t>
            </w:r>
          </w:p>
        </w:tc>
        <w:tc>
          <w:tcPr>
            <w:tcW w:w="1400" w:type="dxa"/>
            <w:tcBorders>
              <w:top w:val="nil"/>
              <w:left w:val="nil"/>
              <w:bottom w:val="single" w:color="000000" w:sz="8" w:space="0"/>
              <w:right w:val="nil"/>
            </w:tcBorders>
            <w:shd w:val="clear" w:color="auto" w:fill="auto"/>
            <w:vAlign w:val="center"/>
          </w:tcPr>
          <w:p w14:paraId="21468A88">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53.30</w:t>
            </w:r>
          </w:p>
        </w:tc>
        <w:tc>
          <w:tcPr>
            <w:tcW w:w="1480" w:type="dxa"/>
            <w:tcBorders>
              <w:top w:val="nil"/>
              <w:left w:val="nil"/>
              <w:bottom w:val="single" w:color="000000" w:sz="8" w:space="0"/>
              <w:right w:val="nil"/>
            </w:tcBorders>
            <w:shd w:val="clear" w:color="auto" w:fill="auto"/>
            <w:vAlign w:val="center"/>
          </w:tcPr>
          <w:p w14:paraId="2A3D4B30">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106.70</w:t>
            </w:r>
          </w:p>
        </w:tc>
        <w:tc>
          <w:tcPr>
            <w:tcW w:w="1897" w:type="dxa"/>
            <w:tcBorders>
              <w:top w:val="nil"/>
              <w:left w:val="nil"/>
              <w:bottom w:val="single" w:color="000000" w:sz="8" w:space="0"/>
              <w:right w:val="nil"/>
            </w:tcBorders>
            <w:shd w:val="clear" w:color="auto" w:fill="auto"/>
            <w:vAlign w:val="center"/>
          </w:tcPr>
          <w:p w14:paraId="0C7A4ABB">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88.10</w:t>
            </w:r>
          </w:p>
        </w:tc>
      </w:tr>
      <w:tr w14:paraId="61C23BD8">
        <w:tblPrEx>
          <w:tblCellMar>
            <w:top w:w="0" w:type="dxa"/>
            <w:left w:w="108" w:type="dxa"/>
            <w:bottom w:w="0" w:type="dxa"/>
            <w:right w:w="108" w:type="dxa"/>
          </w:tblCellMar>
        </w:tblPrEx>
        <w:trPr>
          <w:trHeight w:val="330" w:hRule="atLeast"/>
        </w:trPr>
        <w:tc>
          <w:tcPr>
            <w:tcW w:w="1600" w:type="dxa"/>
            <w:tcBorders>
              <w:top w:val="nil"/>
              <w:left w:val="nil"/>
              <w:bottom w:val="single" w:color="000000" w:sz="8" w:space="0"/>
              <w:right w:val="nil"/>
            </w:tcBorders>
            <w:shd w:val="clear" w:color="auto" w:fill="auto"/>
            <w:vAlign w:val="center"/>
          </w:tcPr>
          <w:p w14:paraId="4E4EC4F7">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Average</w:t>
            </w:r>
          </w:p>
        </w:tc>
        <w:tc>
          <w:tcPr>
            <w:tcW w:w="0" w:type="auto"/>
            <w:tcBorders>
              <w:top w:val="nil"/>
              <w:left w:val="nil"/>
              <w:bottom w:val="single" w:color="auto" w:sz="8" w:space="0"/>
              <w:right w:val="nil"/>
            </w:tcBorders>
            <w:shd w:val="clear" w:color="auto" w:fill="auto"/>
            <w:noWrap/>
            <w:vAlign w:val="center"/>
          </w:tcPr>
          <w:p w14:paraId="3EE70834">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15.87</w:t>
            </w:r>
          </w:p>
        </w:tc>
        <w:tc>
          <w:tcPr>
            <w:tcW w:w="1400" w:type="dxa"/>
            <w:tcBorders>
              <w:top w:val="nil"/>
              <w:left w:val="nil"/>
              <w:bottom w:val="single" w:color="000000" w:sz="8" w:space="0"/>
              <w:right w:val="nil"/>
            </w:tcBorders>
            <w:shd w:val="clear" w:color="auto" w:fill="auto"/>
            <w:vAlign w:val="center"/>
          </w:tcPr>
          <w:p w14:paraId="40328FE0">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17.77</w:t>
            </w:r>
          </w:p>
        </w:tc>
        <w:tc>
          <w:tcPr>
            <w:tcW w:w="1480" w:type="dxa"/>
            <w:tcBorders>
              <w:top w:val="nil"/>
              <w:left w:val="nil"/>
              <w:bottom w:val="single" w:color="000000" w:sz="8" w:space="0"/>
              <w:right w:val="nil"/>
            </w:tcBorders>
            <w:shd w:val="clear" w:color="auto" w:fill="auto"/>
            <w:vAlign w:val="center"/>
          </w:tcPr>
          <w:p w14:paraId="6EC66E2C">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35.57</w:t>
            </w:r>
          </w:p>
        </w:tc>
        <w:tc>
          <w:tcPr>
            <w:tcW w:w="1897" w:type="dxa"/>
            <w:tcBorders>
              <w:top w:val="nil"/>
              <w:left w:val="nil"/>
              <w:bottom w:val="single" w:color="000000" w:sz="8" w:space="0"/>
              <w:right w:val="nil"/>
            </w:tcBorders>
            <w:shd w:val="clear" w:color="auto" w:fill="auto"/>
            <w:vAlign w:val="center"/>
          </w:tcPr>
          <w:p w14:paraId="4D7D7A1B">
            <w:pPr>
              <w:jc w:val="center"/>
              <w:textAlignment w:val="center"/>
              <w:rPr>
                <w:rFonts w:ascii="Times New Roman" w:hAnsi="Times New Roman"/>
                <w:b/>
                <w:bCs/>
                <w:color w:val="000000"/>
                <w:sz w:val="24"/>
                <w:szCs w:val="24"/>
              </w:rPr>
            </w:pPr>
            <w:r>
              <w:rPr>
                <w:rFonts w:ascii="Times New Roman" w:hAnsi="Times New Roman" w:eastAsia="SimSun"/>
                <w:b/>
                <w:bCs/>
                <w:color w:val="000000"/>
                <w:sz w:val="24"/>
                <w:szCs w:val="24"/>
                <w:lang w:val="en-US" w:eastAsia="zh-CN"/>
              </w:rPr>
              <w:t>29.37</w:t>
            </w:r>
          </w:p>
        </w:tc>
      </w:tr>
    </w:tbl>
    <w:p w14:paraId="724611DE">
      <w:pPr>
        <w:spacing w:line="360" w:lineRule="auto"/>
        <w:jc w:val="both"/>
        <w:rPr>
          <w:rFonts w:ascii="Times New Roman" w:hAnsi="Times New Roman" w:eastAsia="TimesNewRomanPSMT"/>
          <w:color w:val="000000"/>
          <w:sz w:val="24"/>
          <w:szCs w:val="24"/>
          <w:lang w:val="fi-FI" w:eastAsia="zh-CN"/>
        </w:rPr>
      </w:pPr>
    </w:p>
    <w:p w14:paraId="56CE09AF">
      <w:pPr>
        <w:spacing w:line="240" w:lineRule="auto"/>
        <w:ind w:firstLine="720" w:firstLineChars="0"/>
        <w:jc w:val="both"/>
        <w:rPr>
          <w:rFonts w:ascii="Times New Roman" w:hAnsi="Times New Roman"/>
          <w:sz w:val="24"/>
          <w:szCs w:val="24"/>
        </w:rPr>
      </w:pPr>
      <w:r>
        <w:rPr>
          <w:rFonts w:ascii="Times New Roman" w:hAnsi="Times New Roman"/>
          <w:sz w:val="24"/>
          <w:szCs w:val="24"/>
        </w:rPr>
        <w:t xml:space="preserve">Based on data table 4. The highest absolute length growth of tilapia larvae was obtained in treatment C at 35.57 mm, followed by treatment D at 29.37 mm, treatment B at 17.77 mm and the lowest was in treatment A at 15.87 mm. The analysis of variance showed a </w:t>
      </w:r>
      <w:r>
        <w:rPr>
          <w:rFonts w:ascii="Times New Roman" w:hAnsi="Times New Roman"/>
          <w:i/>
          <w:iCs/>
          <w:sz w:val="24"/>
          <w:szCs w:val="24"/>
        </w:rPr>
        <w:t xml:space="preserve">highly significant </w:t>
      </w:r>
      <w:r>
        <w:rPr>
          <w:rFonts w:ascii="Times New Roman" w:hAnsi="Times New Roman"/>
          <w:sz w:val="24"/>
          <w:szCs w:val="24"/>
        </w:rPr>
        <w:t>effect of EM-4 probiotic dosing (P &lt; 0.01) on the length growth of brackish tilapia larvae.</w:t>
      </w:r>
    </w:p>
    <w:p w14:paraId="4F8113BD">
      <w:pPr>
        <w:spacing w:line="240" w:lineRule="auto"/>
        <w:ind w:firstLine="720" w:firstLineChars="0"/>
        <w:jc w:val="both"/>
        <w:rPr>
          <w:rFonts w:hint="default" w:ascii="Times New Roman" w:hAnsi="Times New Roman"/>
          <w:sz w:val="24"/>
          <w:szCs w:val="24"/>
        </w:rPr>
      </w:pPr>
      <w:r>
        <w:rPr>
          <w:rFonts w:hint="default" w:ascii="Times New Roman" w:hAnsi="Times New Roman"/>
          <w:sz w:val="24"/>
          <w:szCs w:val="24"/>
        </w:rPr>
        <w:t xml:space="preserve">The provision of EM-4 probiotics containing Lactobacillus bacteria, Actinomycetes sp, and yeast in feed aims to increase fish digestibility of feed by increasing digestive enzymes so that they are easily absorbed and used as fish growth. This is in accordance with Noviana et al (2014) which states that probiotics are photosynthetic bacteria, such as Lactobacillus sp, Actinomycetes sp, Streptomycetes sp, and yeast. EM4 probiotics containing lignocellulotic microbes will help break lignocellulotic bonds so that lignin and cellulose will be released and proteolytic microbes produce protease enzymes that function to break down proteins into amino acids. The use of probiotics in fish feed can increase digestibility. </w:t>
      </w:r>
    </w:p>
    <w:p w14:paraId="2DCF9808">
      <w:pPr>
        <w:spacing w:line="240" w:lineRule="auto"/>
        <w:ind w:firstLine="720" w:firstLineChars="0"/>
        <w:jc w:val="both"/>
        <w:rPr>
          <w:rFonts w:hint="default" w:ascii="Times New Roman" w:hAnsi="Times New Roman"/>
          <w:sz w:val="24"/>
          <w:szCs w:val="24"/>
        </w:rPr>
      </w:pPr>
      <w:r>
        <w:rPr>
          <w:rFonts w:hint="default" w:ascii="Times New Roman" w:hAnsi="Times New Roman"/>
          <w:sz w:val="24"/>
          <w:szCs w:val="24"/>
        </w:rPr>
        <w:t xml:space="preserve">and growth of tilapia. </w:t>
      </w:r>
    </w:p>
    <w:p w14:paraId="006B1850">
      <w:pPr>
        <w:spacing w:line="240" w:lineRule="auto"/>
        <w:ind w:firstLine="720" w:firstLineChars="0"/>
        <w:jc w:val="both"/>
        <w:rPr>
          <w:rFonts w:ascii="Times New Roman" w:hAnsi="Times New Roman"/>
          <w:sz w:val="24"/>
          <w:szCs w:val="24"/>
        </w:rPr>
      </w:pPr>
      <w:r>
        <w:rPr>
          <w:rFonts w:hint="default" w:ascii="Times New Roman" w:hAnsi="Times New Roman"/>
          <w:sz w:val="24"/>
          <w:szCs w:val="24"/>
        </w:rPr>
        <w:t xml:space="preserve">According to Weatherley in Hartanto (1996), growth is a change in the size of fish both in weight, length and volume over a period of time caused by changes in tissue due to cell division of muscle and bone which is the largest part of the fish body so as to cause additional fish weight. </w:t>
      </w:r>
    </w:p>
    <w:p w14:paraId="21624128">
      <w:pPr>
        <w:spacing w:line="240" w:lineRule="auto"/>
        <w:ind w:firstLine="567"/>
        <w:jc w:val="both"/>
        <w:rPr>
          <w:rFonts w:ascii="Book Antiqua" w:hAnsi="Book Antiqua" w:cs="Book Antiqua"/>
          <w:b w:val="0"/>
          <w:bCs/>
          <w:i/>
          <w:iCs/>
        </w:rPr>
      </w:pPr>
    </w:p>
    <w:p w14:paraId="25747FE9">
      <w:pPr>
        <w:numPr>
          <w:ilvl w:val="0"/>
          <w:numId w:val="4"/>
        </w:numPr>
        <w:tabs>
          <w:tab w:val="left" w:pos="4703"/>
          <w:tab w:val="left" w:pos="5132"/>
          <w:tab w:val="clear" w:pos="425"/>
        </w:tabs>
        <w:spacing w:after="0" w:line="240" w:lineRule="auto"/>
        <w:ind w:left="425" w:leftChars="0" w:hanging="425" w:firstLineChars="0"/>
        <w:jc w:val="both"/>
        <w:rPr>
          <w:rFonts w:hint="default" w:ascii="Book Antiqua" w:hAnsi="Book Antiqua" w:cs="Book Antiqua"/>
          <w:b w:val="0"/>
          <w:bCs/>
          <w:i/>
          <w:iCs/>
          <w:sz w:val="24"/>
          <w:szCs w:val="24"/>
        </w:rPr>
      </w:pPr>
      <w:r>
        <w:rPr>
          <w:rFonts w:hint="default" w:ascii="Book Antiqua" w:hAnsi="Book Antiqua" w:cs="Book Antiqua"/>
          <w:b w:val="0"/>
          <w:bCs/>
          <w:i/>
          <w:iCs/>
          <w:sz w:val="24"/>
          <w:szCs w:val="24"/>
        </w:rPr>
        <w:t>Water Quality</w:t>
      </w:r>
    </w:p>
    <w:p w14:paraId="015BCF96">
      <w:pPr>
        <w:tabs>
          <w:tab w:val="left" w:pos="4703"/>
          <w:tab w:val="left" w:pos="5132"/>
        </w:tabs>
        <w:spacing w:after="0" w:line="240" w:lineRule="auto"/>
        <w:jc w:val="both"/>
        <w:rPr>
          <w:rFonts w:ascii="Times New Roman" w:hAnsi="Times New Roman"/>
          <w:sz w:val="24"/>
          <w:szCs w:val="24"/>
        </w:rPr>
      </w:pPr>
      <w:r>
        <w:rPr>
          <w:rFonts w:ascii="Times New Roman" w:hAnsi="Times New Roman"/>
          <w:sz w:val="24"/>
          <w:szCs w:val="24"/>
        </w:rPr>
        <w:t xml:space="preserve">       The table below shows the value of water quality measurements including temperature, dissolved oxygen, and acidity/pH during the 30-day maintenance period. For more details can be seen in table 6</w:t>
      </w:r>
    </w:p>
    <w:p w14:paraId="37A347F0">
      <w:pPr>
        <w:tabs>
          <w:tab w:val="left" w:pos="4703"/>
          <w:tab w:val="left" w:pos="5132"/>
        </w:tabs>
        <w:spacing w:before="240" w:after="0" w:line="360" w:lineRule="auto"/>
        <w:jc w:val="center"/>
        <w:rPr>
          <w:rFonts w:ascii="Times New Roman" w:hAnsi="Times New Roman"/>
          <w:sz w:val="24"/>
          <w:szCs w:val="24"/>
        </w:rPr>
      </w:pPr>
      <w:r>
        <w:rPr>
          <w:rFonts w:ascii="Times New Roman" w:hAnsi="Times New Roman"/>
          <w:b/>
          <w:sz w:val="24"/>
          <w:szCs w:val="24"/>
        </w:rPr>
        <w:t>Table 6: Water Quality Range During the Study</w:t>
      </w:r>
    </w:p>
    <w:tbl>
      <w:tblPr>
        <w:tblStyle w:val="7"/>
        <w:tblW w:w="7882" w:type="dxa"/>
        <w:jc w:val="center"/>
        <w:tblLayout w:type="autofit"/>
        <w:tblCellMar>
          <w:top w:w="0" w:type="dxa"/>
          <w:left w:w="108" w:type="dxa"/>
          <w:bottom w:w="0" w:type="dxa"/>
          <w:right w:w="108" w:type="dxa"/>
        </w:tblCellMar>
      </w:tblPr>
      <w:tblGrid>
        <w:gridCol w:w="1442"/>
        <w:gridCol w:w="870"/>
        <w:gridCol w:w="1364"/>
        <w:gridCol w:w="1440"/>
        <w:gridCol w:w="1398"/>
        <w:gridCol w:w="1471"/>
      </w:tblGrid>
      <w:tr w14:paraId="039AB4E4">
        <w:tblPrEx>
          <w:tblCellMar>
            <w:top w:w="0" w:type="dxa"/>
            <w:left w:w="108" w:type="dxa"/>
            <w:bottom w:w="0" w:type="dxa"/>
            <w:right w:w="108" w:type="dxa"/>
          </w:tblCellMar>
        </w:tblPrEx>
        <w:trPr>
          <w:trHeight w:val="501" w:hRule="atLeast"/>
          <w:jc w:val="center"/>
        </w:trPr>
        <w:tc>
          <w:tcPr>
            <w:tcW w:w="1339"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28EDBBCE">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Parameters</w:t>
            </w:r>
          </w:p>
        </w:tc>
        <w:tc>
          <w:tcPr>
            <w:tcW w:w="870"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434A9C96">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Unit</w:t>
            </w:r>
          </w:p>
        </w:tc>
        <w:tc>
          <w:tcPr>
            <w:tcW w:w="5673" w:type="dxa"/>
            <w:gridSpan w:val="4"/>
            <w:tcBorders>
              <w:top w:val="single" w:color="auto" w:sz="4" w:space="0"/>
              <w:left w:val="nil"/>
              <w:bottom w:val="single" w:color="auto" w:sz="4" w:space="0"/>
              <w:right w:val="single" w:color="000000" w:sz="4" w:space="0"/>
            </w:tcBorders>
            <w:shd w:val="clear" w:color="auto" w:fill="auto"/>
            <w:noWrap/>
            <w:vAlign w:val="center"/>
          </w:tcPr>
          <w:p w14:paraId="2065FCA9">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Treatment</w:t>
            </w:r>
          </w:p>
        </w:tc>
      </w:tr>
      <w:tr w14:paraId="1D3DB5CA">
        <w:tblPrEx>
          <w:tblCellMar>
            <w:top w:w="0" w:type="dxa"/>
            <w:left w:w="108" w:type="dxa"/>
            <w:bottom w:w="0" w:type="dxa"/>
            <w:right w:w="108" w:type="dxa"/>
          </w:tblCellMar>
        </w:tblPrEx>
        <w:trPr>
          <w:trHeight w:val="539" w:hRule="atLeast"/>
          <w:jc w:val="center"/>
        </w:trPr>
        <w:tc>
          <w:tcPr>
            <w:tcW w:w="1339" w:type="dxa"/>
            <w:vMerge w:val="continue"/>
            <w:tcBorders>
              <w:top w:val="single" w:color="auto" w:sz="4" w:space="0"/>
              <w:left w:val="single" w:color="auto" w:sz="4" w:space="0"/>
              <w:bottom w:val="single" w:color="000000" w:sz="4" w:space="0"/>
              <w:right w:val="single" w:color="auto" w:sz="4" w:space="0"/>
            </w:tcBorders>
            <w:vAlign w:val="center"/>
          </w:tcPr>
          <w:p w14:paraId="611A4BF8">
            <w:pPr>
              <w:spacing w:after="0" w:line="240" w:lineRule="auto"/>
              <w:rPr>
                <w:rFonts w:ascii="Times New Roman" w:hAnsi="Times New Roman" w:eastAsia="Times New Roman"/>
                <w:color w:val="000000"/>
                <w:sz w:val="24"/>
                <w:szCs w:val="24"/>
              </w:rPr>
            </w:pPr>
          </w:p>
        </w:tc>
        <w:tc>
          <w:tcPr>
            <w:tcW w:w="870" w:type="dxa"/>
            <w:vMerge w:val="continue"/>
            <w:tcBorders>
              <w:top w:val="single" w:color="auto" w:sz="4" w:space="0"/>
              <w:left w:val="single" w:color="auto" w:sz="4" w:space="0"/>
              <w:bottom w:val="single" w:color="000000" w:sz="4" w:space="0"/>
              <w:right w:val="single" w:color="auto" w:sz="4" w:space="0"/>
            </w:tcBorders>
            <w:vAlign w:val="center"/>
          </w:tcPr>
          <w:p w14:paraId="48E14B53">
            <w:pPr>
              <w:spacing w:after="0" w:line="240" w:lineRule="auto"/>
              <w:rPr>
                <w:rFonts w:ascii="Times New Roman" w:hAnsi="Times New Roman" w:eastAsia="Times New Roman"/>
                <w:color w:val="000000"/>
                <w:sz w:val="24"/>
                <w:szCs w:val="24"/>
              </w:rPr>
            </w:pPr>
          </w:p>
        </w:tc>
        <w:tc>
          <w:tcPr>
            <w:tcW w:w="1364" w:type="dxa"/>
            <w:tcBorders>
              <w:top w:val="nil"/>
              <w:left w:val="nil"/>
              <w:bottom w:val="single" w:color="auto" w:sz="4" w:space="0"/>
              <w:right w:val="single" w:color="auto" w:sz="4" w:space="0"/>
            </w:tcBorders>
            <w:shd w:val="clear" w:color="auto" w:fill="auto"/>
            <w:noWrap/>
            <w:vAlign w:val="center"/>
          </w:tcPr>
          <w:p w14:paraId="06138E04">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A</w:t>
            </w:r>
          </w:p>
        </w:tc>
        <w:tc>
          <w:tcPr>
            <w:tcW w:w="1440" w:type="dxa"/>
            <w:tcBorders>
              <w:top w:val="nil"/>
              <w:left w:val="nil"/>
              <w:bottom w:val="single" w:color="auto" w:sz="4" w:space="0"/>
              <w:right w:val="single" w:color="auto" w:sz="4" w:space="0"/>
            </w:tcBorders>
            <w:shd w:val="clear" w:color="auto" w:fill="auto"/>
            <w:noWrap/>
            <w:vAlign w:val="center"/>
          </w:tcPr>
          <w:p w14:paraId="373BE148">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B</w:t>
            </w:r>
          </w:p>
        </w:tc>
        <w:tc>
          <w:tcPr>
            <w:tcW w:w="1398" w:type="dxa"/>
            <w:tcBorders>
              <w:top w:val="nil"/>
              <w:left w:val="nil"/>
              <w:bottom w:val="single" w:color="auto" w:sz="4" w:space="0"/>
              <w:right w:val="single" w:color="auto" w:sz="4" w:space="0"/>
            </w:tcBorders>
            <w:shd w:val="clear" w:color="auto" w:fill="auto"/>
            <w:noWrap/>
            <w:vAlign w:val="center"/>
          </w:tcPr>
          <w:p w14:paraId="0F3E58FB">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C</w:t>
            </w:r>
          </w:p>
        </w:tc>
        <w:tc>
          <w:tcPr>
            <w:tcW w:w="1471" w:type="dxa"/>
            <w:tcBorders>
              <w:top w:val="nil"/>
              <w:left w:val="nil"/>
              <w:bottom w:val="single" w:color="auto" w:sz="4" w:space="0"/>
              <w:right w:val="single" w:color="auto" w:sz="4" w:space="0"/>
            </w:tcBorders>
            <w:shd w:val="clear" w:color="auto" w:fill="auto"/>
            <w:noWrap/>
            <w:vAlign w:val="center"/>
          </w:tcPr>
          <w:p w14:paraId="65E85625">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D</w:t>
            </w:r>
          </w:p>
        </w:tc>
      </w:tr>
      <w:tr w14:paraId="60D3B243">
        <w:tblPrEx>
          <w:tblCellMar>
            <w:top w:w="0" w:type="dxa"/>
            <w:left w:w="108" w:type="dxa"/>
            <w:bottom w:w="0" w:type="dxa"/>
            <w:right w:w="108" w:type="dxa"/>
          </w:tblCellMar>
        </w:tblPrEx>
        <w:trPr>
          <w:trHeight w:val="539" w:hRule="atLeast"/>
          <w:jc w:val="center"/>
        </w:trPr>
        <w:tc>
          <w:tcPr>
            <w:tcW w:w="1339" w:type="dxa"/>
            <w:tcBorders>
              <w:top w:val="single" w:color="auto" w:sz="4" w:space="0"/>
              <w:left w:val="single" w:color="auto" w:sz="4" w:space="0"/>
              <w:bottom w:val="single" w:color="000000" w:sz="4" w:space="0"/>
              <w:right w:val="single" w:color="auto" w:sz="4" w:space="0"/>
            </w:tcBorders>
            <w:vAlign w:val="center"/>
          </w:tcPr>
          <w:p w14:paraId="6373D2E2">
            <w:pPr>
              <w:spacing w:after="0" w:line="240" w:lineRule="auto"/>
              <w:rPr>
                <w:rFonts w:ascii="Times New Roman" w:hAnsi="Times New Roman" w:eastAsia="Times New Roman"/>
                <w:color w:val="000000"/>
                <w:sz w:val="24"/>
                <w:szCs w:val="24"/>
                <w:lang w:val="en-US"/>
              </w:rPr>
            </w:pPr>
            <w:r>
              <w:rPr>
                <w:rFonts w:ascii="Times New Roman" w:hAnsi="Times New Roman" w:eastAsia="Times New Roman"/>
                <w:color w:val="000000"/>
                <w:sz w:val="24"/>
                <w:szCs w:val="24"/>
                <w:lang w:val="en-US"/>
              </w:rPr>
              <w:t>Salinity</w:t>
            </w:r>
          </w:p>
        </w:tc>
        <w:tc>
          <w:tcPr>
            <w:tcW w:w="870" w:type="dxa"/>
            <w:tcBorders>
              <w:top w:val="single" w:color="auto" w:sz="4" w:space="0"/>
              <w:left w:val="single" w:color="auto" w:sz="4" w:space="0"/>
              <w:bottom w:val="single" w:color="000000" w:sz="4" w:space="0"/>
              <w:right w:val="single" w:color="auto" w:sz="4" w:space="0"/>
            </w:tcBorders>
            <w:vAlign w:val="center"/>
          </w:tcPr>
          <w:p w14:paraId="6D6E1365">
            <w:pPr>
              <w:spacing w:after="0" w:line="240" w:lineRule="auto"/>
              <w:jc w:val="center"/>
              <w:rPr>
                <w:rFonts w:ascii="Times New Roman" w:hAnsi="Times New Roman" w:eastAsia="Times New Roman"/>
                <w:color w:val="000000"/>
                <w:sz w:val="24"/>
                <w:szCs w:val="24"/>
                <w:lang w:val="en-US"/>
              </w:rPr>
            </w:pPr>
            <w:r>
              <w:rPr>
                <w:rFonts w:ascii="Times New Roman" w:hAnsi="Times New Roman" w:eastAsia="Times New Roman"/>
                <w:color w:val="000000"/>
                <w:sz w:val="24"/>
                <w:szCs w:val="24"/>
                <w:lang w:val="en-US"/>
              </w:rPr>
              <w:t>ppt</w:t>
            </w:r>
          </w:p>
        </w:tc>
        <w:tc>
          <w:tcPr>
            <w:tcW w:w="1364" w:type="dxa"/>
            <w:tcBorders>
              <w:top w:val="nil"/>
              <w:left w:val="nil"/>
              <w:bottom w:val="single" w:color="auto" w:sz="4" w:space="0"/>
              <w:right w:val="single" w:color="auto" w:sz="4" w:space="0"/>
            </w:tcBorders>
            <w:shd w:val="clear" w:color="auto" w:fill="auto"/>
            <w:noWrap/>
            <w:vAlign w:val="center"/>
          </w:tcPr>
          <w:p w14:paraId="32EB0E17">
            <w:pPr>
              <w:spacing w:after="0" w:line="240" w:lineRule="auto"/>
              <w:jc w:val="center"/>
              <w:rPr>
                <w:rFonts w:ascii="Times New Roman" w:hAnsi="Times New Roman" w:eastAsia="Times New Roman"/>
                <w:color w:val="000000"/>
                <w:sz w:val="24"/>
                <w:szCs w:val="24"/>
                <w:lang w:val="en-US"/>
              </w:rPr>
            </w:pPr>
            <w:r>
              <w:rPr>
                <w:rFonts w:ascii="Times New Roman" w:hAnsi="Times New Roman" w:eastAsia="Times New Roman"/>
                <w:color w:val="000000"/>
                <w:sz w:val="24"/>
                <w:szCs w:val="24"/>
                <w:lang w:val="en-US"/>
              </w:rPr>
              <w:t xml:space="preserve">10 </w:t>
            </w:r>
          </w:p>
        </w:tc>
        <w:tc>
          <w:tcPr>
            <w:tcW w:w="1440" w:type="dxa"/>
            <w:tcBorders>
              <w:top w:val="nil"/>
              <w:left w:val="nil"/>
              <w:bottom w:val="single" w:color="auto" w:sz="4" w:space="0"/>
              <w:right w:val="single" w:color="auto" w:sz="4" w:space="0"/>
            </w:tcBorders>
            <w:shd w:val="clear" w:color="auto" w:fill="auto"/>
            <w:noWrap/>
            <w:vAlign w:val="center"/>
          </w:tcPr>
          <w:p w14:paraId="7E8860B1">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lang w:val="en-US"/>
              </w:rPr>
              <w:t xml:space="preserve">10 </w:t>
            </w:r>
          </w:p>
        </w:tc>
        <w:tc>
          <w:tcPr>
            <w:tcW w:w="1398" w:type="dxa"/>
            <w:tcBorders>
              <w:top w:val="nil"/>
              <w:left w:val="nil"/>
              <w:bottom w:val="single" w:color="auto" w:sz="4" w:space="0"/>
              <w:right w:val="single" w:color="auto" w:sz="4" w:space="0"/>
            </w:tcBorders>
            <w:shd w:val="clear" w:color="auto" w:fill="auto"/>
            <w:noWrap/>
            <w:vAlign w:val="center"/>
          </w:tcPr>
          <w:p w14:paraId="50F26C6C">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lang w:val="en-US"/>
              </w:rPr>
              <w:t xml:space="preserve">10 </w:t>
            </w:r>
          </w:p>
        </w:tc>
        <w:tc>
          <w:tcPr>
            <w:tcW w:w="1471" w:type="dxa"/>
            <w:tcBorders>
              <w:top w:val="nil"/>
              <w:left w:val="nil"/>
              <w:bottom w:val="single" w:color="auto" w:sz="4" w:space="0"/>
              <w:right w:val="single" w:color="auto" w:sz="4" w:space="0"/>
            </w:tcBorders>
            <w:shd w:val="clear" w:color="auto" w:fill="auto"/>
            <w:noWrap/>
            <w:vAlign w:val="center"/>
          </w:tcPr>
          <w:p w14:paraId="7F364A77">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lang w:val="en-US"/>
              </w:rPr>
              <w:t xml:space="preserve">10 </w:t>
            </w:r>
          </w:p>
        </w:tc>
      </w:tr>
      <w:tr w14:paraId="4BEC1938">
        <w:tblPrEx>
          <w:tblCellMar>
            <w:top w:w="0" w:type="dxa"/>
            <w:left w:w="108" w:type="dxa"/>
            <w:bottom w:w="0" w:type="dxa"/>
            <w:right w:w="108" w:type="dxa"/>
          </w:tblCellMar>
        </w:tblPrEx>
        <w:trPr>
          <w:trHeight w:val="359" w:hRule="atLeast"/>
          <w:jc w:val="center"/>
        </w:trPr>
        <w:tc>
          <w:tcPr>
            <w:tcW w:w="1339" w:type="dxa"/>
            <w:tcBorders>
              <w:top w:val="nil"/>
              <w:left w:val="single" w:color="auto" w:sz="4" w:space="0"/>
              <w:bottom w:val="single" w:color="auto" w:sz="4" w:space="0"/>
              <w:right w:val="single" w:color="auto" w:sz="4" w:space="0"/>
            </w:tcBorders>
            <w:shd w:val="clear" w:color="auto" w:fill="auto"/>
            <w:noWrap/>
            <w:vAlign w:val="center"/>
          </w:tcPr>
          <w:p w14:paraId="346A9812">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Temperature</w:t>
            </w:r>
          </w:p>
        </w:tc>
        <w:tc>
          <w:tcPr>
            <w:tcW w:w="870" w:type="dxa"/>
            <w:tcBorders>
              <w:top w:val="nil"/>
              <w:left w:val="nil"/>
              <w:bottom w:val="nil"/>
              <w:right w:val="nil"/>
            </w:tcBorders>
            <w:shd w:val="clear" w:color="auto" w:fill="auto"/>
            <w:noWrap/>
            <w:vAlign w:val="center"/>
          </w:tcPr>
          <w:p w14:paraId="7858BB4F">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vertAlign w:val="superscript"/>
              </w:rPr>
              <w:t>o</w:t>
            </w:r>
            <w:r>
              <w:rPr>
                <w:rFonts w:ascii="Times New Roman" w:hAnsi="Times New Roman" w:eastAsia="Times New Roman"/>
                <w:color w:val="000000"/>
                <w:sz w:val="24"/>
                <w:szCs w:val="24"/>
              </w:rPr>
              <w:t>C</w:t>
            </w:r>
          </w:p>
        </w:tc>
        <w:tc>
          <w:tcPr>
            <w:tcW w:w="1364" w:type="dxa"/>
            <w:tcBorders>
              <w:top w:val="nil"/>
              <w:left w:val="single" w:color="auto" w:sz="4" w:space="0"/>
              <w:bottom w:val="single" w:color="auto" w:sz="4" w:space="0"/>
              <w:right w:val="single" w:color="auto" w:sz="4" w:space="0"/>
            </w:tcBorders>
            <w:shd w:val="clear" w:color="auto" w:fill="auto"/>
            <w:noWrap/>
            <w:vAlign w:val="center"/>
          </w:tcPr>
          <w:p w14:paraId="7F16BE8E">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26 - 28</w:t>
            </w:r>
          </w:p>
        </w:tc>
        <w:tc>
          <w:tcPr>
            <w:tcW w:w="1440" w:type="dxa"/>
            <w:tcBorders>
              <w:top w:val="nil"/>
              <w:left w:val="nil"/>
              <w:bottom w:val="single" w:color="auto" w:sz="4" w:space="0"/>
              <w:right w:val="single" w:color="auto" w:sz="4" w:space="0"/>
            </w:tcBorders>
            <w:shd w:val="clear" w:color="auto" w:fill="auto"/>
            <w:noWrap/>
            <w:vAlign w:val="center"/>
          </w:tcPr>
          <w:p w14:paraId="26994D57">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26 -28</w:t>
            </w:r>
          </w:p>
        </w:tc>
        <w:tc>
          <w:tcPr>
            <w:tcW w:w="1398" w:type="dxa"/>
            <w:tcBorders>
              <w:top w:val="nil"/>
              <w:left w:val="nil"/>
              <w:bottom w:val="single" w:color="auto" w:sz="4" w:space="0"/>
              <w:right w:val="single" w:color="auto" w:sz="4" w:space="0"/>
            </w:tcBorders>
            <w:shd w:val="clear" w:color="auto" w:fill="auto"/>
            <w:noWrap/>
            <w:vAlign w:val="center"/>
          </w:tcPr>
          <w:p w14:paraId="6238D0E7">
            <w:pPr>
              <w:spacing w:after="0" w:line="240" w:lineRule="auto"/>
              <w:jc w:val="center"/>
              <w:rPr>
                <w:rFonts w:ascii="Times New Roman" w:hAnsi="Times New Roman" w:eastAsia="Times New Roman"/>
                <w:color w:val="000000"/>
                <w:sz w:val="24"/>
                <w:szCs w:val="24"/>
                <w:lang w:val="en-US"/>
              </w:rPr>
            </w:pPr>
            <w:r>
              <w:rPr>
                <w:rFonts w:ascii="Times New Roman" w:hAnsi="Times New Roman" w:eastAsia="Times New Roman"/>
                <w:color w:val="000000"/>
                <w:sz w:val="24"/>
                <w:szCs w:val="24"/>
                <w:lang w:val="en-US"/>
              </w:rPr>
              <w:t>26-29</w:t>
            </w:r>
          </w:p>
        </w:tc>
        <w:tc>
          <w:tcPr>
            <w:tcW w:w="1471" w:type="dxa"/>
            <w:tcBorders>
              <w:top w:val="nil"/>
              <w:left w:val="nil"/>
              <w:bottom w:val="single" w:color="auto" w:sz="4" w:space="0"/>
              <w:right w:val="single" w:color="auto" w:sz="4" w:space="0"/>
            </w:tcBorders>
            <w:shd w:val="clear" w:color="auto" w:fill="auto"/>
            <w:noWrap/>
            <w:vAlign w:val="center"/>
          </w:tcPr>
          <w:p w14:paraId="38B32701">
            <w:pPr>
              <w:spacing w:after="0" w:line="240" w:lineRule="auto"/>
              <w:jc w:val="center"/>
              <w:rPr>
                <w:rFonts w:ascii="Times New Roman" w:hAnsi="Times New Roman" w:eastAsia="Times New Roman"/>
                <w:color w:val="000000"/>
                <w:sz w:val="24"/>
                <w:szCs w:val="24"/>
                <w:lang w:val="en-US"/>
              </w:rPr>
            </w:pPr>
            <w:r>
              <w:rPr>
                <w:rFonts w:ascii="Times New Roman" w:hAnsi="Times New Roman" w:eastAsia="Times New Roman"/>
                <w:color w:val="000000"/>
                <w:sz w:val="24"/>
                <w:szCs w:val="24"/>
                <w:lang w:val="en-US"/>
              </w:rPr>
              <w:t>27-28</w:t>
            </w:r>
          </w:p>
        </w:tc>
      </w:tr>
      <w:tr w14:paraId="04F2A721">
        <w:tblPrEx>
          <w:tblCellMar>
            <w:top w:w="0" w:type="dxa"/>
            <w:left w:w="108" w:type="dxa"/>
            <w:bottom w:w="0" w:type="dxa"/>
            <w:right w:w="108" w:type="dxa"/>
          </w:tblCellMar>
        </w:tblPrEx>
        <w:trPr>
          <w:trHeight w:val="251" w:hRule="atLeast"/>
          <w:jc w:val="center"/>
        </w:trPr>
        <w:tc>
          <w:tcPr>
            <w:tcW w:w="1339" w:type="dxa"/>
            <w:tcBorders>
              <w:top w:val="nil"/>
              <w:left w:val="single" w:color="auto" w:sz="4" w:space="0"/>
              <w:bottom w:val="single" w:color="auto" w:sz="4" w:space="0"/>
              <w:right w:val="single" w:color="auto" w:sz="4" w:space="0"/>
            </w:tcBorders>
            <w:shd w:val="clear" w:color="auto" w:fill="auto"/>
            <w:noWrap/>
            <w:vAlign w:val="center"/>
          </w:tcPr>
          <w:p w14:paraId="3B905A9A">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pH</w:t>
            </w:r>
          </w:p>
        </w:tc>
        <w:tc>
          <w:tcPr>
            <w:tcW w:w="870" w:type="dxa"/>
            <w:tcBorders>
              <w:top w:val="single" w:color="auto" w:sz="4" w:space="0"/>
              <w:left w:val="nil"/>
              <w:bottom w:val="single" w:color="auto" w:sz="4" w:space="0"/>
              <w:right w:val="single" w:color="auto" w:sz="4" w:space="0"/>
            </w:tcBorders>
            <w:shd w:val="clear" w:color="auto" w:fill="auto"/>
            <w:noWrap/>
            <w:vAlign w:val="center"/>
          </w:tcPr>
          <w:p w14:paraId="2BF096F2">
            <w:pPr>
              <w:spacing w:after="0" w:line="240" w:lineRule="auto"/>
              <w:jc w:val="center"/>
              <w:rPr>
                <w:rFonts w:ascii="Times New Roman" w:hAnsi="Times New Roman" w:eastAsia="Times New Roman"/>
                <w:color w:val="000000"/>
                <w:sz w:val="24"/>
                <w:szCs w:val="24"/>
              </w:rPr>
            </w:pPr>
          </w:p>
        </w:tc>
        <w:tc>
          <w:tcPr>
            <w:tcW w:w="1364" w:type="dxa"/>
            <w:tcBorders>
              <w:top w:val="nil"/>
              <w:left w:val="nil"/>
              <w:bottom w:val="single" w:color="auto" w:sz="4" w:space="0"/>
              <w:right w:val="single" w:color="auto" w:sz="4" w:space="0"/>
            </w:tcBorders>
            <w:shd w:val="clear" w:color="auto" w:fill="auto"/>
            <w:noWrap/>
            <w:vAlign w:val="center"/>
          </w:tcPr>
          <w:p w14:paraId="47DB82F4">
            <w:pPr>
              <w:spacing w:after="0" w:line="240" w:lineRule="auto"/>
              <w:jc w:val="center"/>
              <w:rPr>
                <w:rFonts w:ascii="Times New Roman" w:hAnsi="Times New Roman" w:eastAsia="Times New Roman"/>
                <w:color w:val="000000"/>
                <w:sz w:val="24"/>
                <w:szCs w:val="24"/>
                <w:lang w:val="en-US"/>
              </w:rPr>
            </w:pPr>
            <w:r>
              <w:rPr>
                <w:rFonts w:ascii="Times New Roman" w:hAnsi="Times New Roman" w:eastAsia="Times New Roman"/>
                <w:color w:val="000000"/>
                <w:sz w:val="24"/>
                <w:szCs w:val="24"/>
              </w:rPr>
              <w:t xml:space="preserve">7 - </w:t>
            </w:r>
            <w:r>
              <w:rPr>
                <w:rFonts w:ascii="Times New Roman" w:hAnsi="Times New Roman" w:eastAsia="Times New Roman"/>
                <w:color w:val="000000"/>
                <w:sz w:val="24"/>
                <w:szCs w:val="24"/>
                <w:lang w:val="en-US"/>
              </w:rPr>
              <w:t xml:space="preserve">8 </w:t>
            </w:r>
          </w:p>
        </w:tc>
        <w:tc>
          <w:tcPr>
            <w:tcW w:w="1440" w:type="dxa"/>
            <w:tcBorders>
              <w:top w:val="nil"/>
              <w:left w:val="nil"/>
              <w:bottom w:val="single" w:color="auto" w:sz="4" w:space="0"/>
              <w:right w:val="single" w:color="auto" w:sz="4" w:space="0"/>
            </w:tcBorders>
            <w:shd w:val="clear" w:color="auto" w:fill="auto"/>
            <w:noWrap/>
            <w:vAlign w:val="center"/>
          </w:tcPr>
          <w:p w14:paraId="4B3B9797">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7 - </w:t>
            </w:r>
            <w:r>
              <w:rPr>
                <w:rFonts w:ascii="Times New Roman" w:hAnsi="Times New Roman" w:eastAsia="Times New Roman"/>
                <w:color w:val="000000"/>
                <w:sz w:val="24"/>
                <w:szCs w:val="24"/>
                <w:lang w:val="en-US"/>
              </w:rPr>
              <w:t xml:space="preserve">8 </w:t>
            </w:r>
          </w:p>
        </w:tc>
        <w:tc>
          <w:tcPr>
            <w:tcW w:w="1398" w:type="dxa"/>
            <w:tcBorders>
              <w:top w:val="nil"/>
              <w:left w:val="nil"/>
              <w:bottom w:val="single" w:color="auto" w:sz="4" w:space="0"/>
              <w:right w:val="single" w:color="auto" w:sz="4" w:space="0"/>
            </w:tcBorders>
            <w:shd w:val="clear" w:color="auto" w:fill="auto"/>
            <w:noWrap/>
            <w:vAlign w:val="center"/>
          </w:tcPr>
          <w:p w14:paraId="48336A99">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7 - </w:t>
            </w:r>
            <w:r>
              <w:rPr>
                <w:rFonts w:ascii="Times New Roman" w:hAnsi="Times New Roman" w:eastAsia="Times New Roman"/>
                <w:color w:val="000000"/>
                <w:sz w:val="24"/>
                <w:szCs w:val="24"/>
                <w:lang w:val="en-US"/>
              </w:rPr>
              <w:t xml:space="preserve">8 </w:t>
            </w:r>
          </w:p>
        </w:tc>
        <w:tc>
          <w:tcPr>
            <w:tcW w:w="1471" w:type="dxa"/>
            <w:tcBorders>
              <w:top w:val="nil"/>
              <w:left w:val="nil"/>
              <w:bottom w:val="single" w:color="auto" w:sz="4" w:space="0"/>
              <w:right w:val="single" w:color="auto" w:sz="4" w:space="0"/>
            </w:tcBorders>
            <w:shd w:val="clear" w:color="auto" w:fill="auto"/>
            <w:noWrap/>
            <w:vAlign w:val="center"/>
          </w:tcPr>
          <w:p w14:paraId="778D5B40">
            <w:pPr>
              <w:spacing w:after="0" w:line="240" w:lineRule="auto"/>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7 - </w:t>
            </w:r>
            <w:r>
              <w:rPr>
                <w:rFonts w:ascii="Times New Roman" w:hAnsi="Times New Roman" w:eastAsia="Times New Roman"/>
                <w:color w:val="000000"/>
                <w:sz w:val="24"/>
                <w:szCs w:val="24"/>
                <w:lang w:val="en-US"/>
              </w:rPr>
              <w:t xml:space="preserve">8 </w:t>
            </w:r>
          </w:p>
        </w:tc>
      </w:tr>
    </w:tbl>
    <w:p w14:paraId="0E080D6D">
      <w:pPr>
        <w:tabs>
          <w:tab w:val="left" w:pos="4703"/>
          <w:tab w:val="left" w:pos="5132"/>
        </w:tabs>
        <w:spacing w:after="0" w:line="240" w:lineRule="auto"/>
        <w:jc w:val="both"/>
        <w:rPr>
          <w:rFonts w:ascii="Times New Roman" w:hAnsi="Times New Roman"/>
          <w:sz w:val="24"/>
          <w:szCs w:val="24"/>
        </w:rPr>
      </w:pPr>
    </w:p>
    <w:p w14:paraId="132E7FE3">
      <w:pPr>
        <w:spacing w:line="240" w:lineRule="auto"/>
        <w:ind w:firstLine="567"/>
        <w:jc w:val="both"/>
        <w:rPr>
          <w:rFonts w:hint="default" w:ascii="Times New Roman" w:hAnsi="Times New Roman" w:cs="Times New Roman"/>
          <w:b w:val="0"/>
          <w:bCs/>
          <w:i w:val="0"/>
          <w:iCs w:val="0"/>
        </w:rPr>
      </w:pPr>
      <w:r>
        <w:rPr>
          <w:rFonts w:hint="default" w:ascii="Times New Roman" w:hAnsi="Times New Roman" w:cs="Times New Roman"/>
          <w:b w:val="0"/>
          <w:bCs/>
          <w:i w:val="0"/>
          <w:iCs w:val="0"/>
        </w:rPr>
        <w:t xml:space="preserve">The temperature value in this study ranged almost the same temperature range (26-29 oC. The temperature at the time of the study was in the optimal range for tilapia cultivation, which is around 26-29ºC. Khairuman and Amri (2011) stated that the optimal temperature for tilapia growth is around 24-32ºC. According to Effendi (2014), an increase in temperature causes an increase in the speed of metabolism and respiration of aquatic organisms, and results in increased oxygen consumption. An increase in water temperature of 10ºC causes an increase in oxygen consumption by aquatic organisms about 2-3 times, but the increase in temperature is accompanied by a decrease in dissolved oxygen levels so that the presence of oxygen is often unable to meet the oxygen needs of aquatic organisms to metabolise and respire. </w:t>
      </w:r>
    </w:p>
    <w:p w14:paraId="6B157461">
      <w:pPr>
        <w:spacing w:line="240" w:lineRule="auto"/>
        <w:ind w:firstLine="567"/>
        <w:jc w:val="both"/>
        <w:rPr>
          <w:rFonts w:hint="default" w:ascii="Times New Roman" w:hAnsi="Times New Roman" w:cs="Times New Roman"/>
          <w:b w:val="0"/>
          <w:bCs/>
          <w:i w:val="0"/>
          <w:iCs w:val="0"/>
        </w:rPr>
      </w:pPr>
      <w:r>
        <w:rPr>
          <w:rFonts w:hint="default" w:ascii="Times New Roman" w:hAnsi="Times New Roman" w:cs="Times New Roman"/>
          <w:b w:val="0"/>
          <w:bCs/>
          <w:i w:val="0"/>
          <w:iCs w:val="0"/>
        </w:rPr>
        <w:t>The pH measurements in this study showed pH values ranging from 7-8 and pH. The pH range is a good condition for habitat and growth of tilapia. According to Kordi and Sancung (2007), the pH range for optimal growth occurs at pH 7-8, while the pH for tilapia habitat is between 6-8.5. The effect of water pH can occur on the survival and growth of fish.</w:t>
      </w:r>
    </w:p>
    <w:p w14:paraId="200B72DE">
      <w:pPr>
        <w:spacing w:line="240" w:lineRule="auto"/>
        <w:ind w:firstLine="567"/>
        <w:jc w:val="both"/>
        <w:rPr>
          <w:rFonts w:hint="default" w:ascii="Times New Roman" w:hAnsi="Times New Roman"/>
          <w:b w:val="0"/>
          <w:bCs/>
          <w:i w:val="0"/>
          <w:iCs w:val="0"/>
        </w:rPr>
      </w:pPr>
      <w:r>
        <w:rPr>
          <w:rFonts w:hint="default" w:ascii="Times New Roman" w:hAnsi="Times New Roman" w:cs="Times New Roman"/>
          <w:b w:val="0"/>
          <w:bCs/>
          <w:i w:val="0"/>
          <w:iCs w:val="0"/>
        </w:rPr>
        <w:tab/>
      </w:r>
      <w:r>
        <w:rPr>
          <w:rFonts w:hint="default" w:ascii="Times New Roman" w:hAnsi="Times New Roman"/>
          <w:b w:val="0"/>
          <w:bCs/>
          <w:i w:val="0"/>
          <w:iCs w:val="0"/>
        </w:rPr>
        <w:t>Oxygen is required in the oxidation of organic matter from food to provide energy for biological activity. Poor or below optimum oxygen concentration leads to mortality (Boyd, 2012). . Amri and Khairuman (2003) stated that tilapia requires more than 4 ppm of dissolved oxygen to grow optimally.</w:t>
      </w:r>
    </w:p>
    <w:p w14:paraId="40E44641">
      <w:pPr>
        <w:spacing w:line="240" w:lineRule="auto"/>
        <w:ind w:firstLine="567"/>
        <w:jc w:val="both"/>
        <w:rPr>
          <w:rFonts w:ascii="Book Antiqua" w:hAnsi="Book Antiqua" w:cs="Book Antiqua"/>
          <w:b w:val="0"/>
          <w:bCs/>
          <w:i/>
          <w:iCs/>
        </w:rPr>
      </w:pPr>
      <w:r>
        <w:rPr>
          <w:rFonts w:hint="default" w:ascii="Times New Roman" w:hAnsi="Times New Roman"/>
          <w:b w:val="0"/>
          <w:bCs/>
          <w:i w:val="0"/>
          <w:iCs w:val="0"/>
        </w:rPr>
        <w:t xml:space="preserve">The salinity value obtained during the study of brackish tilapia larvae fed with EM-4 probiotic addition was 10 ppt. Brackish tilapia is tolerant of brackish and marine water with salinities up to 20 ppt (BPPT, 2011). </w:t>
      </w:r>
    </w:p>
    <w:p w14:paraId="68C60D91">
      <w:pPr>
        <w:tabs>
          <w:tab w:val="left" w:pos="709"/>
        </w:tabs>
        <w:spacing w:line="240" w:lineRule="auto"/>
      </w:pPr>
    </w:p>
    <w:p w14:paraId="38DDD739">
      <w:pPr>
        <w:numPr>
          <w:ilvl w:val="0"/>
          <w:numId w:val="2"/>
        </w:numPr>
        <w:spacing w:line="240" w:lineRule="auto"/>
        <w:ind w:left="0" w:leftChars="0" w:firstLine="0" w:firstLineChars="0"/>
        <w:rPr>
          <w:rFonts w:ascii="Times New Roman" w:hAnsi="Times New Roman" w:cs="Times New Roman"/>
          <w:b/>
          <w:sz w:val="24"/>
          <w:szCs w:val="24"/>
        </w:rPr>
      </w:pPr>
      <w:r>
        <w:rPr>
          <w:rFonts w:ascii="Book Antiqua" w:hAnsi="Book Antiqua" w:cs="Book Antiqua"/>
          <w:b/>
          <w:bCs/>
          <w:sz w:val="24"/>
          <w:szCs w:val="24"/>
          <w:lang w:val="id-ID"/>
        </w:rPr>
        <w:t>CONCLUSION</w:t>
      </w:r>
    </w:p>
    <w:p w14:paraId="5D9918B1">
      <w:pPr>
        <w:spacing w:line="240" w:lineRule="auto"/>
        <w:jc w:val="both"/>
        <w:rPr>
          <w:rFonts w:hint="default"/>
        </w:rPr>
      </w:pPr>
      <w:r>
        <w:rPr>
          <w:rFonts w:hint="default"/>
        </w:rPr>
        <w:t>Based on the research that has been done, conclusions and suggestions can be drawn, among others:</w:t>
      </w:r>
    </w:p>
    <w:p w14:paraId="2DC84502">
      <w:pPr>
        <w:numPr>
          <w:ilvl w:val="0"/>
          <w:numId w:val="5"/>
        </w:numPr>
        <w:spacing w:line="240" w:lineRule="auto"/>
        <w:ind w:left="425" w:leftChars="0" w:hanging="425" w:firstLineChars="0"/>
        <w:jc w:val="both"/>
        <w:rPr>
          <w:rFonts w:hint="default"/>
        </w:rPr>
      </w:pPr>
      <w:r>
        <w:rPr>
          <w:rFonts w:hint="default"/>
        </w:rPr>
        <w:t>The highest percentage of tilapia larvae survival in this study was found in treatment C and treatment D at 100%, while treatment A (control) was 99.63% and the lowest was found in treatment B at 98.89%.</w:t>
      </w:r>
    </w:p>
    <w:p w14:paraId="1798204C">
      <w:pPr>
        <w:numPr>
          <w:ilvl w:val="0"/>
          <w:numId w:val="5"/>
        </w:numPr>
        <w:spacing w:line="240" w:lineRule="auto"/>
        <w:ind w:left="425" w:leftChars="0" w:hanging="425" w:firstLineChars="0"/>
        <w:jc w:val="both"/>
        <w:rPr>
          <w:rFonts w:hint="default"/>
        </w:rPr>
      </w:pPr>
      <w:r>
        <w:rPr>
          <w:rFonts w:hint="default"/>
        </w:rPr>
        <w:t>Based on the analysis of variance, there is an effect of EM-4 giving very significantly different (P&gt;0.01) on the absolute weight growth of tilapia larvae (Oreochromis niloticus). The average weight growth increased in treatment C by giving a dose of EM-4 20 ml/kg feed of 0.70 grams and decreased in treatment D, namely the addition of a dose of EM-4 25 ml/kg feed of 0.61 grams followed by treatment B 15 ml/kg feed of 0.35 grams while the lowest treatment was in treatment A (control) without giving EM-4 with an average weight of 0.25 grams.</w:t>
      </w:r>
    </w:p>
    <w:p w14:paraId="2BE8F16F">
      <w:pPr>
        <w:numPr>
          <w:ilvl w:val="0"/>
          <w:numId w:val="5"/>
        </w:numPr>
        <w:spacing w:line="240" w:lineRule="auto"/>
        <w:ind w:left="425" w:leftChars="0" w:hanging="425" w:firstLineChars="0"/>
        <w:jc w:val="both"/>
        <w:rPr>
          <w:rFonts w:hint="default"/>
        </w:rPr>
      </w:pPr>
      <w:r>
        <w:rPr>
          <w:rFonts w:hint="default"/>
        </w:rPr>
        <w:t>The highest absolute length growth of tilapia larvae was obtained in treatment C at 35.57 mm, followed by treatment D at 29.37 mm, treatment B at 17.77 mm and the lowest was in treatment A at 15.87 mm. The analysis of variance showed a highly significant effect of EM-4 probiotic dosing (P &lt; 0.01) on the length growth of brackish tilapia larvae.</w:t>
      </w:r>
    </w:p>
    <w:p w14:paraId="3A460C0E">
      <w:pPr>
        <w:numPr>
          <w:ilvl w:val="0"/>
          <w:numId w:val="5"/>
        </w:numPr>
        <w:spacing w:line="240" w:lineRule="auto"/>
        <w:ind w:left="425" w:leftChars="0" w:hanging="425" w:firstLineChars="0"/>
        <w:jc w:val="both"/>
      </w:pPr>
      <w:r>
        <w:rPr>
          <w:rFonts w:hint="default"/>
        </w:rPr>
        <w:t>Water quality measurement results Temperature ranged from 26ºC - 29ºC, water pH ranged from 7 - 8, salinity 10 ppt and dissolved oxygen 4.0 - 4.8 mg/l.</w:t>
      </w:r>
    </w:p>
    <w:p w14:paraId="6E578EBE">
      <w:pPr>
        <w:numPr>
          <w:ilvl w:val="0"/>
          <w:numId w:val="0"/>
        </w:numPr>
        <w:spacing w:line="240" w:lineRule="auto"/>
        <w:ind w:leftChars="0"/>
        <w:jc w:val="both"/>
        <w:rPr>
          <w:rFonts w:hint="default"/>
        </w:rPr>
      </w:pPr>
    </w:p>
    <w:p w14:paraId="5A4D3A95">
      <w:pPr>
        <w:numPr>
          <w:ilvl w:val="0"/>
          <w:numId w:val="0"/>
        </w:numPr>
        <w:spacing w:line="240" w:lineRule="auto"/>
        <w:ind w:leftChars="0"/>
        <w:jc w:val="both"/>
      </w:pPr>
    </w:p>
    <w:p w14:paraId="41CEFD78">
      <w:pPr>
        <w:spacing w:line="240" w:lineRule="auto"/>
        <w:jc w:val="both"/>
        <w:rPr>
          <w:rFonts w:ascii="Book Antiqua" w:hAnsi="Book Antiqua" w:cs="Book Antiqua"/>
        </w:rPr>
      </w:pPr>
      <w:r>
        <w:rPr>
          <w:rFonts w:ascii="Book Antiqua" w:hAnsi="Book Antiqua" w:cs="Book Antiqua"/>
          <w:b/>
          <w:sz w:val="24"/>
          <w:lang w:val="en-US"/>
        </w:rPr>
        <w:t>REFERENCES</w:t>
      </w:r>
    </w:p>
    <w:p w14:paraId="1399076B">
      <w:pPr>
        <w:keepNext w:val="0"/>
        <w:keepLines w:val="0"/>
        <w:pageBreakBefore w:val="0"/>
        <w:widowControl/>
        <w:kinsoku/>
        <w:wordWrap/>
        <w:overflowPunct/>
        <w:topLinePunct w:val="0"/>
        <w:autoSpaceDE/>
        <w:autoSpaceDN/>
        <w:bidi w:val="0"/>
        <w:adjustRightInd/>
        <w:snapToGrid/>
        <w:spacing w:beforeAutospacing="0" w:afterAutospacing="0" w:line="240" w:lineRule="auto"/>
        <w:ind w:left="901" w:hanging="850"/>
        <w:jc w:val="both"/>
        <w:textAlignment w:val="auto"/>
        <w:rPr>
          <w:rFonts w:ascii="Times New Roman" w:hAnsi="Times New Roman" w:eastAsia="Times New Roman"/>
          <w:sz w:val="24"/>
          <w:szCs w:val="24"/>
          <w:lang w:val="fi-FI"/>
        </w:rPr>
      </w:pPr>
      <w:r>
        <w:rPr>
          <w:rFonts w:ascii="Times New Roman" w:hAnsi="Times New Roman" w:eastAsia="Times New Roman"/>
          <w:sz w:val="24"/>
          <w:szCs w:val="24"/>
        </w:rPr>
        <w:t>Amri, K. 2007. Patin Fish Farming. Penebar Swadaya. Jakarta</w:t>
      </w:r>
    </w:p>
    <w:p w14:paraId="70964914">
      <w:pPr>
        <w:keepNext w:val="0"/>
        <w:keepLines w:val="0"/>
        <w:pageBreakBefore w:val="0"/>
        <w:kinsoku/>
        <w:wordWrap/>
        <w:overflowPunct/>
        <w:topLinePunct w:val="0"/>
        <w:bidi w:val="0"/>
        <w:snapToGrid/>
        <w:spacing w:beforeAutospacing="0" w:afterAutospacing="0" w:line="240" w:lineRule="auto"/>
        <w:ind w:left="900" w:hanging="850"/>
        <w:jc w:val="both"/>
        <w:textAlignment w:val="auto"/>
        <w:rPr>
          <w:rFonts w:ascii="Times New Roman" w:hAnsi="Times New Roman" w:eastAsia="Times New Roman"/>
          <w:sz w:val="24"/>
          <w:szCs w:val="24"/>
        </w:rPr>
      </w:pPr>
      <w:r>
        <w:rPr>
          <w:rFonts w:ascii="Times New Roman" w:hAnsi="Times New Roman" w:eastAsia="Times New Roman"/>
          <w:sz w:val="24"/>
          <w:szCs w:val="24"/>
        </w:rPr>
        <w:t>Amri, K and Khairuman 2013. Fish Cultivation. Agromedia. Jakarta</w:t>
      </w:r>
    </w:p>
    <w:p w14:paraId="1C517385">
      <w:pPr>
        <w:keepNext w:val="0"/>
        <w:keepLines w:val="0"/>
        <w:pageBreakBefore w:val="0"/>
        <w:kinsoku/>
        <w:wordWrap/>
        <w:overflowPunct/>
        <w:topLinePunct w:val="0"/>
        <w:bidi w:val="0"/>
        <w:snapToGrid/>
        <w:spacing w:beforeAutospacing="0" w:afterAutospacing="0" w:line="240" w:lineRule="auto"/>
        <w:ind w:left="900" w:hanging="850"/>
        <w:jc w:val="both"/>
        <w:textAlignment w:val="auto"/>
        <w:rPr>
          <w:rFonts w:ascii="Times New Roman" w:hAnsi="Times New Roman" w:eastAsia="Times New Roman"/>
          <w:sz w:val="24"/>
          <w:szCs w:val="24"/>
          <w:lang w:val="fi-FI"/>
        </w:rPr>
      </w:pPr>
      <w:r>
        <w:rPr>
          <w:rFonts w:ascii="Times New Roman" w:hAnsi="Times New Roman" w:eastAsia="Times New Roman"/>
          <w:sz w:val="24"/>
          <w:szCs w:val="24"/>
        </w:rPr>
        <w:t>Amri, K and Khairuman. 2007. Intensive Tilapia Farming. Agromedia Pustaka, Jakarta</w:t>
      </w:r>
    </w:p>
    <w:p w14:paraId="7DA86D28">
      <w:pPr>
        <w:keepNext w:val="0"/>
        <w:keepLines w:val="0"/>
        <w:pageBreakBefore w:val="0"/>
        <w:kinsoku/>
        <w:wordWrap/>
        <w:overflowPunct/>
        <w:topLinePunct w:val="0"/>
        <w:bidi w:val="0"/>
        <w:snapToGrid/>
        <w:spacing w:beforeAutospacing="0" w:afterAutospacing="0" w:line="240" w:lineRule="auto"/>
        <w:ind w:left="900" w:hanging="850"/>
        <w:jc w:val="both"/>
        <w:textAlignment w:val="auto"/>
        <w:rPr>
          <w:rFonts w:ascii="Times New Roman" w:hAnsi="Times New Roman" w:eastAsia="Times New Roman"/>
          <w:sz w:val="24"/>
          <w:szCs w:val="24"/>
        </w:rPr>
      </w:pPr>
      <w:r>
        <w:rPr>
          <w:rFonts w:ascii="Times New Roman" w:hAnsi="Times New Roman" w:eastAsia="Times New Roman"/>
          <w:sz w:val="24"/>
          <w:szCs w:val="24"/>
        </w:rPr>
        <w:t>Amri, K and Khairuman. 2002. Smart Book of 15 Consumption Fish Farming. Agromedia. Jakarta</w:t>
      </w:r>
    </w:p>
    <w:p w14:paraId="18FB07B7">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rPr>
      </w:pPr>
      <w:r>
        <w:rPr>
          <w:rFonts w:ascii="Times New Roman" w:hAnsi="Times New Roman"/>
          <w:sz w:val="24"/>
          <w:szCs w:val="24"/>
        </w:rPr>
        <w:t>Agustin Ruli,. Ade D S,. Yulisman. 2014. Feed Conversion, Growth Rate, Survival and Bacterial Population of Cork Fish Seeds (</w:t>
      </w:r>
      <w:r>
        <w:rPr>
          <w:rFonts w:ascii="Times New Roman" w:hAnsi="Times New Roman"/>
          <w:i/>
          <w:sz w:val="24"/>
          <w:szCs w:val="24"/>
        </w:rPr>
        <w:t>Channa striata</w:t>
      </w:r>
      <w:r>
        <w:rPr>
          <w:rFonts w:ascii="Times New Roman" w:hAnsi="Times New Roman"/>
          <w:sz w:val="24"/>
          <w:szCs w:val="24"/>
        </w:rPr>
        <w:t>) Fed with Probiotic Addition. Ps Aquaculture Faculty of Agriculture Unsri. Palembang</w:t>
      </w:r>
    </w:p>
    <w:p w14:paraId="1C177756">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rPr>
      </w:pPr>
      <w:r>
        <w:rPr>
          <w:rFonts w:ascii="Times New Roman" w:hAnsi="Times New Roman"/>
          <w:sz w:val="24"/>
          <w:szCs w:val="24"/>
        </w:rPr>
        <w:t xml:space="preserve"> Andrianto, T. T. 2007. Practical Guidelines for Tilapia Fish Farming. Absolut. Yogyakarta. </w:t>
      </w:r>
    </w:p>
    <w:p w14:paraId="4B49DEE8">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rPr>
      </w:pPr>
      <w:r>
        <w:rPr>
          <w:rFonts w:ascii="Times New Roman" w:hAnsi="Times New Roman"/>
          <w:sz w:val="24"/>
          <w:szCs w:val="24"/>
        </w:rPr>
        <w:t>Andriyanto, S., Nurbakti, L., and Riani, R. 2010. Effect of Providing Probotics with Different Doses on the Survival and Growth of Jambal Patin (</w:t>
      </w:r>
      <w:r>
        <w:rPr>
          <w:rFonts w:ascii="Times New Roman" w:hAnsi="Times New Roman"/>
          <w:i/>
          <w:sz w:val="24"/>
          <w:szCs w:val="24"/>
        </w:rPr>
        <w:t>Pangasius jambal</w:t>
      </w:r>
      <w:r>
        <w:rPr>
          <w:rFonts w:ascii="Times New Roman" w:hAnsi="Times New Roman"/>
          <w:sz w:val="24"/>
          <w:szCs w:val="24"/>
        </w:rPr>
        <w:t xml:space="preserve">) Seeds. Centre for Marine Aquaculture Research. Gondol. Bali. </w:t>
      </w:r>
    </w:p>
    <w:p w14:paraId="6BF93AC0">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rPr>
      </w:pPr>
    </w:p>
    <w:p w14:paraId="399537F5">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rPr>
      </w:pPr>
      <w:r>
        <w:rPr>
          <w:rFonts w:ascii="Times New Roman" w:hAnsi="Times New Roman"/>
          <w:sz w:val="24"/>
          <w:szCs w:val="24"/>
        </w:rPr>
        <w:t xml:space="preserve">Anggriani, R., Iskandar, Ankiq, T. 2012. Effectiveness of the Addition of </w:t>
      </w:r>
      <w:r>
        <w:rPr>
          <w:rFonts w:ascii="Times New Roman" w:hAnsi="Times New Roman"/>
          <w:i/>
          <w:sz w:val="24"/>
          <w:szCs w:val="24"/>
        </w:rPr>
        <w:t xml:space="preserve">Bacillus </w:t>
      </w:r>
      <w:r>
        <w:rPr>
          <w:rFonts w:ascii="Times New Roman" w:hAnsi="Times New Roman"/>
          <w:sz w:val="24"/>
          <w:szCs w:val="24"/>
        </w:rPr>
        <w:t>Sp, Isolated from the Digestive Tract of Patin Fish in Commercial Feed on Survival and Growth of Red Tilapia Seeds (</w:t>
      </w:r>
      <w:r>
        <w:rPr>
          <w:rFonts w:ascii="Times New Roman" w:hAnsi="Times New Roman"/>
          <w:i/>
          <w:sz w:val="24"/>
          <w:szCs w:val="24"/>
        </w:rPr>
        <w:t>Oreocromis niloticus</w:t>
      </w:r>
      <w:r>
        <w:rPr>
          <w:rFonts w:ascii="Times New Roman" w:hAnsi="Times New Roman"/>
          <w:sz w:val="24"/>
          <w:szCs w:val="24"/>
        </w:rPr>
        <w:t xml:space="preserve">). Faculty of Fisheries and Marine Science, UNPAD. </w:t>
      </w:r>
    </w:p>
    <w:p w14:paraId="3E5AA5C6">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lang w:val="en-US"/>
        </w:rPr>
      </w:pPr>
      <w:r>
        <w:rPr>
          <w:rFonts w:ascii="Times New Roman" w:hAnsi="Times New Roman"/>
          <w:sz w:val="24"/>
          <w:szCs w:val="24"/>
        </w:rPr>
        <w:t>Arief, M. 2013. Giving Different Probiotics in Commercial Feed on the Growth of Protein Retention and Crude Fibre in Tilapia (</w:t>
      </w:r>
      <w:r>
        <w:rPr>
          <w:rFonts w:ascii="Times New Roman" w:hAnsi="Times New Roman"/>
          <w:i/>
          <w:sz w:val="24"/>
          <w:szCs w:val="24"/>
        </w:rPr>
        <w:t xml:space="preserve">Oreochromis </w:t>
      </w:r>
      <w:r>
        <w:rPr>
          <w:rFonts w:ascii="Times New Roman" w:hAnsi="Times New Roman"/>
          <w:sz w:val="24"/>
          <w:szCs w:val="24"/>
        </w:rPr>
        <w:t xml:space="preserve">sp). Argoveteriner, 1 (2): 88-93 </w:t>
      </w:r>
    </w:p>
    <w:p w14:paraId="441DE356">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lang w:val="en-US"/>
        </w:rPr>
      </w:pPr>
      <w:r>
        <w:rPr>
          <w:rFonts w:ascii="Times New Roman" w:hAnsi="Times New Roman"/>
          <w:sz w:val="24"/>
          <w:szCs w:val="24"/>
        </w:rPr>
        <w:t>Ath-har, M.H.F and Rudhy, G. 2010. Performance of BEST tilapia in salinity media. Proceedings of Aquaculture Technology Innovation Forum. Research Centre for Freshwater Aquaculture.</w:t>
      </w:r>
    </w:p>
    <w:p w14:paraId="2CC84F59">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lang w:val="fi-FI"/>
        </w:rPr>
      </w:pPr>
      <w:r>
        <w:rPr>
          <w:rFonts w:ascii="Times New Roman" w:hAnsi="Times New Roman"/>
          <w:sz w:val="24"/>
          <w:szCs w:val="24"/>
        </w:rPr>
        <w:t xml:space="preserve">Atmormasono, M., Muliani, &amp; Nurbaya. 2009. The Use of Probiotic Bacteria with Different Compositions for the Improvement of Water Quality and Postlarval Survival of Windu Shrimp. Centre for Aquaculture Research. Jakarta. J. Ris. Aquaculture, 4 (1): 73-83 </w:t>
      </w:r>
    </w:p>
    <w:p w14:paraId="1B98D550">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lang w:val="en-US"/>
        </w:rPr>
      </w:pPr>
      <w:r>
        <w:rPr>
          <w:rFonts w:ascii="Times New Roman" w:hAnsi="Times New Roman"/>
          <w:sz w:val="24"/>
          <w:szCs w:val="24"/>
        </w:rPr>
        <w:t xml:space="preserve">Agency for the Assessment and Application of Technology. 2011. BBPT Develops Brackish Tilapia to Empower 600,000 Ha of Abandoned Ponds. Agroindustry and Biotechnology Technology Article. </w:t>
      </w:r>
    </w:p>
    <w:p w14:paraId="0987E0A7">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b/>
          <w:sz w:val="24"/>
          <w:szCs w:val="24"/>
        </w:rPr>
      </w:pPr>
      <w:r>
        <w:rPr>
          <w:rFonts w:ascii="Times New Roman" w:hAnsi="Times New Roman"/>
          <w:sz w:val="24"/>
          <w:szCs w:val="24"/>
        </w:rPr>
        <w:t>Indonesian National Standardisation Agency (BSNI). 2009. Seed Production of Black Tilapia (</w:t>
      </w:r>
      <w:r>
        <w:rPr>
          <w:rFonts w:ascii="Times New Roman" w:hAnsi="Times New Roman"/>
          <w:i/>
          <w:sz w:val="24"/>
          <w:szCs w:val="24"/>
        </w:rPr>
        <w:t>Oreochromis niloticus</w:t>
      </w:r>
      <w:r>
        <w:rPr>
          <w:rFonts w:ascii="Times New Roman" w:hAnsi="Times New Roman"/>
          <w:sz w:val="24"/>
          <w:szCs w:val="24"/>
        </w:rPr>
        <w:t xml:space="preserve">) Scatter Seed Class. SNI: 6141:2009. Jakarta. Djarijah S, A., 2002. Intensive cultivation of Gift Tilapia, kanisius. Yogyakarta. </w:t>
      </w:r>
    </w:p>
    <w:p w14:paraId="3CC215F3">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lang w:val="en-US"/>
        </w:rPr>
      </w:pPr>
      <w:r>
        <w:rPr>
          <w:rFonts w:ascii="Times New Roman" w:hAnsi="Times New Roman" w:eastAsia="Times New Roman"/>
          <w:sz w:val="24"/>
          <w:szCs w:val="24"/>
        </w:rPr>
        <w:t>Cholik, F. 2005. Aquaculture. Fisheries Society of the Archipelago. Freshwater Aquarium Park. Jakarta. Global Aquaculture. Journal of Current Trends in Aquatic Science 2(2):33-39</w:t>
      </w:r>
    </w:p>
    <w:p w14:paraId="7CD0D65A">
      <w:pPr>
        <w:keepNext w:val="0"/>
        <w:keepLines w:val="0"/>
        <w:pageBreakBefore w:val="0"/>
        <w:kinsoku/>
        <w:wordWrap/>
        <w:overflowPunct/>
        <w:topLinePunct w:val="0"/>
        <w:bidi w:val="0"/>
        <w:snapToGrid/>
        <w:spacing w:beforeAutospacing="0" w:afterAutospacing="0" w:line="240" w:lineRule="auto"/>
        <w:ind w:left="540" w:hanging="540"/>
        <w:jc w:val="both"/>
        <w:textAlignment w:val="auto"/>
        <w:rPr>
          <w:rFonts w:ascii="Times New Roman" w:hAnsi="Times New Roman" w:eastAsia="Times New Roman"/>
          <w:color w:val="000000"/>
          <w:sz w:val="24"/>
          <w:szCs w:val="24"/>
          <w:lang w:val="fi-FI"/>
        </w:rPr>
      </w:pPr>
      <w:r>
        <w:rPr>
          <w:rFonts w:ascii="Times New Roman" w:hAnsi="Times New Roman" w:eastAsia="Times New Roman"/>
          <w:color w:val="000000"/>
          <w:sz w:val="24"/>
          <w:szCs w:val="24"/>
        </w:rPr>
        <w:t>Djarijah, A.S. 1994. Hatchery and Intensive Raising of Red Tilapia. Kanasius. Yogyakarta. 87 pages.</w:t>
      </w:r>
    </w:p>
    <w:p w14:paraId="3A321B0B">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lang w:val="fi-FI"/>
        </w:rPr>
      </w:pPr>
      <w:r>
        <w:rPr>
          <w:rFonts w:ascii="Times New Roman" w:hAnsi="Times New Roman"/>
          <w:sz w:val="24"/>
          <w:szCs w:val="24"/>
        </w:rPr>
        <w:t>Effendie, M. I. 1997. Fisheries Biology. Nusantara Library Foundation. Yogyakarta. Page 92-132</w:t>
      </w:r>
    </w:p>
    <w:p w14:paraId="6A51FC42">
      <w:pPr>
        <w:pStyle w:val="57"/>
        <w:keepNext w:val="0"/>
        <w:keepLines w:val="0"/>
        <w:pageBreakBefore w:val="0"/>
        <w:tabs>
          <w:tab w:val="left" w:pos="900"/>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sz w:val="24"/>
          <w:szCs w:val="24"/>
          <w:lang w:val="fi-FI"/>
        </w:rPr>
      </w:pPr>
      <w:r>
        <w:rPr>
          <w:rFonts w:ascii="Times New Roman" w:hAnsi="Times New Roman"/>
          <w:sz w:val="24"/>
          <w:szCs w:val="24"/>
        </w:rPr>
        <w:t>Effendi, H. 2000. Water Quality Assessment. Aquatic Resource Management. Faculty of Fisheries and Marine Science. Bogor Agricultural Institute. Bogor.</w:t>
      </w:r>
    </w:p>
    <w:p w14:paraId="6647574D">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rPr>
      </w:pPr>
      <w:r>
        <w:rPr>
          <w:rFonts w:ascii="Times New Roman" w:hAnsi="Times New Roman" w:eastAsia="Times New Roman"/>
          <w:sz w:val="24"/>
          <w:szCs w:val="24"/>
        </w:rPr>
        <w:t xml:space="preserve">Effendie, M. I. 2002. Fisheries Biology. Nusantara Library Foundation. Yogyakarta </w:t>
      </w:r>
    </w:p>
    <w:p w14:paraId="59ED1151">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fi-FI"/>
        </w:rPr>
      </w:pPr>
      <w:r>
        <w:rPr>
          <w:rFonts w:ascii="Times New Roman" w:hAnsi="Times New Roman"/>
          <w:sz w:val="24"/>
          <w:szCs w:val="24"/>
        </w:rPr>
        <w:t>Fauzi, Y A., Ekowati, Nugroho S., and Mucharomah P. 2011. Specific growth rate and survival of tilapia (</w:t>
      </w:r>
      <w:r>
        <w:rPr>
          <w:rFonts w:ascii="Times New Roman" w:hAnsi="Times New Roman"/>
          <w:i/>
          <w:sz w:val="24"/>
          <w:szCs w:val="24"/>
        </w:rPr>
        <w:t>Oreochromis niloticus</w:t>
      </w:r>
      <w:r>
        <w:rPr>
          <w:rFonts w:ascii="Times New Roman" w:hAnsi="Times New Roman"/>
          <w:sz w:val="24"/>
          <w:szCs w:val="24"/>
        </w:rPr>
        <w:t>) by feeding pellets mixed with bagasse fermented with fungal isolates. Thesis. Department of Biology. Faculty of Mathematics and Natural Sciences. University of Lampung.</w:t>
      </w:r>
    </w:p>
    <w:p w14:paraId="76BE434A">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lang w:val="fi-FI"/>
        </w:rPr>
      </w:pPr>
      <w:r>
        <w:rPr>
          <w:rFonts w:ascii="Times New Roman" w:hAnsi="Times New Roman" w:eastAsia="Times New Roman"/>
          <w:sz w:val="24"/>
          <w:szCs w:val="24"/>
        </w:rPr>
        <w:t>Ghufran, H. M., and Kordi K. 2013. Aquaculture in Urban Areas. South Jakarta: PT Agro Media Pustaka</w:t>
      </w:r>
    </w:p>
    <w:p w14:paraId="7C28592D">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en-US"/>
        </w:rPr>
      </w:pPr>
      <w:r>
        <w:rPr>
          <w:rFonts w:ascii="Times New Roman" w:hAnsi="Times New Roman"/>
          <w:sz w:val="24"/>
          <w:szCs w:val="24"/>
        </w:rPr>
        <w:t>Hasbullah, D., S. Raharjo, M. Rimmer, H. Agusanti, Jumriadi, Irwan, Lideman and I. Lapong. 2013. Performance Test of Salinised Tilapia (</w:t>
      </w:r>
      <w:r>
        <w:rPr>
          <w:rFonts w:ascii="Times New Roman" w:hAnsi="Times New Roman"/>
          <w:i/>
          <w:sz w:val="24"/>
          <w:szCs w:val="24"/>
        </w:rPr>
        <w:t>Oreochromis niloticus</w:t>
      </w:r>
      <w:r>
        <w:rPr>
          <w:rFonts w:ascii="Times New Roman" w:hAnsi="Times New Roman"/>
          <w:sz w:val="24"/>
          <w:szCs w:val="24"/>
        </w:rPr>
        <w:t>) Resulting from Hybridisation of Two Superior Strains (Sultana and Gift) with Local Tilapia Strain (Jabir). BPBAP Takalar Module. Takalar.</w:t>
      </w:r>
    </w:p>
    <w:p w14:paraId="32F217BF">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rPr>
      </w:pPr>
      <w:r>
        <w:rPr>
          <w:rFonts w:ascii="Times New Roman" w:hAnsi="Times New Roman"/>
          <w:sz w:val="24"/>
          <w:szCs w:val="24"/>
        </w:rPr>
        <w:t>Hargreaves, J.A. and C. S. Tucker. 2004. Managing Ammonia in Fish Ponds. SRAC Publication No. 4603. 8 pp.</w:t>
      </w:r>
    </w:p>
    <w:p w14:paraId="0C85D2BB">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fi-FI"/>
        </w:rPr>
      </w:pPr>
      <w:r>
        <w:rPr>
          <w:rFonts w:ascii="Times New Roman" w:hAnsi="Times New Roman"/>
          <w:sz w:val="24"/>
          <w:szCs w:val="24"/>
        </w:rPr>
        <w:t>Jalaluddin. 2014. Effect of Salinity on Functional Fecundity, Hatchability of Eggs and Fry of Saline Tilapia (</w:t>
      </w:r>
      <w:r>
        <w:rPr>
          <w:rFonts w:ascii="Times New Roman" w:hAnsi="Times New Roman"/>
          <w:i/>
          <w:sz w:val="24"/>
          <w:szCs w:val="24"/>
        </w:rPr>
        <w:t xml:space="preserve">Oreochromis niloticus </w:t>
      </w:r>
      <w:r>
        <w:rPr>
          <w:rFonts w:ascii="Times New Roman" w:hAnsi="Times New Roman"/>
          <w:sz w:val="24"/>
          <w:szCs w:val="24"/>
        </w:rPr>
        <w:t>Linn). Open University Postgraduate Programme.</w:t>
      </w:r>
    </w:p>
    <w:p w14:paraId="04F20955">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fi-FI"/>
        </w:rPr>
      </w:pPr>
      <w:r>
        <w:rPr>
          <w:rFonts w:ascii="Times New Roman" w:hAnsi="Times New Roman"/>
          <w:sz w:val="24"/>
          <w:szCs w:val="24"/>
        </w:rPr>
        <w:t xml:space="preserve">Khairuman &amp; Amri K., 2002. Tips for Overcoming Practical Problems in Intensive Tilapia Farming. Agromedia Pustaka. Tangerang </w:t>
      </w:r>
    </w:p>
    <w:p w14:paraId="545CBA99">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fi-FI"/>
        </w:rPr>
      </w:pPr>
      <w:r>
        <w:rPr>
          <w:rFonts w:ascii="Times New Roman" w:hAnsi="Times New Roman"/>
          <w:sz w:val="24"/>
          <w:szCs w:val="24"/>
        </w:rPr>
        <w:t>Khairuman and Amri K. 2013. Tilapia Fish Farming. Agro Media Library. South Jakarta.</w:t>
      </w:r>
    </w:p>
    <w:p w14:paraId="046F6CAE">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fi-FI"/>
        </w:rPr>
      </w:pPr>
      <w:r>
        <w:rPr>
          <w:rFonts w:ascii="Times New Roman" w:hAnsi="Times New Roman"/>
          <w:sz w:val="24"/>
          <w:szCs w:val="24"/>
        </w:rPr>
        <w:t>Kordi, G. and Tanjung, A. (2007). Water Quality Management in Aquaculture. Rineka Cipta, Jakarta. 208 pages.</w:t>
      </w:r>
    </w:p>
    <w:p w14:paraId="41A914AB">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en-US"/>
        </w:rPr>
      </w:pPr>
      <w:r>
        <w:rPr>
          <w:rFonts w:ascii="Times New Roman" w:hAnsi="Times New Roman"/>
          <w:sz w:val="24"/>
          <w:szCs w:val="24"/>
        </w:rPr>
        <w:t>Mulyadi, U. Tang and E. S. Yani. 2014. Recirculation System using Different Filters on the Growth of Tilapia (</w:t>
      </w:r>
      <w:r>
        <w:rPr>
          <w:rFonts w:ascii="Times New Roman" w:hAnsi="Times New Roman"/>
          <w:i/>
          <w:sz w:val="24"/>
          <w:szCs w:val="24"/>
        </w:rPr>
        <w:t>Oreochromis niloticus</w:t>
      </w:r>
      <w:r>
        <w:rPr>
          <w:rFonts w:ascii="Times New Roman" w:hAnsi="Times New Roman"/>
          <w:sz w:val="24"/>
          <w:szCs w:val="24"/>
        </w:rPr>
        <w:t>). Journal of Indonesian Swamp Aquaculture, 2(2): 117-124.</w:t>
      </w:r>
    </w:p>
    <w:p w14:paraId="0E8ACC93">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fi-FI"/>
        </w:rPr>
      </w:pPr>
      <w:r>
        <w:rPr>
          <w:rFonts w:ascii="Times New Roman" w:hAnsi="Times New Roman"/>
          <w:sz w:val="24"/>
          <w:szCs w:val="24"/>
        </w:rPr>
        <w:t>Mudjiman, A. 2004. Catfish Cultivation. Series Publisher CV. Yasaguna, Jakarta</w:t>
      </w:r>
    </w:p>
    <w:p w14:paraId="7DD6DED1">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rPr>
      </w:pPr>
      <w:r>
        <w:rPr>
          <w:rFonts w:ascii="Times New Roman" w:hAnsi="Times New Roman"/>
          <w:sz w:val="24"/>
          <w:szCs w:val="24"/>
        </w:rPr>
        <w:t>Noviana, P,. Subandiyono, and Pinandoyo. 2014. The effect of probiotics in artificial feed on the level of feed consumption and growth of tilapia fry (</w:t>
      </w:r>
      <w:r>
        <w:rPr>
          <w:rFonts w:ascii="Times New Roman" w:hAnsi="Times New Roman"/>
          <w:i/>
          <w:sz w:val="24"/>
          <w:szCs w:val="24"/>
        </w:rPr>
        <w:t>Oreochromis niloticus</w:t>
      </w:r>
      <w:r>
        <w:rPr>
          <w:rFonts w:ascii="Times New Roman" w:hAnsi="Times New Roman"/>
          <w:sz w:val="24"/>
          <w:szCs w:val="24"/>
        </w:rPr>
        <w:t>).Faculty of Fisheries and Marine Science, Diponegoro University.</w:t>
      </w:r>
    </w:p>
    <w:p w14:paraId="372EF9B4">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en-US"/>
        </w:rPr>
      </w:pPr>
      <w:r>
        <w:rPr>
          <w:rFonts w:ascii="Times New Roman" w:hAnsi="Times New Roman"/>
          <w:sz w:val="24"/>
          <w:szCs w:val="24"/>
        </w:rPr>
        <w:t xml:space="preserve">Rusdani, MM, Sadikin A, Saptono W, and Zaenal A. 2016. Effect of Giving </w:t>
      </w:r>
      <w:r>
        <w:rPr>
          <w:rFonts w:ascii="Times New Roman" w:hAnsi="Times New Roman"/>
          <w:i/>
          <w:sz w:val="24"/>
          <w:szCs w:val="24"/>
        </w:rPr>
        <w:t xml:space="preserve">Probiotic Bacillus </w:t>
      </w:r>
      <w:r>
        <w:rPr>
          <w:rFonts w:ascii="Times New Roman" w:hAnsi="Times New Roman"/>
          <w:sz w:val="24"/>
          <w:szCs w:val="24"/>
        </w:rPr>
        <w:t>Spp. Through Feed on Survival and Growth Rate of Tilapia (</w:t>
      </w:r>
      <w:r>
        <w:rPr>
          <w:rFonts w:ascii="Times New Roman" w:hAnsi="Times New Roman"/>
          <w:i/>
          <w:sz w:val="24"/>
          <w:szCs w:val="24"/>
        </w:rPr>
        <w:t>Oreochromis Niloticus</w:t>
      </w:r>
      <w:r>
        <w:rPr>
          <w:rFonts w:ascii="Times New Roman" w:hAnsi="Times New Roman"/>
          <w:sz w:val="24"/>
          <w:szCs w:val="24"/>
        </w:rPr>
        <w:t>). Marine Aquaculture Study Programme Vocational Programme. University of Mataram.</w:t>
      </w:r>
    </w:p>
    <w:p w14:paraId="284B6B7D">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auto"/>
        <w:ind w:left="900" w:hanging="900"/>
        <w:jc w:val="both"/>
        <w:textAlignment w:val="auto"/>
        <w:rPr>
          <w:rFonts w:ascii="Times New Roman" w:hAnsi="Times New Roman"/>
          <w:color w:val="000000"/>
          <w:sz w:val="24"/>
          <w:szCs w:val="24"/>
          <w:lang w:val="en-US"/>
        </w:rPr>
      </w:pPr>
      <w:r>
        <w:rPr>
          <w:rFonts w:ascii="Times New Roman" w:hAnsi="Times New Roman"/>
          <w:color w:val="000000"/>
          <w:sz w:val="24"/>
          <w:szCs w:val="24"/>
        </w:rPr>
        <w:t>Popma, T. and M. Masser. 1999. Tilapia: Life History and Biology.  SRAC.United</w:t>
      </w:r>
      <w:r>
        <w:rPr>
          <w:rFonts w:ascii="Times New Roman" w:hAnsi="Times New Roman"/>
          <w:color w:val="000000"/>
          <w:sz w:val="24"/>
          <w:szCs w:val="24"/>
        </w:rPr>
        <w:tab/>
      </w:r>
      <w:r>
        <w:rPr>
          <w:rFonts w:ascii="Times New Roman" w:hAnsi="Times New Roman"/>
          <w:color w:val="000000"/>
          <w:sz w:val="24"/>
          <w:szCs w:val="24"/>
        </w:rPr>
        <w:t>States Department of Agriculture Cooperative states</w:t>
      </w:r>
    </w:p>
    <w:p w14:paraId="4B53D363">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auto"/>
        <w:ind w:left="900" w:hanging="900"/>
        <w:jc w:val="both"/>
        <w:textAlignment w:val="auto"/>
        <w:rPr>
          <w:rFonts w:ascii="Times New Roman" w:hAnsi="Times New Roman"/>
          <w:color w:val="000000"/>
          <w:sz w:val="24"/>
          <w:szCs w:val="24"/>
        </w:rPr>
      </w:pPr>
      <w:r>
        <w:rPr>
          <w:rFonts w:ascii="Times New Roman" w:hAnsi="Times New Roman"/>
          <w:sz w:val="24"/>
          <w:szCs w:val="24"/>
        </w:rPr>
        <w:t xml:space="preserve">Putra, I. A. and M. Masri. 2015. Research Article on Antibacterial Effect of Ethanol Extract of Salam Bark {Syzigium </w:t>
      </w:r>
      <w:r>
        <w:rPr>
          <w:rFonts w:ascii="Times New Roman" w:hAnsi="Times New Roman"/>
          <w:i/>
          <w:sz w:val="24"/>
          <w:szCs w:val="24"/>
        </w:rPr>
        <w:t xml:space="preserve">polyanthum </w:t>
      </w:r>
      <w:r>
        <w:rPr>
          <w:rFonts w:ascii="Times New Roman" w:hAnsi="Times New Roman"/>
          <w:sz w:val="24"/>
          <w:szCs w:val="24"/>
        </w:rPr>
        <w:t xml:space="preserve">Walp} against </w:t>
      </w:r>
      <w:r>
        <w:rPr>
          <w:rFonts w:ascii="Times New Roman" w:hAnsi="Times New Roman"/>
          <w:i/>
          <w:sz w:val="24"/>
          <w:szCs w:val="24"/>
        </w:rPr>
        <w:t xml:space="preserve">Staphylococcus aureus </w:t>
      </w:r>
      <w:r>
        <w:rPr>
          <w:rFonts w:ascii="Times New Roman" w:hAnsi="Times New Roman"/>
          <w:sz w:val="24"/>
          <w:szCs w:val="24"/>
        </w:rPr>
        <w:t xml:space="preserve">and </w:t>
      </w:r>
      <w:r>
        <w:rPr>
          <w:rFonts w:ascii="Times New Roman" w:hAnsi="Times New Roman"/>
          <w:i/>
          <w:sz w:val="24"/>
          <w:szCs w:val="24"/>
        </w:rPr>
        <w:t xml:space="preserve">Escherichia coli </w:t>
      </w:r>
      <w:r>
        <w:rPr>
          <w:rFonts w:ascii="Times New Roman" w:hAnsi="Times New Roman"/>
          <w:sz w:val="24"/>
          <w:szCs w:val="24"/>
        </w:rPr>
        <w:t>Invitro, 4(2), pp. 497-501.</w:t>
      </w:r>
    </w:p>
    <w:p w14:paraId="69E16497">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en-US"/>
        </w:rPr>
      </w:pPr>
      <w:r>
        <w:rPr>
          <w:rFonts w:ascii="Times New Roman" w:hAnsi="Times New Roman"/>
          <w:sz w:val="24"/>
          <w:szCs w:val="24"/>
        </w:rPr>
        <w:t>Setijaningsih, L., Nunak, N., Estu, N. 2011. Effect of Giving Probiotics to Tilapia (</w:t>
      </w:r>
      <w:r>
        <w:rPr>
          <w:rFonts w:ascii="Times New Roman" w:hAnsi="Times New Roman"/>
          <w:i/>
          <w:sz w:val="24"/>
          <w:szCs w:val="24"/>
        </w:rPr>
        <w:t>Oreochromis niloticus</w:t>
      </w:r>
      <w:r>
        <w:rPr>
          <w:rFonts w:ascii="Times New Roman" w:hAnsi="Times New Roman"/>
          <w:sz w:val="24"/>
          <w:szCs w:val="24"/>
        </w:rPr>
        <w:t xml:space="preserve">) Seeds. Research Centre for Freshwater Aquaculture. Bogor. </w:t>
      </w:r>
    </w:p>
    <w:p w14:paraId="06DCD6B7">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rPr>
      </w:pPr>
      <w:r>
        <w:rPr>
          <w:rFonts w:ascii="Times New Roman" w:hAnsi="Times New Roman"/>
          <w:sz w:val="24"/>
          <w:szCs w:val="24"/>
        </w:rPr>
        <w:t>Setyo, B. P., 2006. Effects of Different Concentrations of Chromium (Cr+3) and Salinity on Feed Utilisation Efficiency for Growth of Tilapia (</w:t>
      </w:r>
      <w:r>
        <w:rPr>
          <w:rFonts w:ascii="Times New Roman" w:hAnsi="Times New Roman"/>
          <w:i/>
          <w:sz w:val="24"/>
          <w:szCs w:val="24"/>
        </w:rPr>
        <w:t>Oreochromis niloticus</w:t>
      </w:r>
      <w:r>
        <w:rPr>
          <w:rFonts w:ascii="Times New Roman" w:hAnsi="Times New Roman"/>
          <w:sz w:val="24"/>
          <w:szCs w:val="24"/>
        </w:rPr>
        <w:t>). Thesis. Postgraduate Programme. Dipanegoro University. Semarang.</w:t>
      </w:r>
    </w:p>
    <w:p w14:paraId="060882F0">
      <w:pPr>
        <w:keepNext w:val="0"/>
        <w:keepLines w:val="0"/>
        <w:pageBreakBefore w:val="0"/>
        <w:kinsoku/>
        <w:wordWrap/>
        <w:overflowPunct/>
        <w:topLinePunct w:val="0"/>
        <w:autoSpaceDE w:val="0"/>
        <w:autoSpaceDN w:val="0"/>
        <w:bidi w:val="0"/>
        <w:adjustRightInd w:val="0"/>
        <w:snapToGrid/>
        <w:spacing w:beforeAutospacing="0" w:afterAutospacing="0" w:line="240" w:lineRule="auto"/>
        <w:ind w:left="810" w:hanging="810"/>
        <w:jc w:val="both"/>
        <w:textAlignment w:val="auto"/>
        <w:rPr>
          <w:rFonts w:ascii="Times New Roman" w:hAnsi="Times New Roman"/>
          <w:sz w:val="24"/>
          <w:szCs w:val="24"/>
        </w:rPr>
      </w:pPr>
      <w:r>
        <w:rPr>
          <w:rFonts w:ascii="Times New Roman" w:hAnsi="Times New Roman"/>
          <w:sz w:val="24"/>
          <w:szCs w:val="24"/>
        </w:rPr>
        <w:t>Silalahi, G.A. 2003. Research Methodology and Case Studies Citramedia Sidoarjo 152 pages.</w:t>
      </w:r>
    </w:p>
    <w:p w14:paraId="0F93DAC7">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lang w:val="en-US"/>
        </w:rPr>
      </w:pPr>
      <w:r>
        <w:rPr>
          <w:rFonts w:ascii="Times New Roman" w:hAnsi="Times New Roman"/>
          <w:sz w:val="24"/>
          <w:szCs w:val="24"/>
        </w:rPr>
        <w:t xml:space="preserve">Soedibya, IPM. 2013 . GIFT tilapia </w:t>
      </w:r>
      <w:r>
        <w:rPr>
          <w:rFonts w:ascii="Times New Roman" w:hAnsi="Times New Roman"/>
          <w:i/>
          <w:sz w:val="24"/>
          <w:szCs w:val="24"/>
        </w:rPr>
        <w:t xml:space="preserve">Oreochromis niloticus </w:t>
      </w:r>
      <w:r>
        <w:rPr>
          <w:rFonts w:ascii="Times New Roman" w:hAnsi="Times New Roman"/>
          <w:sz w:val="24"/>
          <w:szCs w:val="24"/>
        </w:rPr>
        <w:t xml:space="preserve">fed with feed containing probiotics. Department of Aquaculture, Faculty of Engineering Science, Universitas Jenderal Soedirman. </w:t>
      </w:r>
    </w:p>
    <w:p w14:paraId="363CB080">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lang w:val="fi-FI"/>
        </w:rPr>
      </w:pPr>
      <w:r>
        <w:rPr>
          <w:rFonts w:ascii="Times New Roman" w:hAnsi="Times New Roman"/>
          <w:sz w:val="24"/>
          <w:szCs w:val="24"/>
        </w:rPr>
        <w:t>Steel, RGD and Torrie. 1993. Principles and Procedures of Statistics. PT. Gramedia Pustaka Utama. Jakarta.</w:t>
      </w:r>
    </w:p>
    <w:p w14:paraId="514BFEC8">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lang w:val="fi-FI"/>
        </w:rPr>
      </w:pPr>
      <w:r>
        <w:rPr>
          <w:rFonts w:ascii="Times New Roman" w:hAnsi="Times New Roman" w:eastAsia="Times New Roman"/>
          <w:sz w:val="24"/>
          <w:szCs w:val="24"/>
        </w:rPr>
        <w:t xml:space="preserve">Suyanto, </w:t>
      </w:r>
      <w:r>
        <w:rPr>
          <w:rFonts w:ascii="Times New Roman" w:hAnsi="Times New Roman" w:eastAsia="Times New Roman"/>
          <w:sz w:val="24"/>
          <w:szCs w:val="24"/>
          <w:lang w:val="en-US"/>
        </w:rPr>
        <w:t>2010</w:t>
      </w:r>
      <w:r>
        <w:rPr>
          <w:rFonts w:ascii="Times New Roman" w:hAnsi="Times New Roman" w:eastAsia="Times New Roman"/>
          <w:sz w:val="24"/>
          <w:szCs w:val="24"/>
        </w:rPr>
        <w:t>. Hatchery with Tilapia Enlargement. Penebar Swadaya. Jakarta</w:t>
      </w:r>
    </w:p>
    <w:p w14:paraId="6B7A2827">
      <w:pPr>
        <w:keepNext w:val="0"/>
        <w:keepLines w:val="0"/>
        <w:pageBreakBefore w:val="0"/>
        <w:kinsoku/>
        <w:wordWrap/>
        <w:overflowPunct/>
        <w:topLinePunct w:val="0"/>
        <w:bidi w:val="0"/>
        <w:snapToGrid/>
        <w:spacing w:beforeAutospacing="0" w:afterAutospacing="0" w:line="240" w:lineRule="auto"/>
        <w:ind w:left="540" w:hanging="540"/>
        <w:jc w:val="both"/>
        <w:textAlignment w:val="auto"/>
        <w:rPr>
          <w:rFonts w:ascii="Times New Roman" w:hAnsi="Times New Roman" w:eastAsia="Times New Roman"/>
          <w:color w:val="000000"/>
          <w:sz w:val="24"/>
          <w:szCs w:val="24"/>
        </w:rPr>
      </w:pPr>
      <w:r>
        <w:rPr>
          <w:rFonts w:ascii="Times New Roman" w:hAnsi="Times New Roman" w:eastAsia="Times New Roman"/>
          <w:color w:val="000000"/>
          <w:sz w:val="24"/>
          <w:szCs w:val="24"/>
        </w:rPr>
        <w:t>Susanto, H. 2005. Fish Farming in the Yard</w:t>
      </w:r>
      <w:r>
        <w:rPr>
          <w:rFonts w:ascii="Times New Roman" w:hAnsi="Times New Roman" w:eastAsia="Times New Roman"/>
          <w:b/>
          <w:bCs/>
          <w:color w:val="000000"/>
          <w:sz w:val="24"/>
          <w:szCs w:val="24"/>
        </w:rPr>
        <w:t xml:space="preserve">. </w:t>
      </w:r>
      <w:r>
        <w:rPr>
          <w:rFonts w:ascii="Times New Roman" w:hAnsi="Times New Roman" w:eastAsia="Times New Roman"/>
          <w:color w:val="000000"/>
          <w:sz w:val="24"/>
          <w:szCs w:val="24"/>
        </w:rPr>
        <w:t>Penebar Swadaya. Jakarta. 196 pages.</w:t>
      </w:r>
    </w:p>
    <w:p w14:paraId="486356C7">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rPr>
      </w:pPr>
      <w:r>
        <w:rPr>
          <w:rFonts w:ascii="Times New Roman" w:hAnsi="Times New Roman"/>
          <w:sz w:val="24"/>
          <w:szCs w:val="24"/>
        </w:rPr>
        <w:t>Suminto and Diana C. 2015. Effect of Commercial Probiotics in Artificial Feed on Growth, Feed Utilisation Efficiency, and Survival of Gourami Fish Seeds (</w:t>
      </w:r>
      <w:r>
        <w:rPr>
          <w:rFonts w:ascii="Times New Roman" w:hAnsi="Times New Roman"/>
          <w:i/>
          <w:sz w:val="24"/>
          <w:szCs w:val="24"/>
        </w:rPr>
        <w:t>Osphronemus gouramy</w:t>
      </w:r>
      <w:r>
        <w:rPr>
          <w:rFonts w:ascii="Times New Roman" w:hAnsi="Times New Roman"/>
          <w:sz w:val="24"/>
          <w:szCs w:val="24"/>
        </w:rPr>
        <w:t xml:space="preserve">) d35- d75. Department of Aquaculture, Faculty of Fisheries and Marine Science, Diponegoro University. Semarang. </w:t>
      </w:r>
    </w:p>
    <w:p w14:paraId="2604FED0">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sz w:val="24"/>
          <w:szCs w:val="24"/>
        </w:rPr>
      </w:pPr>
      <w:r>
        <w:rPr>
          <w:rFonts w:ascii="Times New Roman" w:hAnsi="Times New Roman"/>
          <w:sz w:val="24"/>
          <w:szCs w:val="24"/>
        </w:rPr>
        <w:t>Supriyanto. 2009. Effect of Probiotics in Pellets on the Growth of Sangkuriang Catfish. Research Report. FMIPA, State University of Semarang.</w:t>
      </w:r>
    </w:p>
    <w:p w14:paraId="0DD3A565">
      <w:pPr>
        <w:pStyle w:val="57"/>
        <w:keepNext w:val="0"/>
        <w:keepLines w:val="0"/>
        <w:pageBreakBefore w:val="0"/>
        <w:tabs>
          <w:tab w:val="left" w:pos="709"/>
        </w:tabs>
        <w:kinsoku/>
        <w:wordWrap/>
        <w:overflowPunct/>
        <w:topLinePunct w:val="0"/>
        <w:bidi w:val="0"/>
        <w:snapToGrid/>
        <w:spacing w:before="0" w:beforeAutospacing="0" w:after="0" w:afterAutospacing="0" w:line="240" w:lineRule="auto"/>
        <w:ind w:left="810" w:hanging="810"/>
        <w:jc w:val="both"/>
        <w:textAlignment w:val="auto"/>
        <w:rPr>
          <w:rFonts w:ascii="Times New Roman" w:hAnsi="Times New Roman"/>
          <w:sz w:val="24"/>
          <w:szCs w:val="24"/>
          <w:lang w:val="en-US"/>
        </w:rPr>
      </w:pPr>
      <w:r>
        <w:rPr>
          <w:rFonts w:ascii="Times New Roman" w:hAnsi="Times New Roman"/>
          <w:sz w:val="24"/>
          <w:szCs w:val="24"/>
        </w:rPr>
        <w:t xml:space="preserve">Ulkhaq, M F., Widanarni, Angela, ML. 2014. Application of Probiotic </w:t>
      </w:r>
      <w:r>
        <w:rPr>
          <w:rFonts w:ascii="Times New Roman" w:hAnsi="Times New Roman"/>
          <w:i/>
          <w:sz w:val="24"/>
          <w:szCs w:val="24"/>
        </w:rPr>
        <w:t xml:space="preserve">Bacillus </w:t>
      </w:r>
      <w:r>
        <w:rPr>
          <w:rFonts w:ascii="Times New Roman" w:hAnsi="Times New Roman"/>
          <w:sz w:val="24"/>
          <w:szCs w:val="24"/>
        </w:rPr>
        <w:t xml:space="preserve">for Prevention of </w:t>
      </w:r>
      <w:r>
        <w:rPr>
          <w:rFonts w:ascii="Times New Roman" w:hAnsi="Times New Roman"/>
          <w:i/>
          <w:sz w:val="24"/>
          <w:szCs w:val="24"/>
        </w:rPr>
        <w:t xml:space="preserve">Aeromonas Hydrophilla </w:t>
      </w:r>
      <w:r>
        <w:rPr>
          <w:rFonts w:ascii="Times New Roman" w:hAnsi="Times New Roman"/>
          <w:sz w:val="24"/>
          <w:szCs w:val="24"/>
        </w:rPr>
        <w:t xml:space="preserve">Infection in Catfish. Sempur Freshwater Aquaculture Research and Development Centre. Bogor. </w:t>
      </w:r>
    </w:p>
    <w:p w14:paraId="0B7CD63B">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rPr>
      </w:pPr>
      <w:r>
        <w:rPr>
          <w:rFonts w:ascii="Times New Roman" w:hAnsi="Times New Roman" w:eastAsia="Times New Roman"/>
          <w:sz w:val="24"/>
          <w:szCs w:val="24"/>
        </w:rPr>
        <w:t>Wahyuningsih, H and T. A. Barus. 2006. Textbook of Ichthyology. Department of Biology FMIFA USU. North Sumatra</w:t>
      </w:r>
    </w:p>
    <w:p w14:paraId="4F33544C">
      <w:pPr>
        <w:keepNext w:val="0"/>
        <w:keepLines w:val="0"/>
        <w:pageBreakBefore w:val="0"/>
        <w:kinsoku/>
        <w:wordWrap/>
        <w:overflowPunct/>
        <w:topLinePunct w:val="0"/>
        <w:bidi w:val="0"/>
        <w:snapToGrid/>
        <w:spacing w:beforeAutospacing="0" w:afterAutospacing="0" w:line="240" w:lineRule="auto"/>
        <w:ind w:left="851" w:hanging="851"/>
        <w:jc w:val="both"/>
        <w:textAlignment w:val="auto"/>
        <w:rPr>
          <w:rFonts w:ascii="Times New Roman" w:hAnsi="Times New Roman" w:eastAsia="Times New Roman"/>
          <w:sz w:val="24"/>
          <w:szCs w:val="24"/>
        </w:rPr>
      </w:pPr>
      <w:r>
        <w:rPr>
          <w:rFonts w:ascii="Times New Roman" w:hAnsi="Times New Roman" w:eastAsia="Times New Roman"/>
          <w:sz w:val="24"/>
          <w:szCs w:val="24"/>
        </w:rPr>
        <w:t>Wiryanta, B.T.W., et al. 2010. Tilapia Cultivation and Business. PT Agromedia Pustaka. Jakarta</w:t>
      </w:r>
    </w:p>
    <w:p w14:paraId="7F35D0A8">
      <w:pPr>
        <w:pStyle w:val="57"/>
        <w:keepNext w:val="0"/>
        <w:keepLines w:val="0"/>
        <w:pageBreakBefore w:val="0"/>
        <w:tabs>
          <w:tab w:val="left" w:pos="709"/>
        </w:tabs>
        <w:kinsoku/>
        <w:wordWrap/>
        <w:overflowPunct/>
        <w:topLinePunct w:val="0"/>
        <w:bidi w:val="0"/>
        <w:snapToGrid/>
        <w:spacing w:before="0" w:beforeAutospacing="0" w:after="0" w:afterAutospacing="0" w:line="240" w:lineRule="auto"/>
        <w:ind w:left="900" w:hanging="900"/>
        <w:jc w:val="both"/>
        <w:textAlignment w:val="auto"/>
        <w:rPr>
          <w:rFonts w:ascii="Times New Roman" w:hAnsi="Times New Roman"/>
          <w:b/>
          <w:sz w:val="24"/>
          <w:szCs w:val="24"/>
          <w:lang w:val="en-US"/>
        </w:rPr>
      </w:pPr>
      <w:r>
        <w:rPr>
          <w:rFonts w:ascii="Times New Roman" w:hAnsi="Times New Roman"/>
          <w:sz w:val="24"/>
          <w:szCs w:val="24"/>
        </w:rPr>
        <w:t>Wulandari, R.A. 2006. The Role of Salinity on the Survival of Freshwater Bawal Fish (</w:t>
      </w:r>
      <w:r>
        <w:rPr>
          <w:rFonts w:ascii="Times New Roman" w:hAnsi="Times New Roman"/>
          <w:i/>
          <w:sz w:val="24"/>
          <w:szCs w:val="24"/>
        </w:rPr>
        <w:t>Colossoma macroponum</w:t>
      </w:r>
      <w:r>
        <w:rPr>
          <w:rFonts w:ascii="Times New Roman" w:hAnsi="Times New Roman"/>
          <w:sz w:val="24"/>
          <w:szCs w:val="24"/>
        </w:rPr>
        <w:t>). Thesis. Bogor Agricultural University. Bogor.</w:t>
      </w:r>
    </w:p>
    <w:p w14:paraId="4E92B032">
      <w:pPr>
        <w:pStyle w:val="57"/>
        <w:keepNext w:val="0"/>
        <w:keepLines w:val="0"/>
        <w:pageBreakBefore w:val="0"/>
        <w:tabs>
          <w:tab w:val="left" w:pos="709"/>
        </w:tabs>
        <w:kinsoku/>
        <w:wordWrap/>
        <w:overflowPunct/>
        <w:topLinePunct w:val="0"/>
        <w:bidi w:val="0"/>
        <w:snapToGrid/>
        <w:spacing w:before="0" w:beforeAutospacing="0" w:after="0" w:afterAutospacing="0" w:line="240" w:lineRule="auto"/>
        <w:ind w:left="0"/>
        <w:jc w:val="both"/>
        <w:textAlignment w:val="auto"/>
        <w:rPr>
          <w:rFonts w:ascii="Times New Roman" w:hAnsi="Times New Roman"/>
          <w:b/>
          <w:sz w:val="24"/>
          <w:szCs w:val="24"/>
          <w:lang w:val="en-US"/>
        </w:rPr>
      </w:pPr>
    </w:p>
    <w:p w14:paraId="062F8AC5">
      <w:pPr>
        <w:keepNext w:val="0"/>
        <w:keepLines w:val="0"/>
        <w:pageBreakBefore w:val="0"/>
        <w:kinsoku/>
        <w:wordWrap/>
        <w:overflowPunct/>
        <w:topLinePunct w:val="0"/>
        <w:bidi w:val="0"/>
        <w:snapToGrid/>
        <w:spacing w:beforeAutospacing="0" w:afterAutospacing="0" w:line="240" w:lineRule="auto"/>
        <w:jc w:val="both"/>
        <w:textAlignment w:val="auto"/>
        <w:rPr>
          <w:rFonts w:eastAsia="OpenSans;MS Gothic"/>
        </w:rPr>
      </w:pPr>
    </w:p>
    <w:p w14:paraId="3196E719">
      <w:pPr>
        <w:keepNext w:val="0"/>
        <w:keepLines w:val="0"/>
        <w:pageBreakBefore w:val="0"/>
        <w:kinsoku/>
        <w:wordWrap/>
        <w:overflowPunct/>
        <w:topLinePunct w:val="0"/>
        <w:bidi w:val="0"/>
        <w:snapToGrid/>
        <w:spacing w:beforeAutospacing="0" w:afterAutospacing="0" w:line="240" w:lineRule="auto"/>
        <w:jc w:val="both"/>
        <w:textAlignment w:val="auto"/>
      </w:pPr>
    </w:p>
    <w:p w14:paraId="077184DA">
      <w:pPr>
        <w:keepNext w:val="0"/>
        <w:keepLines w:val="0"/>
        <w:pageBreakBefore w:val="0"/>
        <w:kinsoku/>
        <w:wordWrap/>
        <w:overflowPunct/>
        <w:topLinePunct w:val="0"/>
        <w:bidi w:val="0"/>
        <w:snapToGrid/>
        <w:spacing w:beforeAutospacing="0" w:afterAutospacing="0" w:line="240" w:lineRule="auto"/>
        <w:jc w:val="both"/>
        <w:textAlignment w:val="auto"/>
      </w:pPr>
    </w:p>
    <w:p w14:paraId="228AB8CD">
      <w:pPr>
        <w:keepNext w:val="0"/>
        <w:keepLines w:val="0"/>
        <w:pageBreakBefore w:val="0"/>
        <w:kinsoku/>
        <w:wordWrap/>
        <w:overflowPunct/>
        <w:topLinePunct w:val="0"/>
        <w:bidi w:val="0"/>
        <w:snapToGrid/>
        <w:spacing w:beforeAutospacing="0" w:afterAutospacing="0" w:line="240" w:lineRule="auto"/>
        <w:jc w:val="both"/>
        <w:textAlignment w:val="auto"/>
      </w:pPr>
    </w:p>
    <w:p w14:paraId="6E6F887D">
      <w:pPr>
        <w:keepNext w:val="0"/>
        <w:keepLines w:val="0"/>
        <w:pageBreakBefore w:val="0"/>
        <w:kinsoku/>
        <w:wordWrap/>
        <w:overflowPunct/>
        <w:topLinePunct w:val="0"/>
        <w:bidi w:val="0"/>
        <w:snapToGrid/>
        <w:spacing w:beforeAutospacing="0" w:afterAutospacing="0" w:line="240" w:lineRule="auto"/>
        <w:jc w:val="both"/>
        <w:textAlignment w:val="auto"/>
      </w:pPr>
    </w:p>
    <w:p w14:paraId="669D757D">
      <w:pPr>
        <w:keepNext w:val="0"/>
        <w:keepLines w:val="0"/>
        <w:pageBreakBefore w:val="0"/>
        <w:kinsoku/>
        <w:wordWrap/>
        <w:overflowPunct/>
        <w:topLinePunct w:val="0"/>
        <w:bidi w:val="0"/>
        <w:snapToGrid/>
        <w:spacing w:beforeAutospacing="0" w:afterAutospacing="0" w:line="240" w:lineRule="auto"/>
        <w:jc w:val="both"/>
        <w:textAlignment w:val="auto"/>
      </w:pPr>
    </w:p>
    <w:p w14:paraId="3558696F">
      <w:pPr>
        <w:keepNext w:val="0"/>
        <w:keepLines w:val="0"/>
        <w:pageBreakBefore w:val="0"/>
        <w:kinsoku/>
        <w:wordWrap/>
        <w:overflowPunct/>
        <w:topLinePunct w:val="0"/>
        <w:bidi w:val="0"/>
        <w:snapToGrid/>
        <w:spacing w:beforeAutospacing="0" w:afterAutospacing="0" w:line="240" w:lineRule="auto"/>
        <w:jc w:val="both"/>
        <w:textAlignment w:val="auto"/>
      </w:pPr>
    </w:p>
    <w:p w14:paraId="627A947B">
      <w:pPr>
        <w:keepNext w:val="0"/>
        <w:keepLines w:val="0"/>
        <w:pageBreakBefore w:val="0"/>
        <w:kinsoku/>
        <w:wordWrap/>
        <w:overflowPunct/>
        <w:topLinePunct w:val="0"/>
        <w:bidi w:val="0"/>
        <w:snapToGrid/>
        <w:spacing w:beforeAutospacing="0" w:afterAutospacing="0" w:line="240" w:lineRule="auto"/>
        <w:jc w:val="both"/>
        <w:textAlignment w:val="auto"/>
      </w:pPr>
    </w:p>
    <w:p w14:paraId="2C6AD897">
      <w:pPr>
        <w:keepNext w:val="0"/>
        <w:keepLines w:val="0"/>
        <w:pageBreakBefore w:val="0"/>
        <w:kinsoku/>
        <w:wordWrap/>
        <w:overflowPunct/>
        <w:topLinePunct w:val="0"/>
        <w:bidi w:val="0"/>
        <w:snapToGrid/>
        <w:spacing w:beforeAutospacing="0" w:afterAutospacing="0" w:line="240" w:lineRule="auto"/>
        <w:jc w:val="both"/>
        <w:textAlignment w:val="auto"/>
      </w:pPr>
    </w:p>
    <w:p w14:paraId="397C5696">
      <w:pPr>
        <w:keepNext w:val="0"/>
        <w:keepLines w:val="0"/>
        <w:pageBreakBefore w:val="0"/>
        <w:kinsoku/>
        <w:wordWrap/>
        <w:overflowPunct/>
        <w:topLinePunct w:val="0"/>
        <w:bidi w:val="0"/>
        <w:snapToGrid/>
        <w:spacing w:beforeAutospacing="0" w:afterAutospacing="0" w:line="240" w:lineRule="auto"/>
        <w:jc w:val="both"/>
        <w:textAlignment w:val="auto"/>
      </w:pPr>
    </w:p>
    <w:p w14:paraId="16DE7815">
      <w:pPr>
        <w:keepNext w:val="0"/>
        <w:keepLines w:val="0"/>
        <w:pageBreakBefore w:val="0"/>
        <w:kinsoku/>
        <w:wordWrap/>
        <w:overflowPunct/>
        <w:topLinePunct w:val="0"/>
        <w:bidi w:val="0"/>
        <w:snapToGrid/>
        <w:spacing w:beforeAutospacing="0" w:afterAutospacing="0" w:line="240" w:lineRule="auto"/>
        <w:jc w:val="both"/>
        <w:textAlignment w:val="auto"/>
      </w:pPr>
    </w:p>
    <w:p w14:paraId="27C948B5">
      <w:pPr>
        <w:keepNext w:val="0"/>
        <w:keepLines w:val="0"/>
        <w:pageBreakBefore w:val="0"/>
        <w:kinsoku/>
        <w:wordWrap/>
        <w:overflowPunct/>
        <w:topLinePunct w:val="0"/>
        <w:bidi w:val="0"/>
        <w:snapToGrid/>
        <w:spacing w:beforeAutospacing="0" w:afterAutospacing="0" w:line="240" w:lineRule="auto"/>
        <w:jc w:val="both"/>
        <w:textAlignment w:val="auto"/>
      </w:pPr>
    </w:p>
    <w:p w14:paraId="726CDAAA">
      <w:pPr>
        <w:keepNext w:val="0"/>
        <w:keepLines w:val="0"/>
        <w:pageBreakBefore w:val="0"/>
        <w:kinsoku/>
        <w:wordWrap/>
        <w:overflowPunct/>
        <w:topLinePunct w:val="0"/>
        <w:bidi w:val="0"/>
        <w:snapToGrid/>
        <w:spacing w:beforeAutospacing="0" w:afterAutospacing="0" w:line="240" w:lineRule="auto"/>
        <w:jc w:val="both"/>
        <w:textAlignment w:val="auto"/>
      </w:pPr>
    </w:p>
    <w:p w14:paraId="7F86FCC5">
      <w:pPr>
        <w:keepNext w:val="0"/>
        <w:keepLines w:val="0"/>
        <w:pageBreakBefore w:val="0"/>
        <w:kinsoku/>
        <w:wordWrap/>
        <w:overflowPunct/>
        <w:topLinePunct w:val="0"/>
        <w:bidi w:val="0"/>
        <w:snapToGrid/>
        <w:spacing w:beforeAutospacing="0" w:afterAutospacing="0" w:line="240" w:lineRule="auto"/>
        <w:jc w:val="both"/>
        <w:textAlignment w:val="auto"/>
        <w:rPr>
          <w:b/>
        </w:rPr>
      </w:pPr>
      <w:r>
        <w:t xml:space="preserve"> </w:t>
      </w:r>
    </w:p>
    <w:sectPr>
      <w:headerReference r:id="rId5" w:type="default"/>
      <w:footerReference r:id="rId6" w:type="default"/>
      <w:pgSz w:w="11906" w:h="16838"/>
      <w:pgMar w:top="1701" w:right="1701" w:bottom="1701" w:left="2268" w:header="576" w:footer="1008" w:gutter="0"/>
      <w:pgNumType w:fmt="decimal"/>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Lohit Devanagari">
    <w:altName w:val="Segoe Print"/>
    <w:panose1 w:val="00000000000000000000"/>
    <w:charset w:val="00"/>
    <w:family w:val="auto"/>
    <w:pitch w:val="default"/>
    <w:sig w:usb0="00000000" w:usb1="00000000" w:usb2="00000000" w:usb3="00000000" w:csb0="00000000"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SimSun"/>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TimesNewRomanPSMT">
    <w:altName w:val="Times New Roman"/>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 w:name="OpenSans;MS Gothi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11D19">
    <w:pPr>
      <w:pStyle w:val="12"/>
      <w:jc w:val="center"/>
      <w:rPr>
        <w:rFonts w:ascii="Times New Roman" w:hAnsi="Times New Roman" w:cs="Times New Roman"/>
        <w:sz w:val="24"/>
        <w:szCs w:val="24"/>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C2527">
    <w:pPr>
      <w:pStyle w:val="12"/>
      <w:jc w:val="center"/>
    </w:pPr>
    <w:r>
      <w:fldChar w:fldCharType="begin"/>
    </w:r>
    <w:r>
      <w:instrText xml:space="preserve">PAGE</w:instrText>
    </w:r>
    <w:r>
      <w:fldChar w:fldCharType="separate"/>
    </w:r>
    <w:r>
      <w:t>17</w:t>
    </w:r>
    <w:r>
      <w:fldChar w:fldCharType="end"/>
    </w:r>
  </w:p>
  <w:p w14:paraId="28046B64">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D035F">
    <w:pPr>
      <w:pStyle w:val="13"/>
      <w:tabs>
        <w:tab w:val="left" w:pos="5490"/>
        <w:tab w:val="left" w:pos="7095"/>
      </w:tabs>
    </w:pPr>
    <w:r>
      <w:rPr>
        <w:sz w:val="22"/>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036820" cy="5036820"/>
          <wp:effectExtent l="0" t="0" r="5080" b="5080"/>
          <wp:wrapNone/>
          <wp:docPr id="4" name="WordPictureWatermark134086" descr="WhatsApp Image 2024-07-04 at 08.11.18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134086" descr="WhatsApp Image 2024-07-04 at 08.11.18 (1)(1)(1)"/>
                  <pic:cNvPicPr>
                    <a:picLocks noChangeAspect="1"/>
                  </pic:cNvPicPr>
                </pic:nvPicPr>
                <pic:blipFill>
                  <a:blip r:embed="rId1">
                    <a:lum bright="70000" contrast="-70000"/>
                  </a:blip>
                  <a:stretch>
                    <a:fillRect/>
                  </a:stretch>
                </pic:blipFill>
                <pic:spPr>
                  <a:xfrm>
                    <a:off x="0" y="0"/>
                    <a:ext cx="5036820" cy="5036820"/>
                  </a:xfrm>
                  <a:prstGeom prst="rect">
                    <a:avLst/>
                  </a:prstGeom>
                </pic:spPr>
              </pic:pic>
            </a:graphicData>
          </a:graphic>
        </wp:anchor>
      </w:drawing>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0010">
    <w:pPr>
      <w:pStyle w:val="13"/>
      <w:tabs>
        <w:tab w:val="left" w:pos="5490"/>
        <w:tab w:val="left" w:pos="7095"/>
      </w:tabs>
    </w:pPr>
    <w:r>
      <w:rPr>
        <w:sz w:val="22"/>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036820" cy="5036820"/>
          <wp:effectExtent l="0" t="0" r="5080" b="5080"/>
          <wp:wrapNone/>
          <wp:docPr id="5" name="WordPictureWatermark153977" descr="WhatsApp Image 2024-07-04 at 08.11.18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53977" descr="WhatsApp Image 2024-07-04 at 08.11.18 (1)(1)(1)"/>
                  <pic:cNvPicPr>
                    <a:picLocks noChangeAspect="1"/>
                  </pic:cNvPicPr>
                </pic:nvPicPr>
                <pic:blipFill>
                  <a:blip r:embed="rId1">
                    <a:lum bright="70000" contrast="-70000"/>
                  </a:blip>
                  <a:stretch>
                    <a:fillRect/>
                  </a:stretch>
                </pic:blipFill>
                <pic:spPr>
                  <a:xfrm>
                    <a:off x="0" y="0"/>
                    <a:ext cx="5036820" cy="5036820"/>
                  </a:xfrm>
                  <a:prstGeom prst="rect">
                    <a:avLst/>
                  </a:prstGeom>
                </pic:spPr>
              </pic:pic>
            </a:graphicData>
          </a:graphic>
        </wp:anchor>
      </w:drawing>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upperRoman"/>
      <w:lvlText w:val="%1."/>
      <w:lvlJc w:val="left"/>
      <w:pPr>
        <w:tabs>
          <w:tab w:val="left" w:pos="0"/>
        </w:tabs>
        <w:ind w:left="1320" w:hanging="720"/>
      </w:pPr>
      <w:rPr>
        <w:rFonts w:hint="default" w:ascii="Times New Roman" w:hAnsi="Times New Roman" w:cs="Times New Roman"/>
        <w:b/>
        <w:bCs/>
        <w:i w:val="0"/>
        <w:iCs w:val="0"/>
        <w:sz w:val="24"/>
        <w:lang w:val="id-ID"/>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1">
    <w:nsid w:val="D03B5CA2"/>
    <w:multiLevelType w:val="singleLevel"/>
    <w:tmpl w:val="D03B5CA2"/>
    <w:lvl w:ilvl="0" w:tentative="0">
      <w:start w:val="1"/>
      <w:numFmt w:val="decimal"/>
      <w:lvlText w:val="%1."/>
      <w:lvlJc w:val="left"/>
      <w:pPr>
        <w:tabs>
          <w:tab w:val="left" w:pos="425"/>
        </w:tabs>
        <w:ind w:left="425" w:leftChars="0" w:hanging="425" w:firstLineChars="0"/>
      </w:pPr>
      <w:rPr>
        <w:rFonts w:hint="default"/>
      </w:rPr>
    </w:lvl>
  </w:abstractNum>
  <w:abstractNum w:abstractNumId="2">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241E3244"/>
    <w:multiLevelType w:val="singleLevel"/>
    <w:tmpl w:val="241E3244"/>
    <w:lvl w:ilvl="0" w:tentative="0">
      <w:start w:val="1"/>
      <w:numFmt w:val="upperLetter"/>
      <w:lvlText w:val="%1."/>
      <w:lvlJc w:val="left"/>
      <w:pPr>
        <w:tabs>
          <w:tab w:val="left" w:pos="425"/>
        </w:tabs>
        <w:ind w:left="425" w:leftChars="0" w:hanging="425" w:firstLineChars="0"/>
      </w:pPr>
      <w:rPr>
        <w:rFonts w:hint="default"/>
      </w:rPr>
    </w:lvl>
  </w:abstractNum>
  <w:abstractNum w:abstractNumId="4">
    <w:nsid w:val="644F6BEA"/>
    <w:multiLevelType w:val="singleLevel"/>
    <w:tmpl w:val="644F6BEA"/>
    <w:lvl w:ilvl="0" w:tentative="0">
      <w:start w:val="1"/>
      <w:numFmt w:val="upperLetter"/>
      <w:lvlText w:val="%1."/>
      <w:lvlJc w:val="left"/>
      <w:pPr>
        <w:tabs>
          <w:tab w:val="left" w:pos="425"/>
        </w:tabs>
        <w:ind w:left="425" w:leftChars="0" w:hanging="425" w:firstLineChars="0"/>
      </w:pPr>
      <w:rPr>
        <w:rFont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0"/>
  <w:defaultTabStop w:val="720"/>
  <w:autoHyphenation/>
  <w:compat>
    <w:compatSetting w:name="compatibilityMode" w:uri="http://schemas.microsoft.com/office/word" w:val="15"/>
  </w:compat>
  <w:rsids>
    <w:rsidRoot w:val="00000000"/>
    <w:rsid w:val="12980212"/>
    <w:rsid w:val="196218F5"/>
    <w:rsid w:val="24A81901"/>
    <w:rsid w:val="27834FE2"/>
    <w:rsid w:val="2AAA7D8D"/>
    <w:rsid w:val="40642B6C"/>
    <w:rsid w:val="41C660F7"/>
    <w:rsid w:val="569660A9"/>
    <w:rsid w:val="70911320"/>
    <w:rsid w:val="7E094A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bidi w:val="0"/>
    </w:pPr>
    <w:rPr>
      <w:rFonts w:ascii="Times New Roman" w:hAnsi="Times New Roman" w:eastAsia="Times New Roman" w:cs="Times New Roman"/>
      <w:color w:val="auto"/>
      <w:sz w:val="24"/>
      <w:szCs w:val="24"/>
      <w:lang w:val="en-US" w:eastAsia="en-US" w:bidi="ar-SA"/>
    </w:rPr>
  </w:style>
  <w:style w:type="paragraph" w:styleId="2">
    <w:name w:val="heading 1"/>
    <w:basedOn w:val="1"/>
    <w:next w:val="1"/>
    <w:qFormat/>
    <w:uiPriority w:val="0"/>
    <w:pPr>
      <w:keepNext/>
      <w:numPr>
        <w:ilvl w:val="0"/>
        <w:numId w:val="1"/>
      </w:numPr>
      <w:outlineLvl w:val="0"/>
    </w:pPr>
    <w:rPr>
      <w:rFonts w:cs="Arial"/>
      <w:b/>
      <w:kern w:val="2"/>
      <w:sz w:val="20"/>
      <w:szCs w:val="32"/>
      <w:lang w:eastAsia="en-US"/>
    </w:rPr>
  </w:style>
  <w:style w:type="paragraph" w:styleId="3">
    <w:name w:val="heading 2"/>
    <w:basedOn w:val="1"/>
    <w:next w:val="1"/>
    <w:qFormat/>
    <w:uiPriority w:val="0"/>
    <w:pPr>
      <w:keepNext/>
      <w:numPr>
        <w:ilvl w:val="1"/>
        <w:numId w:val="1"/>
      </w:numPr>
      <w:spacing w:before="240" w:after="60" w:line="276" w:lineRule="auto"/>
      <w:outlineLvl w:val="1"/>
    </w:pPr>
    <w:rPr>
      <w:rFonts w:ascii="Cambria" w:hAnsi="Cambria" w:cs="Cambria"/>
      <w:b/>
      <w:bCs/>
      <w:i/>
      <w:iCs/>
      <w:sz w:val="28"/>
      <w:szCs w:val="28"/>
      <w:lang w:val="id-ID"/>
    </w:rPr>
  </w:style>
  <w:style w:type="paragraph" w:styleId="4">
    <w:name w:val="heading 3"/>
    <w:basedOn w:val="1"/>
    <w:next w:val="5"/>
    <w:qFormat/>
    <w:uiPriority w:val="0"/>
    <w:pPr>
      <w:numPr>
        <w:ilvl w:val="2"/>
        <w:numId w:val="1"/>
      </w:numPr>
      <w:spacing w:before="100" w:after="100"/>
      <w:outlineLvl w:val="2"/>
    </w:pPr>
    <w:rPr>
      <w:b/>
      <w:bCs/>
      <w:sz w:val="27"/>
      <w:szCs w:val="27"/>
      <w:lang w:val="id-ID" w:eastAsia="id-ID"/>
    </w:rPr>
  </w:style>
  <w:style w:type="character" w:default="1" w:styleId="6">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before="0" w:after="140" w:line="276" w:lineRule="auto"/>
    </w:pPr>
  </w:style>
  <w:style w:type="paragraph" w:styleId="8">
    <w:name w:val="Balloon Text"/>
    <w:basedOn w:val="1"/>
    <w:qFormat/>
    <w:uiPriority w:val="0"/>
    <w:rPr>
      <w:rFonts w:ascii="Tahoma" w:hAnsi="Tahoma" w:eastAsia="Times New Roman" w:cs="Tahoma"/>
      <w:sz w:val="16"/>
      <w:szCs w:val="16"/>
      <w:lang w:val="en-GB" w:eastAsia="en-GB"/>
    </w:rPr>
  </w:style>
  <w:style w:type="paragraph" w:styleId="9">
    <w:name w:val="Body Text Indent"/>
    <w:basedOn w:val="1"/>
    <w:qFormat/>
    <w:uiPriority w:val="0"/>
    <w:pPr>
      <w:tabs>
        <w:tab w:val="left" w:pos="720"/>
      </w:tabs>
      <w:spacing w:line="480" w:lineRule="auto"/>
      <w:ind w:firstLine="720"/>
      <w:jc w:val="both"/>
    </w:pPr>
    <w:rPr>
      <w:lang w:eastAsia="en-GB"/>
    </w:rPr>
  </w:style>
  <w:style w:type="paragraph" w:styleId="10">
    <w:name w:val="caption"/>
    <w:basedOn w:val="1"/>
    <w:next w:val="1"/>
    <w:qFormat/>
    <w:uiPriority w:val="0"/>
    <w:pPr>
      <w:spacing w:before="0" w:after="200"/>
      <w:jc w:val="center"/>
    </w:pPr>
    <w:rPr>
      <w:rFonts w:ascii="Calibri" w:hAnsi="Calibri" w:eastAsia="Times New Roman" w:cs="Times New Roman"/>
      <w:b/>
      <w:bCs/>
      <w:color w:val="5B9BD5"/>
      <w:sz w:val="18"/>
      <w:szCs w:val="18"/>
      <w:lang w:eastAsia="ko-KR"/>
    </w:rPr>
  </w:style>
  <w:style w:type="character" w:styleId="11">
    <w:name w:val="Emphasis"/>
    <w:qFormat/>
    <w:uiPriority w:val="0"/>
    <w:rPr>
      <w:i/>
      <w:iCs/>
    </w:rPr>
  </w:style>
  <w:style w:type="paragraph" w:styleId="12">
    <w:name w:val="footer"/>
    <w:basedOn w:val="1"/>
    <w:qFormat/>
    <w:uiPriority w:val="0"/>
    <w:pPr>
      <w:tabs>
        <w:tab w:val="center" w:pos="4680"/>
        <w:tab w:val="right" w:pos="9360"/>
      </w:tabs>
      <w:ind w:left="425" w:hanging="425"/>
    </w:pPr>
    <w:rPr>
      <w:rFonts w:ascii="Calibri" w:hAnsi="Calibri" w:eastAsia="Calibri" w:cs="Calibri"/>
      <w:sz w:val="22"/>
      <w:szCs w:val="22"/>
      <w:lang w:val="id-ID"/>
    </w:rPr>
  </w:style>
  <w:style w:type="paragraph" w:styleId="13">
    <w:name w:val="header"/>
    <w:basedOn w:val="1"/>
    <w:qFormat/>
    <w:uiPriority w:val="0"/>
    <w:pPr>
      <w:tabs>
        <w:tab w:val="center" w:pos="4513"/>
        <w:tab w:val="right" w:pos="9026"/>
      </w:tabs>
    </w:pPr>
    <w:rPr>
      <w:rFonts w:ascii="Calibri" w:hAnsi="Calibri" w:eastAsia="Times New Roman" w:cs="Times New Roman"/>
      <w:sz w:val="22"/>
      <w:szCs w:val="22"/>
      <w:lang w:val="en-GB" w:eastAsia="en-GB"/>
    </w:rPr>
  </w:style>
  <w:style w:type="character" w:styleId="14">
    <w:name w:val="Hyperlink"/>
    <w:basedOn w:val="6"/>
    <w:qFormat/>
    <w:uiPriority w:val="0"/>
    <w:rPr>
      <w:color w:val="0000FF"/>
      <w:u w:val="single"/>
    </w:rPr>
  </w:style>
  <w:style w:type="paragraph" w:styleId="15">
    <w:name w:val="List"/>
    <w:basedOn w:val="5"/>
    <w:qFormat/>
    <w:uiPriority w:val="0"/>
    <w:rPr>
      <w:rFonts w:cs="Lohit Devanagari"/>
    </w:rPr>
  </w:style>
  <w:style w:type="paragraph" w:styleId="16">
    <w:name w:val="Normal (Web)"/>
    <w:basedOn w:val="1"/>
    <w:qFormat/>
    <w:uiPriority w:val="0"/>
    <w:pPr>
      <w:spacing w:before="100" w:after="100"/>
    </w:pPr>
  </w:style>
  <w:style w:type="character" w:customStyle="1" w:styleId="17">
    <w:name w:val="WW8Num1z0"/>
    <w:qFormat/>
    <w:uiPriority w:val="0"/>
  </w:style>
  <w:style w:type="character" w:customStyle="1" w:styleId="18">
    <w:name w:val="WW8Num1z1"/>
    <w:qFormat/>
    <w:uiPriority w:val="0"/>
  </w:style>
  <w:style w:type="character" w:customStyle="1" w:styleId="19">
    <w:name w:val="WW8Num1z2"/>
    <w:qFormat/>
    <w:uiPriority w:val="0"/>
  </w:style>
  <w:style w:type="character" w:customStyle="1" w:styleId="20">
    <w:name w:val="WW8Num1z3"/>
    <w:qFormat/>
    <w:uiPriority w:val="0"/>
  </w:style>
  <w:style w:type="character" w:customStyle="1" w:styleId="21">
    <w:name w:val="WW8Num1z4"/>
    <w:qFormat/>
    <w:uiPriority w:val="0"/>
  </w:style>
  <w:style w:type="character" w:customStyle="1" w:styleId="22">
    <w:name w:val="WW8Num1z5"/>
    <w:qFormat/>
    <w:uiPriority w:val="0"/>
  </w:style>
  <w:style w:type="character" w:customStyle="1" w:styleId="23">
    <w:name w:val="WW8Num1z6"/>
    <w:qFormat/>
    <w:uiPriority w:val="0"/>
  </w:style>
  <w:style w:type="character" w:customStyle="1" w:styleId="24">
    <w:name w:val="WW8Num1z7"/>
    <w:qFormat/>
    <w:uiPriority w:val="0"/>
  </w:style>
  <w:style w:type="character" w:customStyle="1" w:styleId="25">
    <w:name w:val="WW8Num1z8"/>
    <w:qFormat/>
    <w:uiPriority w:val="0"/>
  </w:style>
  <w:style w:type="character" w:customStyle="1" w:styleId="26">
    <w:name w:val="WW8Num2z0"/>
    <w:qFormat/>
    <w:uiPriority w:val="0"/>
    <w:rPr>
      <w:rFonts w:ascii="Times New Roman" w:hAnsi="Times New Roman" w:cs="Times New Roman"/>
      <w:b/>
      <w:bCs/>
      <w:sz w:val="24"/>
      <w:lang w:val="id-ID"/>
    </w:rPr>
  </w:style>
  <w:style w:type="character" w:customStyle="1" w:styleId="27">
    <w:name w:val="WW8Num2z1"/>
    <w:qFormat/>
    <w:uiPriority w:val="0"/>
  </w:style>
  <w:style w:type="character" w:customStyle="1" w:styleId="28">
    <w:name w:val="WW8Num2z2"/>
    <w:qFormat/>
    <w:uiPriority w:val="0"/>
  </w:style>
  <w:style w:type="character" w:customStyle="1" w:styleId="29">
    <w:name w:val="WW8Num2z3"/>
    <w:qFormat/>
    <w:uiPriority w:val="0"/>
  </w:style>
  <w:style w:type="character" w:customStyle="1" w:styleId="30">
    <w:name w:val="WW8Num2z4"/>
    <w:qFormat/>
    <w:uiPriority w:val="0"/>
  </w:style>
  <w:style w:type="character" w:customStyle="1" w:styleId="31">
    <w:name w:val="WW8Num2z5"/>
    <w:qFormat/>
    <w:uiPriority w:val="0"/>
  </w:style>
  <w:style w:type="character" w:customStyle="1" w:styleId="32">
    <w:name w:val="WW8Num2z6"/>
    <w:qFormat/>
    <w:uiPriority w:val="0"/>
  </w:style>
  <w:style w:type="character" w:customStyle="1" w:styleId="33">
    <w:name w:val="WW8Num2z7"/>
    <w:qFormat/>
    <w:uiPriority w:val="0"/>
  </w:style>
  <w:style w:type="character" w:customStyle="1" w:styleId="34">
    <w:name w:val="WW8Num2z8"/>
    <w:qFormat/>
    <w:uiPriority w:val="0"/>
  </w:style>
  <w:style w:type="character" w:customStyle="1" w:styleId="35">
    <w:name w:val="WW8Num3z0"/>
    <w:qFormat/>
    <w:uiPriority w:val="0"/>
  </w:style>
  <w:style w:type="character" w:customStyle="1" w:styleId="36">
    <w:name w:val="WW8Num3z1"/>
    <w:qFormat/>
    <w:uiPriority w:val="0"/>
  </w:style>
  <w:style w:type="character" w:customStyle="1" w:styleId="37">
    <w:name w:val="WW8Num3z2"/>
    <w:qFormat/>
    <w:uiPriority w:val="0"/>
  </w:style>
  <w:style w:type="character" w:customStyle="1" w:styleId="38">
    <w:name w:val="WW8Num3z3"/>
    <w:qFormat/>
    <w:uiPriority w:val="0"/>
  </w:style>
  <w:style w:type="character" w:customStyle="1" w:styleId="39">
    <w:name w:val="WW8Num3z4"/>
    <w:qFormat/>
    <w:uiPriority w:val="0"/>
  </w:style>
  <w:style w:type="character" w:customStyle="1" w:styleId="40">
    <w:name w:val="WW8Num3z5"/>
    <w:qFormat/>
    <w:uiPriority w:val="0"/>
  </w:style>
  <w:style w:type="character" w:customStyle="1" w:styleId="41">
    <w:name w:val="WW8Num3z6"/>
    <w:qFormat/>
    <w:uiPriority w:val="0"/>
  </w:style>
  <w:style w:type="character" w:customStyle="1" w:styleId="42">
    <w:name w:val="WW8Num3z7"/>
    <w:qFormat/>
    <w:uiPriority w:val="0"/>
  </w:style>
  <w:style w:type="character" w:customStyle="1" w:styleId="43">
    <w:name w:val="WW8Num3z8"/>
    <w:qFormat/>
    <w:uiPriority w:val="0"/>
  </w:style>
  <w:style w:type="character" w:customStyle="1" w:styleId="44">
    <w:name w:val="Heading 2 Char"/>
    <w:qFormat/>
    <w:uiPriority w:val="0"/>
    <w:rPr>
      <w:rFonts w:ascii="Cambria" w:hAnsi="Cambria" w:eastAsia="Times New Roman" w:cs="Cambria"/>
      <w:b/>
      <w:bCs/>
      <w:i/>
      <w:iCs/>
      <w:sz w:val="28"/>
      <w:szCs w:val="28"/>
      <w:lang w:val="id-ID" w:eastAsia="en-US"/>
    </w:rPr>
  </w:style>
  <w:style w:type="character" w:customStyle="1" w:styleId="45">
    <w:name w:val="Heading 3 Char"/>
    <w:qFormat/>
    <w:uiPriority w:val="0"/>
    <w:rPr>
      <w:rFonts w:ascii="Times New Roman" w:hAnsi="Times New Roman" w:eastAsia="Times New Roman" w:cs="Times New Roman"/>
      <w:b/>
      <w:bCs/>
      <w:sz w:val="27"/>
      <w:szCs w:val="27"/>
      <w:lang w:val="id-ID" w:eastAsia="id-ID"/>
    </w:rPr>
  </w:style>
  <w:style w:type="character" w:customStyle="1" w:styleId="46">
    <w:name w:val="Balloon Text Char"/>
    <w:qFormat/>
    <w:uiPriority w:val="0"/>
    <w:rPr>
      <w:rFonts w:ascii="Tahoma" w:hAnsi="Tahoma" w:eastAsia="Times New Roman" w:cs="Tahoma"/>
      <w:sz w:val="16"/>
      <w:szCs w:val="16"/>
    </w:rPr>
  </w:style>
  <w:style w:type="character" w:customStyle="1" w:styleId="47">
    <w:name w:val="Body Text Indent Char"/>
    <w:qFormat/>
    <w:uiPriority w:val="0"/>
    <w:rPr>
      <w:rFonts w:ascii="Times New Roman" w:hAnsi="Times New Roman" w:eastAsia="Times New Roman" w:cs="Times New Roman"/>
      <w:sz w:val="24"/>
      <w:szCs w:val="24"/>
      <w:lang w:val="en-US"/>
    </w:rPr>
  </w:style>
  <w:style w:type="character" w:customStyle="1" w:styleId="48">
    <w:name w:val="Footer Char"/>
    <w:qFormat/>
    <w:uiPriority w:val="0"/>
    <w:rPr>
      <w:sz w:val="22"/>
      <w:szCs w:val="22"/>
      <w:lang w:val="id-ID" w:eastAsia="en-US"/>
    </w:rPr>
  </w:style>
  <w:style w:type="character" w:customStyle="1" w:styleId="49">
    <w:name w:val="Header Char"/>
    <w:qFormat/>
    <w:uiPriority w:val="0"/>
    <w:rPr>
      <w:rFonts w:eastAsia="Times New Roman"/>
      <w:sz w:val="22"/>
      <w:szCs w:val="22"/>
    </w:rPr>
  </w:style>
  <w:style w:type="character" w:customStyle="1" w:styleId="50">
    <w:name w:val="hps"/>
    <w:qFormat/>
    <w:uiPriority w:val="0"/>
  </w:style>
  <w:style w:type="character" w:customStyle="1" w:styleId="51">
    <w:name w:val="apple-converted-space"/>
    <w:qFormat/>
    <w:uiPriority w:val="0"/>
  </w:style>
  <w:style w:type="character" w:styleId="52">
    <w:name w:val="Placeholder Text"/>
    <w:qFormat/>
    <w:uiPriority w:val="0"/>
    <w:rPr>
      <w:color w:val="808080"/>
    </w:rPr>
  </w:style>
  <w:style w:type="paragraph" w:customStyle="1" w:styleId="53">
    <w:name w:val="Heading"/>
    <w:basedOn w:val="1"/>
    <w:next w:val="5"/>
    <w:qFormat/>
    <w:uiPriority w:val="0"/>
    <w:pPr>
      <w:keepNext/>
      <w:spacing w:before="240" w:after="120"/>
    </w:pPr>
    <w:rPr>
      <w:rFonts w:ascii="Liberation Sans" w:hAnsi="Liberation Sans" w:eastAsia="Noto Sans CJK SC" w:cs="Lohit Devanagari"/>
      <w:sz w:val="28"/>
      <w:szCs w:val="28"/>
    </w:rPr>
  </w:style>
  <w:style w:type="paragraph" w:customStyle="1" w:styleId="54">
    <w:name w:val="Index"/>
    <w:basedOn w:val="1"/>
    <w:qFormat/>
    <w:uiPriority w:val="0"/>
    <w:pPr>
      <w:suppressLineNumbers/>
    </w:pPr>
    <w:rPr>
      <w:rFonts w:cs="Lohit Devanagari"/>
    </w:rPr>
  </w:style>
  <w:style w:type="paragraph" w:customStyle="1" w:styleId="55">
    <w:name w:val="Header and Footer"/>
    <w:basedOn w:val="1"/>
    <w:qFormat/>
    <w:uiPriority w:val="0"/>
    <w:pPr>
      <w:suppressLineNumbers/>
      <w:tabs>
        <w:tab w:val="center" w:pos="4986"/>
        <w:tab w:val="right" w:pos="9972"/>
      </w:tabs>
    </w:pPr>
  </w:style>
  <w:style w:type="paragraph" w:customStyle="1" w:styleId="56">
    <w:name w:val="Default"/>
    <w:qFormat/>
    <w:uiPriority w:val="0"/>
    <w:pPr>
      <w:widowControl/>
      <w:suppressAutoHyphens/>
      <w:autoSpaceDE w:val="0"/>
      <w:bidi w:val="0"/>
    </w:pPr>
    <w:rPr>
      <w:rFonts w:ascii="Times New Roman" w:hAnsi="Times New Roman" w:eastAsia="Calibri" w:cs="Times New Roman"/>
      <w:color w:val="000000"/>
      <w:sz w:val="24"/>
      <w:szCs w:val="24"/>
      <w:lang w:val="id-ID" w:eastAsia="en-US" w:bidi="ar-SA"/>
    </w:rPr>
  </w:style>
  <w:style w:type="paragraph" w:styleId="57">
    <w:name w:val="List Paragraph"/>
    <w:basedOn w:val="1"/>
    <w:qFormat/>
    <w:uiPriority w:val="0"/>
    <w:pPr>
      <w:spacing w:before="0" w:after="0" w:line="276" w:lineRule="auto"/>
      <w:ind w:left="720" w:hanging="425"/>
      <w:contextualSpacing/>
    </w:pPr>
    <w:rPr>
      <w:rFonts w:ascii="Calibri" w:hAnsi="Calibri" w:eastAsia="Calibri" w:cs="Calibri"/>
      <w:sz w:val="22"/>
      <w:szCs w:val="22"/>
      <w:lang w:val="id-ID"/>
    </w:rPr>
  </w:style>
  <w:style w:type="paragraph" w:styleId="58">
    <w:name w:val="No Spacing"/>
    <w:qFormat/>
    <w:uiPriority w:val="0"/>
    <w:pPr>
      <w:widowControl/>
      <w:suppressAutoHyphens/>
      <w:bidi w:val="0"/>
    </w:pPr>
    <w:rPr>
      <w:rFonts w:ascii="Calibri" w:hAnsi="Calibri" w:eastAsia="Times New Roman" w:cs="Times New Roman"/>
      <w:color w:val="auto"/>
      <w:sz w:val="22"/>
      <w:szCs w:val="22"/>
      <w:lang w:val="en-US" w:eastAsia="en-GB" w:bidi="ar-SA"/>
    </w:rPr>
  </w:style>
  <w:style w:type="paragraph" w:customStyle="1" w:styleId="59">
    <w:name w:val="Zercom"/>
    <w:basedOn w:val="1"/>
    <w:qFormat/>
    <w:uiPriority w:val="0"/>
    <w:pPr>
      <w:spacing w:line="480" w:lineRule="auto"/>
      <w:ind w:firstLine="720"/>
      <w:jc w:val="both"/>
    </w:pPr>
    <w:rPr>
      <w:lang w:val="en-GB" w:eastAsia="id-ID"/>
    </w:rPr>
  </w:style>
  <w:style w:type="paragraph" w:customStyle="1" w:styleId="60">
    <w:name w:val="Abstract Title"/>
    <w:basedOn w:val="1"/>
    <w:qFormat/>
    <w:uiPriority w:val="0"/>
    <w:pPr>
      <w:ind w:left="567" w:right="567" w:firstLine="0"/>
      <w:jc w:val="center"/>
    </w:pPr>
    <w:rPr>
      <w:b/>
      <w:szCs w:val="20"/>
    </w:rPr>
  </w:style>
  <w:style w:type="paragraph" w:customStyle="1" w:styleId="61">
    <w:name w:val="Frame Contents"/>
    <w:basedOn w:val="1"/>
    <w:qFormat/>
    <w:uiPriority w:val="0"/>
  </w:style>
  <w:style w:type="paragraph" w:customStyle="1" w:styleId="62">
    <w:name w:val="Table Contents"/>
    <w:basedOn w:val="1"/>
    <w:qFormat/>
    <w:uiPriority w:val="0"/>
    <w:pPr>
      <w:widowControl w:val="0"/>
      <w:suppressLineNumbers/>
    </w:pPr>
  </w:style>
  <w:style w:type="paragraph" w:customStyle="1" w:styleId="63">
    <w:name w:val="Table Heading"/>
    <w:basedOn w:val="62"/>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TotalTime>13</TotalTime>
  <ScaleCrop>false</ScaleCrop>
  <LinksUpToDate>false</LinksUpToDate>
  <Application>WPS Office_12.2.0.21546_F1E327BC-269C-435d-A152-05C5408002CA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2024-07-17T05:12:00Z</dcterms:created>
  <dc:creator>ASUS</dc:creator>
  <cp:keywords>, docId:E7B1B0DDDB974235D14660DCA26570D4</cp:keywords>
  <cp:lastModifiedBy>WPS_1682615617</cp:lastModifiedBy>
  <dcterms:modified xsi:type="dcterms:W3CDTF">2025-06-24T07:55:58Z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C0022A684015466A955462AC1155B212_13</vt:lpwstr>
  </property>
  <property fmtid="{D5CDD505-2E9C-101B-9397-08002B2CF9AE}" pid="3" name="KSOProductBuildVer">
    <vt:lpwstr>1033-12.2.0.21546</vt:lpwstr>
  </property>
</Properties>
</file>