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8F6CD" w14:textId="77777777" w:rsidR="00F617E9" w:rsidRDefault="00000000">
      <w:r>
        <w:rPr>
          <w:noProof/>
        </w:rPr>
        <mc:AlternateContent>
          <mc:Choice Requires="wps">
            <w:drawing>
              <wp:anchor distT="0" distB="0" distL="114300" distR="114300" simplePos="0" relativeHeight="251659264" behindDoc="0" locked="0" layoutInCell="1" allowOverlap="1" wp14:anchorId="3000DF2E" wp14:editId="2C7EA5FA">
                <wp:simplePos x="0" y="0"/>
                <wp:positionH relativeFrom="leftMargin">
                  <wp:align>left</wp:align>
                </wp:positionH>
                <wp:positionV relativeFrom="page">
                  <wp:posOffset>0</wp:posOffset>
                </wp:positionV>
                <wp:extent cx="7765415" cy="21971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ln>
                      </wps:spPr>
                      <wps:txbx>
                        <w:txbxContent>
                          <w:p w14:paraId="7FD3A815" w14:textId="77777777" w:rsidR="00F617E9" w:rsidRDefault="00000000">
                            <w:pPr>
                              <w:contextualSpacing/>
                              <w:jc w:val="left"/>
                            </w:pPr>
                            <w:r>
                              <w:rPr>
                                <w:noProof/>
                                <w:position w:val="-6"/>
                              </w:rPr>
                              <w:drawing>
                                <wp:inline distT="0" distB="0" distL="0" distR="0" wp14:anchorId="6064F6E5" wp14:editId="1C60934C">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rPr>
                              <w:t xml:space="preserve"> </w:t>
                            </w:r>
                            <w:hyperlink r:id="rId9" w:tooltip="Doc Translator - www.onlinedoctranslator.com" w:history="1">
                              <w:r>
                                <w:rPr>
                                  <w:rFonts w:ascii="Roboto" w:hAnsi="Roboto"/>
                                  <w:color w:val="0F2B46"/>
                                </w:rPr>
                                <w:t xml:space="preserve">Translated from Indonesian to English - </w:t>
                              </w:r>
                              <w:r>
                                <w:rPr>
                                  <w:rFonts w:ascii="Roboto" w:hAnsi="Roboto"/>
                                  <w:color w:val="0F2B46"/>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page">
                  <wp14:pctHeight>0</wp14:pctHeight>
                </wp14:sizeRelV>
              </wp:anchor>
            </w:drawing>
          </mc:Choice>
          <mc:Fallback xmlns:wpsCustomData="http://www.wps.cn/officeDocument/2013/wpsCustomData">
            <w:pict>
              <v:shape id="ODT_ATTR_LBL_SHAPE" o:spid="_x0000_s1026" o:spt="202" type="#_x0000_t202" style="position:absolute;left:0pt;margin-left:0pt;margin-top:0pt;height:17.3pt;width:611.45pt;mso-position-horizontal-relative:page;mso-position-vertical-relative:page;z-index:251659264;mso-width-relative:page;mso-height-relative:page;mso-width-percent:1000;" fillcolor="#F2F2F2" filled="t" stroked="f" coordsize="21600,21600" o:gfxdata="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etPqn1QAAAAUBAAAPAAAAAAAAAAEAIAAAACIAAABkcnMvZG93bnJldi54&#10;bWxQSwECFAAUAAAACACHTuJAVQ/LPjYCAABZBAAADgAAAAAAAAABACAAAAAkAQAAZHJzL2Uyb0Rv&#10;Yy54bWxQSwUGAAAAAAYABgBZAQAAzAUAAAAA&#10;">
                <v:fill on="t" focussize="0,0"/>
                <v:stroke on="f" miterlimit="8" joinstyle="miter"/>
                <v:imagedata o:title=""/>
                <o:lock v:ext="edit" aspectratio="f"/>
                <v:textbox inset="2.54mm,0mm,2.54mm,0mm">
                  <w:txbxContent>
                    <w:p w14:paraId="240BE0DF">
                      <w:pPr>
                        <w:spacing w:line="240" w:lineRule="auto"/>
                        <w:contextualSpacing/>
                        <w:jc w:val="left"/>
                      </w:pPr>
                      <w:r>
                        <w:rPr>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r>
                        <w:fldChar w:fldCharType="begin"/>
                      </w:r>
                      <w:r>
                        <w:instrText xml:space="preserve"> HYPERLINK "https://www.onlinedoctranslator.com/en/?utm_source=onlinedoctranslator&amp;utm_medium=docx&amp;utm_campaign=attribution" \o "Doc Translator - www.onlinedoctranslator.com" </w:instrText>
                      </w:r>
                      <w:r>
                        <w:fldChar w:fldCharType="separate"/>
                      </w:r>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r>
                        <w:rPr>
                          <w:rFonts w:ascii="Roboto" w:hAnsi="Roboto"/>
                          <w:color w:val="0F2B46"/>
                          <w:sz w:val="18"/>
                          <w:szCs w:val="18"/>
                          <w:u w:val="single"/>
                        </w:rPr>
                        <w:fldChar w:fldCharType="end"/>
                      </w:r>
                    </w:p>
                  </w:txbxContent>
                </v:textbox>
              </v:shape>
            </w:pict>
          </mc:Fallback>
        </mc:AlternateContent>
      </w:r>
    </w:p>
    <w:p w14:paraId="3FF0E286" w14:textId="77777777" w:rsidR="00F617E9" w:rsidRDefault="00000000">
      <w:pPr>
        <w:jc w:val="center"/>
        <w:rPr>
          <w:rFonts w:ascii="Book Antiqua" w:eastAsia="Book Antiqua" w:hAnsi="Book Antiqua"/>
          <w:b/>
          <w:sz w:val="28"/>
          <w:szCs w:val="28"/>
        </w:rPr>
      </w:pPr>
      <w:r>
        <w:rPr>
          <w:rFonts w:ascii="Book Antiqua" w:eastAsia="Book Antiqua" w:hAnsi="Book Antiqua"/>
          <w:b/>
          <w:sz w:val="28"/>
          <w:szCs w:val="28"/>
        </w:rPr>
        <w:t>Analysis of Village Resilience Based on the 2024 Village Development Index in Bunga Raya Subdistrict</w:t>
      </w:r>
    </w:p>
    <w:p w14:paraId="172F1688" w14:textId="77777777" w:rsidR="00F617E9" w:rsidRDefault="00F617E9">
      <w:pPr>
        <w:jc w:val="center"/>
        <w:rPr>
          <w:rFonts w:ascii="Book Antiqua" w:eastAsia="Book Antiqua" w:hAnsi="Book Antiqua" w:cs="Book Antiqua"/>
          <w:b/>
          <w:sz w:val="28"/>
          <w:szCs w:val="28"/>
        </w:rPr>
      </w:pPr>
    </w:p>
    <w:p w14:paraId="04802FCF" w14:textId="77777777" w:rsidR="00F617E9" w:rsidRDefault="00F617E9">
      <w:pPr>
        <w:rPr>
          <w:rFonts w:ascii="Times New Roman" w:eastAsia="Times New Roman" w:hAnsi="Times New Roman" w:cs="Times New Roman"/>
          <w:color w:val="000000"/>
          <w:sz w:val="24"/>
          <w:szCs w:val="24"/>
        </w:rPr>
      </w:pPr>
    </w:p>
    <w:p w14:paraId="44B6C7DB" w14:textId="77777777" w:rsidR="00F617E9" w:rsidRDefault="00000000">
      <w:pPr>
        <w:jc w:val="center"/>
        <w:rPr>
          <w:b/>
          <w:color w:val="000000"/>
          <w:sz w:val="20"/>
          <w:szCs w:val="20"/>
        </w:rPr>
      </w:pPr>
      <w:r>
        <w:rPr>
          <w:rFonts w:ascii="Book Antiqua" w:eastAsia="Book Antiqua" w:hAnsi="Book Antiqua" w:cs="Book Antiqua"/>
          <w:color w:val="000000"/>
          <w:sz w:val="24"/>
          <w:szCs w:val="24"/>
        </w:rPr>
        <w:t xml:space="preserve">Hana Dalila Khonsa, Taryono, Asri Dwi Jovanka, Tasya </w:t>
      </w:r>
      <w:proofErr w:type="spellStart"/>
      <w:r>
        <w:rPr>
          <w:rFonts w:ascii="Book Antiqua" w:eastAsia="Book Antiqua" w:hAnsi="Book Antiqua" w:cs="Book Antiqua"/>
          <w:color w:val="000000"/>
          <w:sz w:val="24"/>
          <w:szCs w:val="24"/>
        </w:rPr>
        <w:t>No</w:t>
      </w:r>
      <w:r>
        <w:rPr>
          <w:rFonts w:ascii="Book Antiqua" w:eastAsia="Book Antiqua" w:hAnsi="Book Antiqua" w:cs="Book Antiqua"/>
          <w:sz w:val="24"/>
          <w:szCs w:val="24"/>
        </w:rPr>
        <w:t>f</w:t>
      </w:r>
      <w:r>
        <w:rPr>
          <w:rFonts w:ascii="Book Antiqua" w:eastAsia="Book Antiqua" w:hAnsi="Book Antiqua" w:cs="Book Antiqua"/>
          <w:color w:val="000000"/>
          <w:sz w:val="24"/>
          <w:szCs w:val="24"/>
        </w:rPr>
        <w:t>a</w:t>
      </w:r>
      <w:proofErr w:type="spellEnd"/>
      <w:r>
        <w:rPr>
          <w:rFonts w:ascii="Book Antiqua" w:eastAsia="Book Antiqua" w:hAnsi="Book Antiqua" w:cs="Book Antiqua"/>
          <w:color w:val="000000"/>
          <w:sz w:val="24"/>
          <w:szCs w:val="24"/>
        </w:rPr>
        <w:t>, Nabila Cantika, Nazwa Azura Yasmin</w:t>
      </w:r>
    </w:p>
    <w:p w14:paraId="331DE41E" w14:textId="77777777" w:rsidR="00F617E9" w:rsidRDefault="00000000">
      <w:pPr>
        <w:jc w:val="center"/>
        <w:rPr>
          <w:i/>
          <w:color w:val="000000"/>
        </w:rPr>
      </w:pPr>
      <w:r>
        <w:rPr>
          <w:i/>
          <w:color w:val="000000"/>
        </w:rPr>
        <w:t>Development Economics, Faculty of Economics and Business, University of Riau</w:t>
      </w:r>
    </w:p>
    <w:p w14:paraId="1CC51849" w14:textId="77777777" w:rsidR="00F617E9" w:rsidRDefault="00000000">
      <w:pPr>
        <w:jc w:val="center"/>
        <w:rPr>
          <w:i/>
          <w:color w:val="000000"/>
        </w:rPr>
      </w:pPr>
      <w:hyperlink r:id="rId11">
        <w:r>
          <w:rPr>
            <w:rFonts w:ascii="Book Antiqua" w:eastAsia="Book Antiqua" w:hAnsi="Book Antiqua" w:cs="Book Antiqua"/>
            <w:i/>
            <w:color w:val="0000FF"/>
            <w:sz w:val="20"/>
            <w:szCs w:val="20"/>
            <w:u w:val="single"/>
          </w:rPr>
          <w:t>hana.dallilah1082@student.unri.ac.id</w:t>
        </w:r>
      </w:hyperlink>
      <w:r>
        <w:rPr>
          <w:rFonts w:ascii="Book Antiqua" w:eastAsia="Book Antiqua" w:hAnsi="Book Antiqua" w:cs="Book Antiqua"/>
          <w:i/>
          <w:color w:val="000000"/>
          <w:sz w:val="20"/>
          <w:szCs w:val="20"/>
        </w:rPr>
        <w:t xml:space="preserve"> </w:t>
      </w:r>
      <w:r>
        <w:rPr>
          <w:rFonts w:ascii="Book Antiqua" w:eastAsia="Book Antiqua" w:hAnsi="Book Antiqua" w:cs="Book Antiqua"/>
          <w:color w:val="000000"/>
          <w:sz w:val="20"/>
          <w:szCs w:val="20"/>
        </w:rPr>
        <w:t>¹,</w:t>
      </w:r>
      <w:hyperlink r:id="rId12" w:history="1">
        <w:r>
          <w:rPr>
            <w:rStyle w:val="Hyperlink"/>
            <w:rFonts w:ascii="Book Antiqua" w:eastAsia="Book Antiqua" w:hAnsi="Book Antiqua" w:cs="Book Antiqua"/>
            <w:sz w:val="20"/>
            <w:szCs w:val="20"/>
          </w:rPr>
          <w:t>taryono@lecture.unri.ac.id</w:t>
        </w:r>
      </w:hyperlink>
      <w:r>
        <w:rPr>
          <w:rFonts w:ascii="Book Antiqua" w:eastAsia="Book Antiqua" w:hAnsi="Book Antiqua" w:cs="Book Antiqua"/>
          <w:color w:val="000000"/>
          <w:sz w:val="20"/>
          <w:szCs w:val="20"/>
        </w:rPr>
        <w:t>,</w:t>
      </w:r>
      <w:hyperlink r:id="rId13">
        <w:r>
          <w:rPr>
            <w:rFonts w:ascii="Book Antiqua" w:eastAsia="Book Antiqua" w:hAnsi="Book Antiqua" w:cs="Book Antiqua"/>
            <w:i/>
            <w:color w:val="0000FF"/>
            <w:sz w:val="20"/>
            <w:szCs w:val="20"/>
            <w:u w:val="single"/>
          </w:rPr>
          <w:t>asri.jovanka1055@student.unri.ac.id</w:t>
        </w:r>
      </w:hyperlink>
      <w:r>
        <w:rPr>
          <w:rFonts w:ascii="Book Antiqua" w:eastAsia="Book Antiqua" w:hAnsi="Book Antiqua" w:cs="Book Antiqua"/>
          <w:i/>
          <w:color w:val="000000"/>
          <w:sz w:val="20"/>
          <w:szCs w:val="20"/>
        </w:rPr>
        <w:t xml:space="preserve"> </w:t>
      </w:r>
      <w:r>
        <w:rPr>
          <w:rFonts w:ascii="Book Antiqua" w:eastAsia="Book Antiqua" w:hAnsi="Book Antiqua" w:cs="Book Antiqua"/>
          <w:color w:val="000000"/>
          <w:sz w:val="20"/>
          <w:szCs w:val="20"/>
        </w:rPr>
        <w:t>,</w:t>
      </w:r>
      <w:hyperlink r:id="rId14">
        <w:r>
          <w:rPr>
            <w:rFonts w:ascii="Book Antiqua" w:eastAsia="Book Antiqua" w:hAnsi="Book Antiqua" w:cs="Book Antiqua"/>
            <w:i/>
            <w:color w:val="0000FF"/>
            <w:sz w:val="20"/>
            <w:szCs w:val="20"/>
            <w:u w:val="single"/>
          </w:rPr>
          <w:t>tasya.nofa6595@student.unri.ac.id</w:t>
        </w:r>
      </w:hyperlink>
      <w:r>
        <w:rPr>
          <w:rFonts w:ascii="Book Antiqua" w:eastAsia="Book Antiqua" w:hAnsi="Book Antiqua" w:cs="Book Antiqua"/>
          <w:i/>
          <w:color w:val="000000"/>
          <w:sz w:val="20"/>
          <w:szCs w:val="20"/>
        </w:rPr>
        <w:t>,</w:t>
      </w:r>
      <w:hyperlink r:id="rId15">
        <w:r>
          <w:rPr>
            <w:rFonts w:ascii="Book Antiqua" w:eastAsia="Book Antiqua" w:hAnsi="Book Antiqua" w:cs="Book Antiqua"/>
            <w:i/>
            <w:color w:val="0000FF"/>
            <w:sz w:val="20"/>
            <w:szCs w:val="20"/>
            <w:u w:val="single"/>
          </w:rPr>
          <w:t>nabila.cantika4966@student.unri.ac.id</w:t>
        </w:r>
      </w:hyperlink>
      <w:r>
        <w:rPr>
          <w:rFonts w:ascii="Book Antiqua" w:eastAsia="Book Antiqua" w:hAnsi="Book Antiqua" w:cs="Book Antiqua"/>
          <w:i/>
          <w:color w:val="000000"/>
          <w:sz w:val="20"/>
          <w:szCs w:val="20"/>
        </w:rPr>
        <w:t>,</w:t>
      </w:r>
      <w:hyperlink r:id="rId16">
        <w:r>
          <w:rPr>
            <w:rFonts w:ascii="Book Antiqua" w:eastAsia="Book Antiqua" w:hAnsi="Book Antiqua" w:cs="Book Antiqua"/>
            <w:i/>
            <w:color w:val="0000FF"/>
            <w:sz w:val="20"/>
            <w:szCs w:val="20"/>
            <w:u w:val="single"/>
          </w:rPr>
          <w:t>nazwa.azura6584@student.unri.ac.id</w:t>
        </w:r>
      </w:hyperlink>
    </w:p>
    <w:p w14:paraId="504163A3" w14:textId="77777777" w:rsidR="00F617E9" w:rsidRDefault="00F617E9">
      <w:pPr>
        <w:ind w:right="567"/>
        <w:rPr>
          <w:rFonts w:ascii="Times New Roman" w:eastAsia="Times New Roman" w:hAnsi="Times New Roman" w:cs="Times New Roman"/>
          <w:color w:val="000000"/>
          <w:sz w:val="24"/>
          <w:szCs w:val="24"/>
        </w:rPr>
      </w:pPr>
    </w:p>
    <w:p w14:paraId="77984A1D" w14:textId="77777777" w:rsidR="00F617E9" w:rsidRDefault="00F617E9">
      <w:pPr>
        <w:ind w:right="567"/>
        <w:rPr>
          <w:rFonts w:ascii="Times New Roman" w:eastAsia="Times New Roman" w:hAnsi="Times New Roman" w:cs="Times New Roman"/>
          <w:color w:val="000000"/>
          <w:sz w:val="8"/>
          <w:szCs w:val="8"/>
        </w:rPr>
      </w:pPr>
    </w:p>
    <w:p w14:paraId="28603BF0" w14:textId="77777777" w:rsidR="00F617E9" w:rsidRDefault="00000000">
      <w:pPr>
        <w:ind w:right="567"/>
        <w:jc w:val="center"/>
        <w:rPr>
          <w:b/>
          <w:color w:val="000000"/>
        </w:rPr>
      </w:pPr>
      <w:r>
        <w:rPr>
          <w:rFonts w:ascii="Times New Roman" w:eastAsia="Times New Roman" w:hAnsi="Times New Roman" w:cs="Times New Roman"/>
          <w:b/>
          <w:i/>
          <w:color w:val="000000"/>
          <w:sz w:val="20"/>
          <w:szCs w:val="20"/>
        </w:rPr>
        <w:t>ABSTRACT</w:t>
      </w:r>
    </w:p>
    <w:p w14:paraId="0EE83457" w14:textId="77777777" w:rsidR="00F617E9" w:rsidRDefault="00000000">
      <w:pPr>
        <w:ind w:left="567" w:right="567"/>
        <w:rPr>
          <w:rFonts w:ascii="Book Antiqua" w:eastAsia="Book Antiqua" w:hAnsi="Book Antiqua"/>
          <w:b/>
          <w:i/>
          <w:sz w:val="20"/>
          <w:szCs w:val="20"/>
        </w:rPr>
      </w:pPr>
      <w:r>
        <w:rPr>
          <w:rFonts w:ascii="Book Antiqua" w:eastAsia="Book Antiqua" w:hAnsi="Book Antiqua"/>
          <w:b/>
          <w:i/>
          <w:sz w:val="20"/>
          <w:szCs w:val="20"/>
        </w:rPr>
        <w:t xml:space="preserve">This </w:t>
      </w:r>
      <w:r>
        <w:rPr>
          <w:rFonts w:ascii="Book Antiqua" w:eastAsia="Book Antiqua" w:hAnsi="Book Antiqua"/>
          <w:b/>
          <w:i/>
          <w:sz w:val="20"/>
          <w:szCs w:val="20"/>
          <w:lang w:val="en-US"/>
        </w:rPr>
        <w:t>research</w:t>
      </w:r>
      <w:r>
        <w:rPr>
          <w:rFonts w:ascii="Book Antiqua" w:eastAsia="Book Antiqua" w:hAnsi="Book Antiqua"/>
          <w:b/>
          <w:i/>
          <w:sz w:val="20"/>
          <w:szCs w:val="20"/>
        </w:rPr>
        <w:t xml:space="preserve"> aims to analyse the level of village resilience based on the 2024 Village Development Index (IDM) in Bunga Raya Subdistrict, Siak Regency, Riau Province. The three main dimensions examined include the Social Resilience Index (IKS), Economic Resilience Index (IKE), and Environmental Resilience Index (IKL), which reflect the ability of villages to provide basic services, strengthen economic independence, and maintain environmental sustainability. This study presents the latest empirical analysis using 2024 IDM data to assess multidimensional village resilience at the subdistrict level, which has rarely been done before. The results of this study enrich the study of rural development by identifying the balance between social, economic, and environmental dimensions in achieving the status of an Independent Village. This study uses a descriptive quantitative approach with secondary data from the 2024 IDM published by the Ministry of Villages, Disadvantaged Regions, and Transmigration of the Republic of Indonesia. All villages in Bunga Raya Sub-district have achieved ‘Independent Village’ status with an IDM value above 0.8; the highest being Bunga Raya Village (0.9167). Village development in Bunga Raya Subdistrict shows good multidimensional balance, but continuous efforts are still needed to strengthen local economic institutions, improve social capacity, and preserve the environment.</w:t>
      </w:r>
    </w:p>
    <w:p w14:paraId="7D2CB263" w14:textId="77777777" w:rsidR="00F617E9" w:rsidRDefault="00F617E9">
      <w:pPr>
        <w:ind w:left="567" w:right="567"/>
        <w:rPr>
          <w:rFonts w:ascii="Book Antiqua" w:eastAsia="Book Antiqua" w:hAnsi="Book Antiqua"/>
          <w:b/>
          <w:i/>
          <w:sz w:val="20"/>
          <w:szCs w:val="20"/>
        </w:rPr>
      </w:pPr>
    </w:p>
    <w:p w14:paraId="36C4766D" w14:textId="77777777" w:rsidR="00F617E9" w:rsidRDefault="00000000">
      <w:pPr>
        <w:ind w:left="567" w:right="567"/>
        <w:rPr>
          <w:b/>
          <w:color w:val="000000"/>
          <w:sz w:val="24"/>
          <w:szCs w:val="24"/>
        </w:rPr>
      </w:pPr>
      <w:r>
        <w:rPr>
          <w:rFonts w:ascii="Book Antiqua" w:eastAsia="Book Antiqua" w:hAnsi="Book Antiqua"/>
          <w:b/>
          <w:i/>
          <w:sz w:val="20"/>
          <w:szCs w:val="20"/>
        </w:rPr>
        <w:t>Keywords: Village Resilience, Village Development Index, IKS, IKE, IKL</w:t>
      </w:r>
    </w:p>
    <w:p w14:paraId="2A00142F" w14:textId="77777777" w:rsidR="00F617E9" w:rsidRDefault="00F617E9">
      <w:pPr>
        <w:ind w:right="567"/>
        <w:rPr>
          <w:rFonts w:ascii="Times New Roman" w:eastAsia="Times New Roman" w:hAnsi="Times New Roman" w:cs="Times New Roman"/>
          <w:color w:val="0000FF"/>
          <w:sz w:val="24"/>
          <w:szCs w:val="24"/>
        </w:rPr>
      </w:pPr>
    </w:p>
    <w:p w14:paraId="601307B8" w14:textId="77777777" w:rsidR="00F617E9" w:rsidRDefault="00F617E9">
      <w:pPr>
        <w:ind w:right="567"/>
        <w:rPr>
          <w:rFonts w:ascii="Times New Roman" w:eastAsia="Times New Roman" w:hAnsi="Times New Roman" w:cs="Times New Roman"/>
          <w:color w:val="0000FF"/>
          <w:sz w:val="24"/>
          <w:szCs w:val="24"/>
        </w:rPr>
        <w:sectPr w:rsidR="00F617E9">
          <w:headerReference w:type="default" r:id="rId17"/>
          <w:pgSz w:w="11906" w:h="16838"/>
          <w:pgMar w:top="1418" w:right="1134" w:bottom="1134" w:left="1418" w:header="720" w:footer="0" w:gutter="0"/>
          <w:pgNumType w:start="1"/>
          <w:cols w:space="720"/>
        </w:sectPr>
      </w:pPr>
    </w:p>
    <w:p w14:paraId="551C03F8" w14:textId="77777777" w:rsidR="00F617E9" w:rsidRDefault="00000000">
      <w:pPr>
        <w:pStyle w:val="Heading1"/>
        <w:numPr>
          <w:ilvl w:val="0"/>
          <w:numId w:val="1"/>
        </w:numPr>
        <w:ind w:left="426" w:hanging="426"/>
      </w:pPr>
      <w:r>
        <w:rPr>
          <w:rFonts w:ascii="Book Antiqua" w:eastAsia="Book Antiqua" w:hAnsi="Book Antiqua" w:cs="Book Antiqua"/>
          <w:sz w:val="24"/>
          <w:szCs w:val="24"/>
        </w:rPr>
        <w:t>INTRODUCTION</w:t>
      </w:r>
    </w:p>
    <w:p w14:paraId="2ED1310A" w14:textId="77777777" w:rsidR="00F617E9" w:rsidRDefault="00F617E9">
      <w:pPr>
        <w:pStyle w:val="Heading1"/>
        <w:rPr>
          <w:rFonts w:ascii="Book Antiqua" w:eastAsia="Book Antiqua" w:hAnsi="Book Antiqua" w:cs="Book Antiqua"/>
          <w:sz w:val="24"/>
          <w:szCs w:val="24"/>
        </w:rPr>
      </w:pPr>
    </w:p>
    <w:p w14:paraId="2A530E59" w14:textId="77777777" w:rsidR="00F617E9" w:rsidRDefault="00000000">
      <w:pPr>
        <w:pStyle w:val="Heading1"/>
        <w:ind w:firstLine="720"/>
        <w:rPr>
          <w:rFonts w:ascii="Times New Roman" w:hAnsi="Times New Roman" w:cs="Times New Roman"/>
          <w:b w:val="0"/>
          <w:bCs/>
          <w:sz w:val="24"/>
          <w:szCs w:val="24"/>
        </w:rPr>
      </w:pPr>
      <w:r>
        <w:rPr>
          <w:rFonts w:ascii="Times New Roman" w:hAnsi="Times New Roman" w:cs="Times New Roman"/>
          <w:b w:val="0"/>
          <w:bCs/>
          <w:sz w:val="24"/>
          <w:szCs w:val="24"/>
        </w:rPr>
        <w:t>Village development is an important part of national development that aims to achieve equitable community welfare (</w:t>
      </w:r>
      <w:proofErr w:type="spellStart"/>
      <w:r>
        <w:rPr>
          <w:rFonts w:ascii="Times New Roman" w:hAnsi="Times New Roman" w:cs="Times New Roman"/>
          <w:b w:val="0"/>
          <w:bCs/>
          <w:sz w:val="24"/>
          <w:szCs w:val="24"/>
        </w:rPr>
        <w:t>Kayupa</w:t>
      </w:r>
      <w:proofErr w:type="spellEnd"/>
      <w:r>
        <w:rPr>
          <w:rFonts w:ascii="Times New Roman" w:hAnsi="Times New Roman" w:cs="Times New Roman"/>
          <w:b w:val="0"/>
          <w:bCs/>
          <w:sz w:val="24"/>
          <w:szCs w:val="24"/>
        </w:rPr>
        <w:t xml:space="preserve"> et al., 2025). Villages play a role as social, economic, and ecological entities that form the foundation of regional resilience. In the context of sustainable development, strengthening village capacity cannot be measured solely in economic terms, but must include integrated social and environmental resilience (Sutopo, 2024). Therefore, measuring village progress requires instruments that can describe multidimensional conditions, one of which is through the Village Development Index (IDM) developed by the Ministry of Villages, Disadvantaged Regions and Transmigration (</w:t>
      </w:r>
      <w:proofErr w:type="spellStart"/>
      <w:r>
        <w:rPr>
          <w:rFonts w:ascii="Times New Roman" w:hAnsi="Times New Roman" w:cs="Times New Roman"/>
          <w:b w:val="0"/>
          <w:bCs/>
          <w:sz w:val="24"/>
          <w:szCs w:val="24"/>
        </w:rPr>
        <w:t>Kemendes</w:t>
      </w:r>
      <w:proofErr w:type="spellEnd"/>
      <w:r>
        <w:rPr>
          <w:rFonts w:ascii="Times New Roman" w:hAnsi="Times New Roman" w:cs="Times New Roman"/>
          <w:b w:val="0"/>
          <w:bCs/>
          <w:sz w:val="24"/>
          <w:szCs w:val="24"/>
        </w:rPr>
        <w:t xml:space="preserve"> PDTT).</w:t>
      </w:r>
    </w:p>
    <w:p w14:paraId="4F5A2B45" w14:textId="77777777" w:rsidR="00F617E9" w:rsidRDefault="00000000">
      <w:pPr>
        <w:pStyle w:val="NormalWeb"/>
        <w:ind w:firstLine="720"/>
        <w:jc w:val="both"/>
      </w:pPr>
      <w:r>
        <w:t>The IDM assesses the level of village progress through three main dimensions, namely the Social Resilience Index (IKS), the Economic Resilience Index (IKE), and the Environmental Resilience Index (IKL) (</w:t>
      </w:r>
      <w:proofErr w:type="spellStart"/>
      <w:r>
        <w:t>Kurniawati</w:t>
      </w:r>
      <w:proofErr w:type="spellEnd"/>
      <w:r>
        <w:t xml:space="preserve"> et al., 2025). These three dimensions reflect the ability of villages to meet the basic needs of the community, create economic independence, and maintain environmental sustainability. Thus, strengthening these three aspects is an important benchmark in </w:t>
      </w:r>
      <w:proofErr w:type="spellStart"/>
      <w:r>
        <w:t>realising</w:t>
      </w:r>
      <w:proofErr w:type="spellEnd"/>
      <w:r>
        <w:t xml:space="preserve"> independent and competitive villages (</w:t>
      </w:r>
      <w:proofErr w:type="spellStart"/>
      <w:r>
        <w:t>Hildayanti</w:t>
      </w:r>
      <w:proofErr w:type="spellEnd"/>
      <w:r>
        <w:t xml:space="preserve"> and </w:t>
      </w:r>
      <w:proofErr w:type="spellStart"/>
      <w:r>
        <w:t>Machrizzandi</w:t>
      </w:r>
      <w:proofErr w:type="spellEnd"/>
      <w:r>
        <w:t>, 2022).</w:t>
      </w:r>
    </w:p>
    <w:p w14:paraId="513AE615" w14:textId="77777777" w:rsidR="00F617E9" w:rsidRDefault="00000000">
      <w:pPr>
        <w:pStyle w:val="NormalWeb"/>
        <w:ind w:firstLine="720"/>
        <w:jc w:val="both"/>
      </w:pPr>
      <w:r>
        <w:t xml:space="preserve">The Bunga Raya sub-district in Siak Regency is one of the areas with fairly rapid development dynamics. This area has diverse social and economic characteristics and natural resource potential that supports community economic activities. Since the implementation of the </w:t>
      </w:r>
      <w:r>
        <w:lastRenderedPageBreak/>
        <w:t xml:space="preserve">village-based development </w:t>
      </w:r>
      <w:proofErr w:type="spellStart"/>
      <w:r>
        <w:t>programme</w:t>
      </w:r>
      <w:proofErr w:type="spellEnd"/>
      <w:r>
        <w:t>, most villages in Bunga Raya Subdistrict have shown significant improvements in various sectors. However, there are differences in achievements between villages, both in terms of social, economic, and environmental aspects, which can affect the level of independence and resilience of each village.</w:t>
      </w:r>
    </w:p>
    <w:p w14:paraId="5B99A2AC" w14:textId="77777777" w:rsidR="00F617E9" w:rsidRDefault="00000000">
      <w:pPr>
        <w:tabs>
          <w:tab w:val="left" w:pos="284"/>
        </w:tabs>
        <w:spacing w:before="240" w:after="240"/>
        <w:ind w:firstLine="454"/>
        <w:rPr>
          <w:rFonts w:ascii="Times New Roman" w:eastAsia="Times New Roman" w:hAnsi="Times New Roman" w:cs="Times New Roman"/>
          <w:sz w:val="24"/>
          <w:szCs w:val="24"/>
        </w:rPr>
      </w:pPr>
      <w:r>
        <w:rPr>
          <w:rFonts w:ascii="Times New Roman" w:eastAsia="Times New Roman" w:hAnsi="Times New Roman" w:cs="Times New Roman"/>
          <w:sz w:val="24"/>
          <w:szCs w:val="24"/>
        </w:rPr>
        <w:t>To understand these conditions, a comprehensive study based on the latest, objective data is required. Therefore, this study uses the 2024 Village Development Index (IDM) as the basis for analysis to describe the actual condition of village resilience. The IDM is used as a reference for affirmation, integration, and development synergy (</w:t>
      </w:r>
      <w:proofErr w:type="spellStart"/>
      <w:r>
        <w:rPr>
          <w:rFonts w:ascii="Times New Roman" w:eastAsia="Times New Roman" w:hAnsi="Times New Roman" w:cs="Times New Roman"/>
          <w:sz w:val="24"/>
          <w:szCs w:val="24"/>
        </w:rPr>
        <w:t>Ristanto</w:t>
      </w:r>
      <w:proofErr w:type="spellEnd"/>
      <w:r>
        <w:rPr>
          <w:rFonts w:ascii="Times New Roman" w:eastAsia="Times New Roman" w:hAnsi="Times New Roman" w:cs="Times New Roman"/>
          <w:sz w:val="24"/>
          <w:szCs w:val="24"/>
        </w:rPr>
        <w:t xml:space="preserve"> et al., 2024). Using a descriptive quantitative approach, this study aims to examine how the three dimensions of social, economic, and environmental resilience interact and contribute to improving the status of village independence in Bunga Raya District. The results of this study are expected to provide a comprehensive overview of the level of village development and serve as a basis for formulating sustainable development strategies at the local level.</w:t>
      </w:r>
    </w:p>
    <w:p w14:paraId="300281AB" w14:textId="77777777" w:rsidR="00F617E9" w:rsidRDefault="00000000">
      <w:pPr>
        <w:tabs>
          <w:tab w:val="left" w:pos="284"/>
        </w:tabs>
        <w:spacing w:before="240" w:after="240"/>
        <w:ind w:firstLine="454"/>
        <w:rPr>
          <w:rFonts w:ascii="Times New Roman" w:eastAsia="Times New Roman" w:hAnsi="Times New Roman" w:cs="Times New Roman"/>
          <w:sz w:val="24"/>
          <w:szCs w:val="24"/>
        </w:rPr>
      </w:pPr>
      <w:r>
        <w:rPr>
          <w:rFonts w:ascii="Times New Roman" w:eastAsia="Times New Roman" w:hAnsi="Times New Roman" w:cs="Times New Roman"/>
          <w:sz w:val="24"/>
          <w:szCs w:val="24"/>
        </w:rPr>
        <w:t>Several previous studies have suggested that development focused solely on economic growth will be insufficient if it fails to address social and environmental aspects (Depari, 2024) and (Akbar et al., 2023). According to (</w:t>
      </w:r>
      <w:proofErr w:type="spellStart"/>
      <w:r>
        <w:rPr>
          <w:rFonts w:ascii="Times New Roman" w:eastAsia="Times New Roman" w:hAnsi="Times New Roman" w:cs="Times New Roman"/>
          <w:sz w:val="24"/>
          <w:szCs w:val="24"/>
        </w:rPr>
        <w:t>Sibuea</w:t>
      </w:r>
      <w:proofErr w:type="spellEnd"/>
      <w:r>
        <w:rPr>
          <w:rFonts w:ascii="Times New Roman" w:eastAsia="Times New Roman" w:hAnsi="Times New Roman" w:cs="Times New Roman"/>
          <w:sz w:val="24"/>
          <w:szCs w:val="24"/>
        </w:rPr>
        <w:t xml:space="preserve"> et al., 2024), village economic resilience significantly impacts increased independence. (Nabilla et al., 2022) also demonstrate that a balance between social, economic, and environmental dimensions is a determining factor in the success of sustainable development in Riau Province. (Tajuddin et al., 2025) state that collaboration between communities and village governments can accelerate improvements in the Human Development Index (HDI).</w:t>
      </w:r>
    </w:p>
    <w:p w14:paraId="6B354726" w14:textId="77777777" w:rsidR="00F617E9" w:rsidRDefault="00000000">
      <w:pPr>
        <w:tabs>
          <w:tab w:val="left" w:pos="284"/>
        </w:tabs>
        <w:spacing w:before="240" w:after="240"/>
        <w:ind w:firstLine="454"/>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(Nusantara et al., 2024) stated that environmental awareness and the presence of active Village-Owned Enterprises (</w:t>
      </w:r>
      <w:proofErr w:type="spellStart"/>
      <w:r>
        <w:rPr>
          <w:rFonts w:ascii="Times New Roman" w:eastAsia="Times New Roman" w:hAnsi="Times New Roman" w:cs="Times New Roman"/>
          <w:sz w:val="24"/>
          <w:szCs w:val="24"/>
        </w:rPr>
        <w:t>BUMDes</w:t>
      </w:r>
      <w:proofErr w:type="spellEnd"/>
      <w:r>
        <w:rPr>
          <w:rFonts w:ascii="Times New Roman" w:eastAsia="Times New Roman" w:hAnsi="Times New Roman" w:cs="Times New Roman"/>
          <w:sz w:val="24"/>
          <w:szCs w:val="24"/>
        </w:rPr>
        <w:t>) can improve village economic and ecological resilience. Research conducted by (</w:t>
      </w:r>
      <w:proofErr w:type="spellStart"/>
      <w:r>
        <w:rPr>
          <w:rFonts w:ascii="Times New Roman" w:eastAsia="Times New Roman" w:hAnsi="Times New Roman" w:cs="Times New Roman"/>
          <w:sz w:val="24"/>
          <w:szCs w:val="24"/>
        </w:rPr>
        <w:t>Christianingrum</w:t>
      </w:r>
      <w:proofErr w:type="spellEnd"/>
      <w:r>
        <w:rPr>
          <w:rFonts w:ascii="Times New Roman" w:eastAsia="Times New Roman" w:hAnsi="Times New Roman" w:cs="Times New Roman"/>
          <w:sz w:val="24"/>
          <w:szCs w:val="24"/>
        </w:rPr>
        <w:t>, 2022) stated that there is a positive relationship between the allocation of Village Fund budget and the IDM value of each village. This is in line with the expectations stated in the study (</w:t>
      </w:r>
      <w:proofErr w:type="spellStart"/>
      <w:r>
        <w:rPr>
          <w:rFonts w:ascii="Times New Roman" w:eastAsia="Times New Roman" w:hAnsi="Times New Roman" w:cs="Times New Roman"/>
          <w:sz w:val="24"/>
          <w:szCs w:val="24"/>
        </w:rPr>
        <w:t>Sihombing</w:t>
      </w:r>
      <w:proofErr w:type="spellEnd"/>
      <w:r>
        <w:rPr>
          <w:rFonts w:ascii="Times New Roman" w:eastAsia="Times New Roman" w:hAnsi="Times New Roman" w:cs="Times New Roman"/>
          <w:sz w:val="24"/>
          <w:szCs w:val="24"/>
        </w:rPr>
        <w:t xml:space="preserve"> et al., 2022) which states that with the existence of village funds, it is hoped that village governments can utilize them to improve the economy of village communities. In Law No. 6 of 2014 concerning Villages, from 2015, Indonesia sent Village Funds for the first time.</w:t>
      </w:r>
    </w:p>
    <w:p w14:paraId="75F76853" w14:textId="77777777" w:rsidR="00F617E9" w:rsidRDefault="00000000">
      <w:pPr>
        <w:tabs>
          <w:tab w:val="left" w:pos="284"/>
        </w:tabs>
        <w:spacing w:before="240" w:after="240"/>
        <w:ind w:firstLine="454"/>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Marwan Jafar in (</w:t>
      </w:r>
      <w:proofErr w:type="spellStart"/>
      <w:r>
        <w:rPr>
          <w:rFonts w:ascii="Times New Roman" w:eastAsia="Times New Roman" w:hAnsi="Times New Roman" w:cs="Times New Roman"/>
          <w:sz w:val="24"/>
          <w:szCs w:val="24"/>
        </w:rPr>
        <w:t>Muhtarom</w:t>
      </w:r>
      <w:proofErr w:type="spellEnd"/>
      <w:r>
        <w:rPr>
          <w:rFonts w:ascii="Times New Roman" w:eastAsia="Times New Roman" w:hAnsi="Times New Roman" w:cs="Times New Roman"/>
          <w:sz w:val="24"/>
          <w:szCs w:val="24"/>
        </w:rPr>
        <w:t xml:space="preserve"> et al., 2018), the IDM can be used as a reference for solving the number of underdeveloped villages and increasing the number of independent villages in Indonesia. In line with (Arina et al., 2021), who stated that the development of the Village Development Index (IDM) is aimed at strengthening the achievement of priority development targets as stated in the 2015-2019 National Medium-Term Development Plan (RPJMN), which contains the goal of reducing the total number of underdeveloped villages to 5,000 and increasing the number of independent villages to at least 2,000 by 2019.</w:t>
      </w:r>
    </w:p>
    <w:p w14:paraId="2F6A2B2B" w14:textId="77777777" w:rsidR="00F617E9" w:rsidRDefault="00000000">
      <w:pPr>
        <w:tabs>
          <w:tab w:val="left" w:pos="284"/>
        </w:tabs>
        <w:spacing w:before="240" w:after="240"/>
        <w:ind w:firstLine="454"/>
        <w:rPr>
          <w:rFonts w:ascii="Times New Roman" w:eastAsia="Times New Roman" w:hAnsi="Times New Roman" w:cs="Times New Roman"/>
          <w:sz w:val="24"/>
          <w:szCs w:val="24"/>
        </w:rPr>
      </w:pPr>
      <w:r>
        <w:rPr>
          <w:rFonts w:ascii="Times New Roman" w:eastAsia="Times New Roman" w:hAnsi="Times New Roman" w:cs="Times New Roman"/>
          <w:sz w:val="24"/>
          <w:szCs w:val="24"/>
        </w:rPr>
        <w:t>The problem formulation raised in this study includes several important things: (1) how is the level of village resilience in Bunga Raya District when viewed from social, economic, and environmental dimensions; (2) to what extent is there variation between villages in achieving IKS, IKE, and IKL values; and (3) which resilience dimension is most dominant in determining the status of village independence. Thus, the main focus of this study lies not only in comparing achievements between villages, but also in understanding the balance of social, economic, and environmental development as a unified system that supports regional resilience. With an analysis scope that includes eight villages in the region, this study is expected to be able to answer the complexity of village development from various dimensions in an integrative manner.</w:t>
      </w:r>
    </w:p>
    <w:p w14:paraId="1706E392" w14:textId="77777777" w:rsidR="00F617E9" w:rsidRDefault="00000000">
      <w:pPr>
        <w:tabs>
          <w:tab w:val="left" w:pos="284"/>
        </w:tabs>
        <w:spacing w:before="240" w:after="240"/>
        <w:ind w:firstLine="45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research gap addressed is the lack of recent empirical studies in Riau, particularly in Siak Regency, that use 2024 HDI data as the basis for village resilience analysis. Most previous studies still use 2022-2023 data, thus not reflecting the current situation following the national increase in the HDI indicator (Ministry of Villages, Disadvantaged Regions, and Transmigration, 2024). Therefore, this study seeks to provide a new empirical contribution to understanding the multidimensional balance of village development at the local level, which is expected to serve as a policy reference in regional development planning.</w:t>
      </w:r>
    </w:p>
    <w:p w14:paraId="7E550E6F" w14:textId="77777777" w:rsidR="00F617E9" w:rsidRDefault="00000000">
      <w:pPr>
        <w:tabs>
          <w:tab w:val="left" w:pos="284"/>
        </w:tabs>
        <w:spacing w:before="240" w:after="240"/>
        <w:ind w:firstLine="454"/>
        <w:rPr>
          <w:rFonts w:ascii="Times New Roman" w:eastAsia="Times New Roman" w:hAnsi="Times New Roman" w:cs="Times New Roman"/>
          <w:sz w:val="24"/>
          <w:szCs w:val="24"/>
        </w:rPr>
      </w:pPr>
      <w:r>
        <w:rPr>
          <w:rFonts w:ascii="Times New Roman" w:eastAsia="Times New Roman" w:hAnsi="Times New Roman" w:cs="Times New Roman"/>
          <w:sz w:val="24"/>
          <w:szCs w:val="24"/>
        </w:rPr>
        <w:t>Overall, this research contributes to the growing literature on development economics, village resilience, and the implementation of the Village SDGs. By combining empirical approaches and conceptual analysis, the results are expected to not only provide a snapshot of the current state of village resilience in Bunga Raya District but also offer a relevant policy basis for strengthening the sustainability of rural development in Indonesia.</w:t>
      </w:r>
      <w:bookmarkStart w:id="0" w:name="_ra4wxqtqbwsn" w:colFirst="0" w:colLast="0"/>
      <w:bookmarkEnd w:id="0"/>
    </w:p>
    <w:p w14:paraId="2017B395" w14:textId="77777777" w:rsidR="00F617E9" w:rsidRDefault="00000000">
      <w:pPr>
        <w:pStyle w:val="Heading1"/>
        <w:numPr>
          <w:ilvl w:val="0"/>
          <w:numId w:val="1"/>
        </w:numPr>
        <w:ind w:left="426" w:hanging="426"/>
      </w:pPr>
      <w:r>
        <w:rPr>
          <w:rFonts w:ascii="Book Antiqua" w:eastAsia="Book Antiqua" w:hAnsi="Book Antiqua" w:cs="Book Antiqua"/>
          <w:sz w:val="24"/>
          <w:szCs w:val="24"/>
        </w:rPr>
        <w:t>RESEARCH METHODOLOGY</w:t>
      </w:r>
      <w:r>
        <w:rPr>
          <w:rFonts w:ascii="Times New Roman" w:eastAsia="Times New Roman" w:hAnsi="Times New Roman" w:cs="Times New Roman"/>
          <w:b w:val="0"/>
          <w:sz w:val="24"/>
          <w:szCs w:val="24"/>
        </w:rPr>
        <w:t xml:space="preserve"> </w:t>
      </w:r>
    </w:p>
    <w:p w14:paraId="48512D53" w14:textId="77777777" w:rsidR="00F617E9" w:rsidRDefault="00000000">
      <w:pPr>
        <w:numPr>
          <w:ilvl w:val="0"/>
          <w:numId w:val="2"/>
        </w:numPr>
        <w:spacing w:after="120"/>
        <w:rPr>
          <w:rFonts w:ascii="Book Antiqua" w:eastAsia="Book Antiqua" w:hAnsi="Book Antiqua" w:cs="Book Antiqua"/>
          <w:i/>
          <w:sz w:val="24"/>
          <w:szCs w:val="24"/>
        </w:rPr>
      </w:pPr>
      <w:r>
        <w:rPr>
          <w:rFonts w:ascii="Book Antiqua" w:eastAsia="Book Antiqua" w:hAnsi="Book Antiqua" w:cs="Book Antiqua"/>
          <w:i/>
          <w:sz w:val="24"/>
          <w:szCs w:val="24"/>
        </w:rPr>
        <w:t>Types and Approaches of Research</w:t>
      </w:r>
    </w:p>
    <w:p w14:paraId="6D44ACF4" w14:textId="77777777" w:rsidR="00F617E9" w:rsidRDefault="00000000">
      <w:pPr>
        <w:spacing w:after="120"/>
        <w:ind w:firstLine="454"/>
      </w:pPr>
      <w:r>
        <w:rPr>
          <w:rFonts w:ascii="Times New Roman" w:eastAsia="Times New Roman" w:hAnsi="Times New Roman" w:cs="Times New Roman"/>
          <w:sz w:val="24"/>
          <w:szCs w:val="24"/>
        </w:rPr>
        <w:t xml:space="preserve">This research uses a quantitative approach with descriptive methods, aiming to describe and </w:t>
      </w:r>
      <w:proofErr w:type="spellStart"/>
      <w:r>
        <w:rPr>
          <w:rFonts w:ascii="Times New Roman" w:eastAsia="Times New Roman" w:hAnsi="Times New Roman" w:cs="Times New Roman"/>
          <w:sz w:val="24"/>
          <w:szCs w:val="24"/>
        </w:rPr>
        <w:t>analyze</w:t>
      </w:r>
      <w:proofErr w:type="spellEnd"/>
      <w:r>
        <w:rPr>
          <w:rFonts w:ascii="Times New Roman" w:eastAsia="Times New Roman" w:hAnsi="Times New Roman" w:cs="Times New Roman"/>
          <w:sz w:val="24"/>
          <w:szCs w:val="24"/>
        </w:rPr>
        <w:t xml:space="preserve"> village resilience based on empirical data. This approach allows researchers to objectively interpret differences in resilience levels between villages using numerical data from the 2024 Village Development Index (IDM).</w:t>
      </w:r>
    </w:p>
    <w:p w14:paraId="7EAC0ABE" w14:textId="77777777" w:rsidR="00F617E9" w:rsidRDefault="00000000">
      <w:pPr>
        <w:numPr>
          <w:ilvl w:val="0"/>
          <w:numId w:val="2"/>
        </w:numPr>
        <w:spacing w:after="120"/>
      </w:pPr>
      <w:r>
        <w:rPr>
          <w:rFonts w:ascii="Book Antiqua" w:eastAsia="Book Antiqua" w:hAnsi="Book Antiqua" w:cs="Book Antiqua"/>
          <w:i/>
          <w:sz w:val="24"/>
          <w:szCs w:val="24"/>
        </w:rPr>
        <w:t>Location and Time of Research</w:t>
      </w:r>
    </w:p>
    <w:p w14:paraId="29250FD7" w14:textId="77777777" w:rsidR="00F617E9" w:rsidRDefault="00000000">
      <w:pPr>
        <w:widowControl w:val="0"/>
        <w:spacing w:line="252" w:lineRule="auto"/>
        <w:ind w:firstLine="4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research was conducted in Bunga Raya District, Siak Regency, Riau Province, which consists of eight villages: Bunga Raya, Dayang Suri, Jati Baru, Kemuning Muda, Langsat </w:t>
      </w:r>
      <w:proofErr w:type="spellStart"/>
      <w:r>
        <w:rPr>
          <w:rFonts w:ascii="Times New Roman" w:eastAsia="Times New Roman" w:hAnsi="Times New Roman" w:cs="Times New Roman"/>
          <w:sz w:val="24"/>
          <w:szCs w:val="24"/>
        </w:rPr>
        <w:t>Permai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Temusai</w:t>
      </w:r>
      <w:proofErr w:type="spellEnd"/>
      <w:r>
        <w:rPr>
          <w:rFonts w:ascii="Times New Roman" w:eastAsia="Times New Roman" w:hAnsi="Times New Roman" w:cs="Times New Roman"/>
          <w:sz w:val="24"/>
          <w:szCs w:val="24"/>
        </w:rPr>
        <w:t xml:space="preserve">, Tuah </w:t>
      </w:r>
      <w:proofErr w:type="spellStart"/>
      <w:r>
        <w:rPr>
          <w:rFonts w:ascii="Times New Roman" w:eastAsia="Times New Roman" w:hAnsi="Times New Roman" w:cs="Times New Roman"/>
          <w:sz w:val="24"/>
          <w:szCs w:val="24"/>
        </w:rPr>
        <w:t>Indrapura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Suak</w:t>
      </w:r>
      <w:proofErr w:type="spellEnd"/>
      <w:r>
        <w:rPr>
          <w:rFonts w:ascii="Times New Roman" w:eastAsia="Times New Roman" w:hAnsi="Times New Roman" w:cs="Times New Roman"/>
          <w:sz w:val="24"/>
          <w:szCs w:val="24"/>
        </w:rPr>
        <w:t xml:space="preserve"> Merambai. All of these villages were the objects of analysis in this study because they were included in the 2024 Village Development Index (IDM) data published by the Ministry of Villages, Development of Disadvantaged Regions, and Transmigration of the Republic of Indonesia (</w:t>
      </w:r>
      <w:proofErr w:type="spellStart"/>
      <w:r>
        <w:rPr>
          <w:rFonts w:ascii="Times New Roman" w:eastAsia="Times New Roman" w:hAnsi="Times New Roman" w:cs="Times New Roman"/>
          <w:sz w:val="24"/>
          <w:szCs w:val="24"/>
        </w:rPr>
        <w:t>Kemendes</w:t>
      </w:r>
      <w:proofErr w:type="spellEnd"/>
      <w:r>
        <w:rPr>
          <w:rFonts w:ascii="Times New Roman" w:eastAsia="Times New Roman" w:hAnsi="Times New Roman" w:cs="Times New Roman"/>
          <w:sz w:val="24"/>
          <w:szCs w:val="24"/>
        </w:rPr>
        <w:t xml:space="preserve"> PDTT). The research was conducted in 2024, coinciding with the publication of the IDM data by </w:t>
      </w:r>
      <w:proofErr w:type="spellStart"/>
      <w:r>
        <w:rPr>
          <w:rFonts w:ascii="Times New Roman" w:eastAsia="Times New Roman" w:hAnsi="Times New Roman" w:cs="Times New Roman"/>
          <w:sz w:val="24"/>
          <w:szCs w:val="24"/>
        </w:rPr>
        <w:t>Kemendes</w:t>
      </w:r>
      <w:proofErr w:type="spellEnd"/>
      <w:r>
        <w:rPr>
          <w:rFonts w:ascii="Times New Roman" w:eastAsia="Times New Roman" w:hAnsi="Times New Roman" w:cs="Times New Roman"/>
          <w:sz w:val="24"/>
          <w:szCs w:val="24"/>
        </w:rPr>
        <w:t xml:space="preserve"> PDTT.</w:t>
      </w:r>
    </w:p>
    <w:p w14:paraId="0DDD657A" w14:textId="77777777" w:rsidR="00F617E9" w:rsidRDefault="00F617E9">
      <w:pPr>
        <w:widowControl w:val="0"/>
        <w:spacing w:line="252" w:lineRule="auto"/>
        <w:ind w:firstLine="454"/>
        <w:rPr>
          <w:rFonts w:ascii="Times New Roman" w:eastAsia="Times New Roman" w:hAnsi="Times New Roman" w:cs="Times New Roman"/>
          <w:sz w:val="24"/>
          <w:szCs w:val="24"/>
        </w:rPr>
      </w:pPr>
    </w:p>
    <w:p w14:paraId="018ABFE8" w14:textId="77777777" w:rsidR="00F617E9" w:rsidRDefault="00000000">
      <w:pPr>
        <w:numPr>
          <w:ilvl w:val="0"/>
          <w:numId w:val="2"/>
        </w:numPr>
      </w:pPr>
      <w:r>
        <w:rPr>
          <w:rFonts w:ascii="Book Antiqua" w:eastAsia="Book Antiqua" w:hAnsi="Book Antiqua" w:cs="Book Antiqua"/>
          <w:i/>
          <w:sz w:val="24"/>
          <w:szCs w:val="24"/>
        </w:rPr>
        <w:t>Data Types and Sources</w:t>
      </w:r>
    </w:p>
    <w:p w14:paraId="42F0DECE" w14:textId="77777777" w:rsidR="00F617E9" w:rsidRDefault="00000000">
      <w:pPr>
        <w:ind w:firstLine="454"/>
        <w:rPr>
          <w:rFonts w:ascii="Times New Roman" w:eastAsia="Times New Roman" w:hAnsi="Times New Roman" w:cs="Times New Roman"/>
          <w:sz w:val="24"/>
          <w:szCs w:val="24"/>
        </w:rPr>
      </w:pPr>
      <w:r>
        <w:rPr>
          <w:rFonts w:ascii="Times New Roman" w:eastAsia="Times New Roman" w:hAnsi="Times New Roman" w:cs="Times New Roman"/>
          <w:color w:val="0070C0"/>
          <w:sz w:val="20"/>
          <w:szCs w:val="20"/>
        </w:rPr>
        <w:t xml:space="preserve">  </w:t>
      </w:r>
      <w:r>
        <w:rPr>
          <w:rFonts w:ascii="Times New Roman" w:eastAsia="Times New Roman" w:hAnsi="Times New Roman" w:cs="Times New Roman"/>
          <w:sz w:val="24"/>
          <w:szCs w:val="24"/>
        </w:rPr>
        <w:t>The data used in this study is secondary data sourced from the 2024 Village Development Index (IDM), published by the Ministry of Villages, Development of Disadvantaged Regions, and Transmigration (</w:t>
      </w:r>
      <w:proofErr w:type="spellStart"/>
      <w:r>
        <w:rPr>
          <w:rFonts w:ascii="Times New Roman" w:eastAsia="Times New Roman" w:hAnsi="Times New Roman" w:cs="Times New Roman"/>
          <w:sz w:val="24"/>
          <w:szCs w:val="24"/>
        </w:rPr>
        <w:t>Kemendes</w:t>
      </w:r>
      <w:proofErr w:type="spellEnd"/>
      <w:r>
        <w:rPr>
          <w:rFonts w:ascii="Times New Roman" w:eastAsia="Times New Roman" w:hAnsi="Times New Roman" w:cs="Times New Roman"/>
          <w:sz w:val="24"/>
          <w:szCs w:val="24"/>
        </w:rPr>
        <w:t xml:space="preserve"> PDTT). This data includes the Village Development Index (IKS), Village Development Index (IKE), and Village Development Index (IKL) for all villages in Bunga Raya District.</w:t>
      </w:r>
    </w:p>
    <w:p w14:paraId="2DA04F2B" w14:textId="77777777" w:rsidR="00F617E9" w:rsidRDefault="00000000">
      <w:pPr>
        <w:ind w:firstLine="4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addition, supporting data such as village profile documents, sub-district statistical reports, and local government publications are also used to strengthen the contextual analysis.</w:t>
      </w:r>
    </w:p>
    <w:p w14:paraId="7A09EAC0" w14:textId="77777777" w:rsidR="00F617E9" w:rsidRDefault="00000000">
      <w:pPr>
        <w:widowControl w:val="0"/>
        <w:numPr>
          <w:ilvl w:val="0"/>
          <w:numId w:val="2"/>
        </w:numPr>
        <w:spacing w:before="120" w:after="120" w:line="252" w:lineRule="auto"/>
        <w:rPr>
          <w:rFonts w:ascii="Book Antiqua" w:eastAsia="Book Antiqua" w:hAnsi="Book Antiqua" w:cs="Book Antiqua"/>
          <w:i/>
          <w:sz w:val="24"/>
          <w:szCs w:val="24"/>
        </w:rPr>
      </w:pPr>
      <w:r>
        <w:rPr>
          <w:rFonts w:ascii="Book Antiqua" w:eastAsia="Book Antiqua" w:hAnsi="Book Antiqua" w:cs="Book Antiqua"/>
          <w:i/>
          <w:sz w:val="24"/>
          <w:szCs w:val="24"/>
        </w:rPr>
        <w:t>Research Variables</w:t>
      </w:r>
    </w:p>
    <w:p w14:paraId="697FC88D" w14:textId="77777777" w:rsidR="00F617E9" w:rsidRDefault="00000000">
      <w:pPr>
        <w:widowControl w:val="0"/>
        <w:ind w:firstLine="454"/>
        <w:rPr>
          <w:rFonts w:ascii="Times New Roman" w:eastAsia="Times New Roman" w:hAnsi="Times New Roman" w:cs="Times New Roman"/>
          <w:sz w:val="24"/>
          <w:szCs w:val="24"/>
        </w:rPr>
      </w:pPr>
      <w:r>
        <w:rPr>
          <w:rFonts w:ascii="Times New Roman" w:eastAsia="Times New Roman" w:hAnsi="Times New Roman" w:cs="Times New Roman"/>
          <w:sz w:val="24"/>
          <w:szCs w:val="24"/>
        </w:rPr>
        <w:t>The variables in this study include: (1), Social Resilience Index (IKS) Measured through indicators of basic services, education, health, and social participation. (2), Economic Resilience Index (IKE) Measured through indicators of market access, the existence of economic institutions (</w:t>
      </w:r>
      <w:proofErr w:type="spellStart"/>
      <w:r>
        <w:rPr>
          <w:rFonts w:ascii="Times New Roman" w:eastAsia="Times New Roman" w:hAnsi="Times New Roman" w:cs="Times New Roman"/>
          <w:sz w:val="24"/>
          <w:szCs w:val="24"/>
        </w:rPr>
        <w:t>BUMDes</w:t>
      </w:r>
      <w:proofErr w:type="spellEnd"/>
      <w:r>
        <w:rPr>
          <w:rFonts w:ascii="Times New Roman" w:eastAsia="Times New Roman" w:hAnsi="Times New Roman" w:cs="Times New Roman"/>
          <w:sz w:val="24"/>
          <w:szCs w:val="24"/>
        </w:rPr>
        <w:t>), access to financial institutions, and the quality of economic infrastructure. (3), Environmental Resilience Index (IKL) Measured through indicators of environmental management, natural resource conservation, and disaster preparedness.</w:t>
      </w:r>
    </w:p>
    <w:p w14:paraId="663DAC5A" w14:textId="77777777" w:rsidR="00F617E9" w:rsidRDefault="00F617E9">
      <w:pPr>
        <w:widowControl w:val="0"/>
        <w:ind w:firstLine="454"/>
        <w:rPr>
          <w:rFonts w:ascii="Times New Roman" w:eastAsia="Times New Roman" w:hAnsi="Times New Roman" w:cs="Times New Roman"/>
          <w:sz w:val="24"/>
          <w:szCs w:val="24"/>
        </w:rPr>
      </w:pPr>
    </w:p>
    <w:p w14:paraId="6709DE72" w14:textId="77777777" w:rsidR="00F617E9" w:rsidRDefault="00000000">
      <w:pPr>
        <w:pStyle w:val="ListParagraph"/>
        <w:widowControl w:val="0"/>
        <w:numPr>
          <w:ilvl w:val="0"/>
          <w:numId w:val="2"/>
        </w:numPr>
        <w:rPr>
          <w:rFonts w:ascii="Book Antiqua" w:eastAsia="Book Antiqua" w:hAnsi="Book Antiqua" w:cs="Book Antiqua"/>
          <w:color w:val="000000"/>
          <w:sz w:val="24"/>
          <w:szCs w:val="24"/>
        </w:rPr>
      </w:pPr>
      <w:r>
        <w:rPr>
          <w:rFonts w:ascii="Book Antiqua" w:eastAsia="Book Antiqua" w:hAnsi="Book Antiqua" w:cs="Book Antiqua"/>
          <w:i/>
          <w:sz w:val="24"/>
          <w:szCs w:val="24"/>
        </w:rPr>
        <w:t>Technical and Data Analysis</w:t>
      </w:r>
      <w:r>
        <w:rPr>
          <w:rFonts w:ascii="Book Antiqua" w:eastAsia="Book Antiqua" w:hAnsi="Book Antiqua" w:cs="Book Antiqua"/>
          <w:i/>
          <w:color w:val="000000"/>
          <w:sz w:val="24"/>
          <w:szCs w:val="24"/>
        </w:rPr>
        <w:t xml:space="preserve"> </w:t>
      </w:r>
    </w:p>
    <w:p w14:paraId="00A7AEE2" w14:textId="77777777" w:rsidR="00F617E9" w:rsidRDefault="00000000">
      <w:pPr>
        <w:widowControl w:val="0"/>
        <w:ind w:firstLine="4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analysis was conducted quantitatively-descriptively, with the following steps: (1), Collecting IKS, IKE, and IKL data for each village from the 2024 IDM database. (2), Calculating </w:t>
      </w:r>
      <w:r>
        <w:rPr>
          <w:rFonts w:ascii="Times New Roman" w:eastAsia="Times New Roman" w:hAnsi="Times New Roman" w:cs="Times New Roman"/>
          <w:sz w:val="24"/>
          <w:szCs w:val="24"/>
        </w:rPr>
        <w:lastRenderedPageBreak/>
        <w:t>the average value and comparing between villages to see variations and patterns of resilience distribution. (3), Determining village status based on the IDM classification (Independent, Advanced, Developing, etc.). (4), Presenting the results in the form of tables and graphs to facilitate visual interpretation. (5), Compiling a qualitative discussion of the quantitative results to explain the factors causing differences between dimensions.</w:t>
      </w:r>
    </w:p>
    <w:p w14:paraId="3BECC40E" w14:textId="77777777" w:rsidR="00F617E9" w:rsidRDefault="00F617E9">
      <w:pPr>
        <w:widowControl w:val="0"/>
        <w:ind w:firstLine="454"/>
        <w:rPr>
          <w:rFonts w:ascii="Times New Roman" w:eastAsia="Times New Roman" w:hAnsi="Times New Roman" w:cs="Times New Roman"/>
          <w:sz w:val="24"/>
          <w:szCs w:val="24"/>
        </w:rPr>
      </w:pPr>
    </w:p>
    <w:p w14:paraId="052A3085" w14:textId="77777777" w:rsidR="00F617E9" w:rsidRDefault="00000000">
      <w:pPr>
        <w:pStyle w:val="ListParagraph"/>
        <w:widowControl w:val="0"/>
        <w:numPr>
          <w:ilvl w:val="0"/>
          <w:numId w:val="2"/>
        </w:numPr>
        <w:spacing w:before="120" w:after="120" w:line="252" w:lineRule="auto"/>
        <w:rPr>
          <w:rFonts w:ascii="Book Antiqua" w:eastAsia="Book Antiqua" w:hAnsi="Book Antiqua" w:cs="Book Antiqua"/>
          <w:i/>
          <w:color w:val="000000"/>
          <w:sz w:val="24"/>
          <w:szCs w:val="24"/>
        </w:rPr>
      </w:pPr>
      <w:r>
        <w:rPr>
          <w:rFonts w:ascii="Book Antiqua" w:eastAsia="Book Antiqua" w:hAnsi="Book Antiqua" w:cs="Book Antiqua"/>
          <w:i/>
          <w:sz w:val="24"/>
          <w:szCs w:val="24"/>
        </w:rPr>
        <w:t>Framework</w:t>
      </w:r>
    </w:p>
    <w:p w14:paraId="3E941EAE" w14:textId="77777777" w:rsidR="00F617E9" w:rsidRDefault="00000000">
      <w:pPr>
        <w:widowControl w:val="0"/>
        <w:ind w:firstLine="454"/>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framework explains the relationship between the three dimensions of village resilience (IKS, IKE, IKL) and the level of village independence (IDM). These three dimensions interact simultaneously and influence each other in shaping resilient village resilience.</w:t>
      </w:r>
    </w:p>
    <w:p w14:paraId="5369D42C" w14:textId="77777777" w:rsidR="00F617E9" w:rsidRDefault="00000000">
      <w:pPr>
        <w:widowControl w:val="0"/>
        <w:ind w:firstLine="454"/>
        <w:rPr>
          <w:rFonts w:ascii="Times New Roman" w:eastAsia="Times New Roman" w:hAnsi="Times New Roman" w:cs="Times New Roman"/>
          <w:color w:val="0070C0"/>
          <w:sz w:val="24"/>
          <w:szCs w:val="24"/>
        </w:rPr>
      </w:pPr>
      <w:r>
        <w:rPr>
          <w:rFonts w:ascii="Times New Roman" w:eastAsia="Times New Roman" w:hAnsi="Times New Roman" w:cs="Times New Roman"/>
          <w:sz w:val="24"/>
          <w:szCs w:val="24"/>
        </w:rPr>
        <w:t>Thus, this study views that villages that have high scores on these three dimensions tend to achieve Independent Village status and have a more sustainable development capacity.</w:t>
      </w:r>
    </w:p>
    <w:p w14:paraId="1DFD8975" w14:textId="77777777" w:rsidR="00F617E9" w:rsidRDefault="00000000">
      <w:pPr>
        <w:pStyle w:val="ListParagraph"/>
        <w:widowControl w:val="0"/>
        <w:numPr>
          <w:ilvl w:val="0"/>
          <w:numId w:val="2"/>
        </w:numPr>
        <w:spacing w:before="120" w:after="120" w:line="252" w:lineRule="auto"/>
        <w:rPr>
          <w:rFonts w:ascii="Book Antiqua" w:eastAsia="Book Antiqua" w:hAnsi="Book Antiqua" w:cs="Book Antiqua"/>
          <w:i/>
          <w:sz w:val="24"/>
          <w:szCs w:val="24"/>
        </w:rPr>
      </w:pPr>
      <w:r>
        <w:rPr>
          <w:rFonts w:ascii="Book Antiqua" w:eastAsia="Book Antiqua" w:hAnsi="Book Antiqua" w:cs="Book Antiqua"/>
          <w:i/>
          <w:sz w:val="24"/>
          <w:szCs w:val="24"/>
        </w:rPr>
        <w:t>Research Limitations</w:t>
      </w:r>
    </w:p>
    <w:p w14:paraId="228F0F71" w14:textId="77777777" w:rsidR="00F617E9" w:rsidRDefault="00000000">
      <w:pPr>
        <w:widowControl w:val="0"/>
        <w:spacing w:before="120" w:after="120" w:line="252" w:lineRule="auto"/>
        <w:ind w:firstLine="454"/>
        <w:rPr>
          <w:rFonts w:ascii="Times New Roman" w:eastAsia="Times New Roman" w:hAnsi="Times New Roman" w:cs="Times New Roman"/>
          <w:color w:val="000000"/>
          <w:sz w:val="20"/>
          <w:szCs w:val="20"/>
          <w:lang w:val="en-US"/>
        </w:rPr>
      </w:pPr>
      <w:r>
        <w:rPr>
          <w:rFonts w:ascii="Times New Roman" w:eastAsia="Times New Roman" w:hAnsi="Times New Roman" w:cs="Times New Roman"/>
          <w:sz w:val="24"/>
          <w:szCs w:val="24"/>
        </w:rPr>
        <w:t xml:space="preserve">      This research relies on official secondary data, so it does not directly cover qualitative aspects such as public perceptions or local social dynamics. However, the analysis remains valid because it uses standardized national data sources</w:t>
      </w:r>
      <w:r>
        <w:rPr>
          <w:rFonts w:ascii="Times New Roman" w:eastAsia="Times New Roman" w:hAnsi="Times New Roman" w:cs="Times New Roman"/>
          <w:sz w:val="24"/>
          <w:szCs w:val="24"/>
          <w:lang w:val="en-US"/>
        </w:rPr>
        <w:t>.</w:t>
      </w:r>
    </w:p>
    <w:p w14:paraId="655035E5" w14:textId="77777777" w:rsidR="00F617E9" w:rsidRDefault="00F617E9">
      <w:pPr>
        <w:tabs>
          <w:tab w:val="right" w:pos="5843"/>
        </w:tabs>
        <w:rPr>
          <w:rFonts w:ascii="Times New Roman" w:eastAsia="Times New Roman" w:hAnsi="Times New Roman" w:cs="Times New Roman"/>
          <w:sz w:val="24"/>
          <w:szCs w:val="24"/>
        </w:rPr>
      </w:pPr>
    </w:p>
    <w:p w14:paraId="513075D8" w14:textId="77777777" w:rsidR="00F617E9" w:rsidRDefault="00000000">
      <w:pPr>
        <w:numPr>
          <w:ilvl w:val="0"/>
          <w:numId w:val="1"/>
        </w:numPr>
        <w:tabs>
          <w:tab w:val="right" w:pos="5843"/>
        </w:tabs>
        <w:ind w:left="426" w:hanging="426"/>
        <w:jc w:val="left"/>
      </w:pPr>
      <w:r>
        <w:rPr>
          <w:rFonts w:ascii="Times New Roman" w:eastAsia="Times New Roman" w:hAnsi="Times New Roman" w:cs="Times New Roman"/>
          <w:b/>
          <w:color w:val="000000"/>
          <w:sz w:val="24"/>
          <w:szCs w:val="24"/>
        </w:rPr>
        <w:t>RESULTS AND DISCUSSION</w:t>
      </w:r>
      <w:r>
        <w:rPr>
          <w:rFonts w:ascii="Times New Roman" w:eastAsia="Times New Roman" w:hAnsi="Times New Roman" w:cs="Times New Roman"/>
          <w:color w:val="000000"/>
          <w:sz w:val="24"/>
          <w:szCs w:val="24"/>
        </w:rPr>
        <w:t xml:space="preserve"> </w:t>
      </w:r>
    </w:p>
    <w:p w14:paraId="4B25CFA3" w14:textId="77777777" w:rsidR="00F617E9" w:rsidRDefault="00F617E9">
      <w:pPr>
        <w:pStyle w:val="Heading1"/>
        <w:keepNext w:val="0"/>
        <w:tabs>
          <w:tab w:val="right" w:pos="5843"/>
        </w:tabs>
        <w:ind w:firstLine="454"/>
        <w:jc w:val="left"/>
        <w:rPr>
          <w:rFonts w:ascii="Times New Roman" w:eastAsia="Times New Roman" w:hAnsi="Times New Roman" w:cs="Times New Roman"/>
          <w:sz w:val="24"/>
          <w:szCs w:val="24"/>
        </w:rPr>
      </w:pPr>
      <w:bookmarkStart w:id="1" w:name="_7057taoxf874" w:colFirst="0" w:colLast="0"/>
      <w:bookmarkEnd w:id="1"/>
    </w:p>
    <w:p w14:paraId="049B76D6" w14:textId="77777777" w:rsidR="00F617E9" w:rsidRDefault="00000000">
      <w:pPr>
        <w:pStyle w:val="Heading1"/>
        <w:keepNext w:val="0"/>
        <w:numPr>
          <w:ilvl w:val="0"/>
          <w:numId w:val="3"/>
        </w:numPr>
        <w:tabs>
          <w:tab w:val="right" w:pos="5843"/>
        </w:tabs>
        <w:jc w:val="left"/>
        <w:rPr>
          <w:b w:val="0"/>
          <w:bCs/>
          <w:i/>
          <w:iCs/>
          <w:sz w:val="24"/>
          <w:szCs w:val="24"/>
        </w:rPr>
      </w:pPr>
      <w:bookmarkStart w:id="2" w:name="_tlnzsq5ki36k" w:colFirst="0" w:colLast="0"/>
      <w:bookmarkEnd w:id="2"/>
      <w:r>
        <w:rPr>
          <w:rFonts w:ascii="Times New Roman" w:eastAsia="Times New Roman" w:hAnsi="Times New Roman" w:cs="Times New Roman"/>
          <w:sz w:val="24"/>
          <w:szCs w:val="24"/>
        </w:rPr>
        <w:t xml:space="preserve"> </w:t>
      </w:r>
      <w:r>
        <w:rPr>
          <w:rFonts w:ascii="Book Antiqua" w:eastAsia="Book Antiqua" w:hAnsi="Book Antiqua" w:cs="Book Antiqua"/>
          <w:b w:val="0"/>
          <w:bCs/>
          <w:i/>
          <w:iCs/>
          <w:sz w:val="24"/>
          <w:szCs w:val="24"/>
        </w:rPr>
        <w:t>Village Economic Resilience Based on IKE 2024</w:t>
      </w:r>
    </w:p>
    <w:p w14:paraId="5B2AA251"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Table 4.1. 2024 Economic Resilience Index (IKE) of Villages in Bunga Raya District</w:t>
      </w:r>
    </w:p>
    <w:tbl>
      <w:tblPr>
        <w:tblStyle w:val="Style12"/>
        <w:tblW w:w="8850" w:type="dxa"/>
        <w:tblInd w:w="0" w:type="dxa"/>
        <w:tblLayout w:type="fixed"/>
        <w:tblLook w:val="04A0" w:firstRow="1" w:lastRow="0" w:firstColumn="1" w:lastColumn="0" w:noHBand="0" w:noVBand="1"/>
      </w:tblPr>
      <w:tblGrid>
        <w:gridCol w:w="1590"/>
        <w:gridCol w:w="1440"/>
        <w:gridCol w:w="1440"/>
        <w:gridCol w:w="1440"/>
        <w:gridCol w:w="1440"/>
        <w:gridCol w:w="1500"/>
      </w:tblGrid>
      <w:tr w:rsidR="00F617E9" w14:paraId="7A5827CF" w14:textId="77777777">
        <w:trPr>
          <w:trHeight w:val="285"/>
        </w:trPr>
        <w:tc>
          <w:tcPr>
            <w:tcW w:w="1590" w:type="dxa"/>
            <w:tcBorders>
              <w:top w:val="single" w:sz="8" w:space="0" w:color="000000"/>
              <w:left w:val="single" w:sz="8" w:space="0" w:color="000000"/>
              <w:bottom w:val="single" w:sz="8" w:space="0" w:color="000000"/>
              <w:right w:val="single" w:sz="8" w:space="0" w:color="000000"/>
            </w:tcBorders>
            <w:shd w:val="clear" w:color="auto" w:fill="E36C0A"/>
            <w:tcMar>
              <w:top w:w="0" w:type="dxa"/>
              <w:left w:w="100" w:type="dxa"/>
              <w:bottom w:w="0" w:type="dxa"/>
              <w:right w:w="100" w:type="dxa"/>
            </w:tcMar>
          </w:tcPr>
          <w:p w14:paraId="0DA1EE92" w14:textId="77777777" w:rsidR="00F617E9" w:rsidRDefault="00000000">
            <w:pPr>
              <w:tabs>
                <w:tab w:val="right" w:pos="5843"/>
              </w:tabs>
              <w:spacing w:before="240" w:after="240"/>
              <w:ind w:left="20"/>
              <w:jc w:val="center"/>
              <w:rPr>
                <w:rFonts w:ascii="Book Antiqua" w:eastAsia="Book Antiqua" w:hAnsi="Book Antiqua" w:cs="Book Antiqua"/>
                <w:b/>
                <w:sz w:val="24"/>
                <w:szCs w:val="24"/>
              </w:rPr>
            </w:pPr>
            <w:r>
              <w:rPr>
                <w:rFonts w:ascii="Book Antiqua" w:eastAsia="Book Antiqua" w:hAnsi="Book Antiqua" w:cs="Book Antiqua"/>
                <w:b/>
                <w:sz w:val="24"/>
                <w:szCs w:val="24"/>
              </w:rPr>
              <w:t>Village</w:t>
            </w:r>
          </w:p>
        </w:tc>
        <w:tc>
          <w:tcPr>
            <w:tcW w:w="1440" w:type="dxa"/>
            <w:tcBorders>
              <w:top w:val="single" w:sz="8" w:space="0" w:color="000000"/>
              <w:left w:val="nil"/>
              <w:bottom w:val="single" w:sz="8" w:space="0" w:color="000000"/>
              <w:right w:val="single" w:sz="8" w:space="0" w:color="000000"/>
            </w:tcBorders>
            <w:shd w:val="clear" w:color="auto" w:fill="E36C0A"/>
            <w:tcMar>
              <w:top w:w="0" w:type="dxa"/>
              <w:left w:w="100" w:type="dxa"/>
              <w:bottom w:w="0" w:type="dxa"/>
              <w:right w:w="100" w:type="dxa"/>
            </w:tcMar>
          </w:tcPr>
          <w:p w14:paraId="184A1528"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IKS</w:t>
            </w:r>
          </w:p>
        </w:tc>
        <w:tc>
          <w:tcPr>
            <w:tcW w:w="1440" w:type="dxa"/>
            <w:tcBorders>
              <w:top w:val="single" w:sz="8" w:space="0" w:color="000000"/>
              <w:left w:val="nil"/>
              <w:bottom w:val="single" w:sz="8" w:space="0" w:color="000000"/>
              <w:right w:val="single" w:sz="8" w:space="0" w:color="000000"/>
            </w:tcBorders>
            <w:shd w:val="clear" w:color="auto" w:fill="E36C0A"/>
            <w:tcMar>
              <w:top w:w="0" w:type="dxa"/>
              <w:left w:w="100" w:type="dxa"/>
              <w:bottom w:w="0" w:type="dxa"/>
              <w:right w:w="100" w:type="dxa"/>
            </w:tcMar>
          </w:tcPr>
          <w:p w14:paraId="6D1A6942"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IKE</w:t>
            </w:r>
          </w:p>
        </w:tc>
        <w:tc>
          <w:tcPr>
            <w:tcW w:w="1440" w:type="dxa"/>
            <w:tcBorders>
              <w:top w:val="single" w:sz="8" w:space="0" w:color="000000"/>
              <w:left w:val="nil"/>
              <w:bottom w:val="single" w:sz="8" w:space="0" w:color="000000"/>
              <w:right w:val="single" w:sz="8" w:space="0" w:color="000000"/>
            </w:tcBorders>
            <w:shd w:val="clear" w:color="auto" w:fill="E36C0A"/>
            <w:tcMar>
              <w:top w:w="0" w:type="dxa"/>
              <w:left w:w="100" w:type="dxa"/>
              <w:bottom w:w="0" w:type="dxa"/>
              <w:right w:w="100" w:type="dxa"/>
            </w:tcMar>
          </w:tcPr>
          <w:p w14:paraId="2944FEFE"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IKL</w:t>
            </w:r>
          </w:p>
        </w:tc>
        <w:tc>
          <w:tcPr>
            <w:tcW w:w="1440" w:type="dxa"/>
            <w:tcBorders>
              <w:top w:val="single" w:sz="8" w:space="0" w:color="000000"/>
              <w:left w:val="nil"/>
              <w:bottom w:val="single" w:sz="8" w:space="0" w:color="000000"/>
              <w:right w:val="single" w:sz="8" w:space="0" w:color="000000"/>
            </w:tcBorders>
            <w:shd w:val="clear" w:color="auto" w:fill="E36C0A"/>
            <w:tcMar>
              <w:top w:w="0" w:type="dxa"/>
              <w:left w:w="100" w:type="dxa"/>
              <w:bottom w:w="0" w:type="dxa"/>
              <w:right w:w="100" w:type="dxa"/>
            </w:tcMar>
          </w:tcPr>
          <w:p w14:paraId="56F70D0C"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IDM</w:t>
            </w:r>
          </w:p>
        </w:tc>
        <w:tc>
          <w:tcPr>
            <w:tcW w:w="1500" w:type="dxa"/>
            <w:tcBorders>
              <w:top w:val="single" w:sz="8" w:space="0" w:color="000000"/>
              <w:left w:val="nil"/>
              <w:bottom w:val="single" w:sz="8" w:space="0" w:color="000000"/>
              <w:right w:val="single" w:sz="8" w:space="0" w:color="000000"/>
            </w:tcBorders>
            <w:shd w:val="clear" w:color="auto" w:fill="E36C0A"/>
            <w:tcMar>
              <w:top w:w="0" w:type="dxa"/>
              <w:left w:w="100" w:type="dxa"/>
              <w:bottom w:w="0" w:type="dxa"/>
              <w:right w:w="100" w:type="dxa"/>
            </w:tcMar>
          </w:tcPr>
          <w:p w14:paraId="5EBC56BB"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Status</w:t>
            </w:r>
          </w:p>
        </w:tc>
      </w:tr>
      <w:tr w:rsidR="00F617E9" w14:paraId="778F3C57" w14:textId="77777777">
        <w:trPr>
          <w:trHeight w:val="285"/>
        </w:trPr>
        <w:tc>
          <w:tcPr>
            <w:tcW w:w="15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FC3546"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Hibiscus</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409488AF"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0.8743</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1D4C7BA4"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0.9167</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1A3002CB"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0.9333</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3EE7F2C6"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0.9081</w:t>
            </w:r>
          </w:p>
        </w:tc>
        <w:tc>
          <w:tcPr>
            <w:tcW w:w="1500" w:type="dxa"/>
            <w:tcBorders>
              <w:top w:val="nil"/>
              <w:left w:val="nil"/>
              <w:bottom w:val="single" w:sz="8" w:space="0" w:color="000000"/>
              <w:right w:val="single" w:sz="8" w:space="0" w:color="000000"/>
            </w:tcBorders>
            <w:tcMar>
              <w:top w:w="0" w:type="dxa"/>
              <w:left w:w="100" w:type="dxa"/>
              <w:bottom w:w="0" w:type="dxa"/>
              <w:right w:w="100" w:type="dxa"/>
            </w:tcMar>
          </w:tcPr>
          <w:p w14:paraId="63596547"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Independent</w:t>
            </w:r>
          </w:p>
        </w:tc>
      </w:tr>
      <w:tr w:rsidR="00F617E9" w14:paraId="79F4486B" w14:textId="77777777">
        <w:trPr>
          <w:trHeight w:val="285"/>
        </w:trPr>
        <w:tc>
          <w:tcPr>
            <w:tcW w:w="15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D0AD6DB"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Lady Suri</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33E17623"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0.8514</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6B7DE9BD"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0.7667</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587CED5F"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0.9333</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4BAB3D23"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0.8505</w:t>
            </w:r>
          </w:p>
        </w:tc>
        <w:tc>
          <w:tcPr>
            <w:tcW w:w="1500" w:type="dxa"/>
            <w:tcBorders>
              <w:top w:val="nil"/>
              <w:left w:val="nil"/>
              <w:bottom w:val="single" w:sz="8" w:space="0" w:color="000000"/>
              <w:right w:val="single" w:sz="8" w:space="0" w:color="000000"/>
            </w:tcBorders>
            <w:tcMar>
              <w:top w:w="0" w:type="dxa"/>
              <w:left w:w="100" w:type="dxa"/>
              <w:bottom w:w="0" w:type="dxa"/>
              <w:right w:w="100" w:type="dxa"/>
            </w:tcMar>
          </w:tcPr>
          <w:p w14:paraId="03554993"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Independent</w:t>
            </w:r>
          </w:p>
        </w:tc>
      </w:tr>
      <w:tr w:rsidR="00F617E9" w14:paraId="3C335A48" w14:textId="77777777">
        <w:trPr>
          <w:trHeight w:val="285"/>
        </w:trPr>
        <w:tc>
          <w:tcPr>
            <w:tcW w:w="15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B8B1DAC"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New Teak</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12FE1027"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0.92</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37BE5247"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0.7333</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1B674AC8"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0.9333</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64AC9E17"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0.8622</w:t>
            </w:r>
          </w:p>
        </w:tc>
        <w:tc>
          <w:tcPr>
            <w:tcW w:w="1500" w:type="dxa"/>
            <w:tcBorders>
              <w:top w:val="nil"/>
              <w:left w:val="nil"/>
              <w:bottom w:val="single" w:sz="8" w:space="0" w:color="000000"/>
              <w:right w:val="single" w:sz="8" w:space="0" w:color="000000"/>
            </w:tcBorders>
            <w:tcMar>
              <w:top w:w="0" w:type="dxa"/>
              <w:left w:w="100" w:type="dxa"/>
              <w:bottom w:w="0" w:type="dxa"/>
              <w:right w:w="100" w:type="dxa"/>
            </w:tcMar>
          </w:tcPr>
          <w:p w14:paraId="4D39C47A"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Independent</w:t>
            </w:r>
          </w:p>
        </w:tc>
      </w:tr>
      <w:tr w:rsidR="00F617E9" w14:paraId="679B0C8A" w14:textId="77777777">
        <w:trPr>
          <w:trHeight w:val="555"/>
        </w:trPr>
        <w:tc>
          <w:tcPr>
            <w:tcW w:w="15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91B4D75"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Young Kemuning</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4777380D"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0.8857</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43AE2D8E"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0.6333</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0C166A78"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0.9333</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52FF34D1"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0.8175</w:t>
            </w:r>
          </w:p>
        </w:tc>
        <w:tc>
          <w:tcPr>
            <w:tcW w:w="1500" w:type="dxa"/>
            <w:tcBorders>
              <w:top w:val="nil"/>
              <w:left w:val="nil"/>
              <w:bottom w:val="single" w:sz="8" w:space="0" w:color="000000"/>
              <w:right w:val="single" w:sz="8" w:space="0" w:color="000000"/>
            </w:tcBorders>
            <w:tcMar>
              <w:top w:w="0" w:type="dxa"/>
              <w:left w:w="100" w:type="dxa"/>
              <w:bottom w:w="0" w:type="dxa"/>
              <w:right w:w="100" w:type="dxa"/>
            </w:tcMar>
          </w:tcPr>
          <w:p w14:paraId="239A0ABF"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Independent</w:t>
            </w:r>
          </w:p>
        </w:tc>
      </w:tr>
      <w:tr w:rsidR="00F617E9" w14:paraId="2615AA0E" w14:textId="77777777">
        <w:trPr>
          <w:trHeight w:val="555"/>
        </w:trPr>
        <w:tc>
          <w:tcPr>
            <w:tcW w:w="15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23CEB17"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Beautiful Langsat</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3613ACD8"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0.84</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2BDAABFE"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0.8167</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7F04FAB9"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1.0</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7D138809"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0.8856</w:t>
            </w:r>
          </w:p>
        </w:tc>
        <w:tc>
          <w:tcPr>
            <w:tcW w:w="1500" w:type="dxa"/>
            <w:tcBorders>
              <w:top w:val="nil"/>
              <w:left w:val="nil"/>
              <w:bottom w:val="single" w:sz="8" w:space="0" w:color="000000"/>
              <w:right w:val="single" w:sz="8" w:space="0" w:color="000000"/>
            </w:tcBorders>
            <w:tcMar>
              <w:top w:w="0" w:type="dxa"/>
              <w:left w:w="100" w:type="dxa"/>
              <w:bottom w:w="0" w:type="dxa"/>
              <w:right w:w="100" w:type="dxa"/>
            </w:tcMar>
          </w:tcPr>
          <w:p w14:paraId="7156B2C9"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Independent</w:t>
            </w:r>
          </w:p>
        </w:tc>
      </w:tr>
      <w:tr w:rsidR="00F617E9" w14:paraId="71EE0639" w14:textId="77777777">
        <w:trPr>
          <w:trHeight w:val="285"/>
        </w:trPr>
        <w:tc>
          <w:tcPr>
            <w:tcW w:w="15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8299741"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lastRenderedPageBreak/>
              <w:t>Meet</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5E9C6CFB"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0.8171</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320DC741"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0.8833</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55A1DBEF"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0.9333</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3D7F3910"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0.8779</w:t>
            </w:r>
          </w:p>
        </w:tc>
        <w:tc>
          <w:tcPr>
            <w:tcW w:w="1500" w:type="dxa"/>
            <w:tcBorders>
              <w:top w:val="nil"/>
              <w:left w:val="nil"/>
              <w:bottom w:val="single" w:sz="8" w:space="0" w:color="000000"/>
              <w:right w:val="single" w:sz="8" w:space="0" w:color="000000"/>
            </w:tcBorders>
            <w:tcMar>
              <w:top w:w="0" w:type="dxa"/>
              <w:left w:w="100" w:type="dxa"/>
              <w:bottom w:w="0" w:type="dxa"/>
              <w:right w:w="100" w:type="dxa"/>
            </w:tcMar>
          </w:tcPr>
          <w:p w14:paraId="54BD0177"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Independent</w:t>
            </w:r>
          </w:p>
        </w:tc>
      </w:tr>
      <w:tr w:rsidR="00F617E9" w14:paraId="346A08E2" w14:textId="77777777">
        <w:trPr>
          <w:trHeight w:val="555"/>
        </w:trPr>
        <w:tc>
          <w:tcPr>
            <w:tcW w:w="159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371AA4C"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 xml:space="preserve">The Luck of </w:t>
            </w:r>
            <w:proofErr w:type="spellStart"/>
            <w:r>
              <w:rPr>
                <w:rFonts w:ascii="Book Antiqua" w:eastAsia="Book Antiqua" w:hAnsi="Book Antiqua" w:cs="Book Antiqua"/>
                <w:sz w:val="24"/>
                <w:szCs w:val="24"/>
              </w:rPr>
              <w:t>Indrapura</w:t>
            </w:r>
            <w:proofErr w:type="spellEnd"/>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4A9F0D89"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0.8</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52D71823"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0.75</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20C5C89D"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1.0</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5EADF6F7"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0.85</w:t>
            </w:r>
          </w:p>
        </w:tc>
        <w:tc>
          <w:tcPr>
            <w:tcW w:w="1500" w:type="dxa"/>
            <w:tcBorders>
              <w:top w:val="nil"/>
              <w:left w:val="nil"/>
              <w:bottom w:val="single" w:sz="8" w:space="0" w:color="000000"/>
              <w:right w:val="single" w:sz="8" w:space="0" w:color="000000"/>
            </w:tcBorders>
            <w:tcMar>
              <w:top w:w="0" w:type="dxa"/>
              <w:left w:w="100" w:type="dxa"/>
              <w:bottom w:w="0" w:type="dxa"/>
              <w:right w:w="100" w:type="dxa"/>
            </w:tcMar>
          </w:tcPr>
          <w:p w14:paraId="52E849F4" w14:textId="77777777" w:rsidR="00F617E9" w:rsidRDefault="00000000">
            <w:pPr>
              <w:tabs>
                <w:tab w:val="right" w:pos="5843"/>
              </w:tabs>
              <w:spacing w:before="240" w:after="240"/>
              <w:ind w:left="20"/>
              <w:jc w:val="center"/>
              <w:rPr>
                <w:rFonts w:ascii="Book Antiqua" w:eastAsia="Book Antiqua" w:hAnsi="Book Antiqua" w:cs="Book Antiqua"/>
                <w:sz w:val="24"/>
                <w:szCs w:val="24"/>
              </w:rPr>
            </w:pPr>
            <w:r>
              <w:rPr>
                <w:rFonts w:ascii="Book Antiqua" w:eastAsia="Book Antiqua" w:hAnsi="Book Antiqua" w:cs="Book Antiqua"/>
                <w:sz w:val="24"/>
                <w:szCs w:val="24"/>
              </w:rPr>
              <w:t>Independent</w:t>
            </w:r>
          </w:p>
        </w:tc>
      </w:tr>
    </w:tbl>
    <w:p w14:paraId="62E38783" w14:textId="77777777" w:rsidR="00F617E9" w:rsidRDefault="00000000">
      <w:pPr>
        <w:tabs>
          <w:tab w:val="right" w:pos="5843"/>
        </w:tabs>
        <w:spacing w:before="20"/>
        <w:ind w:firstLine="454"/>
        <w:jc w:val="left"/>
        <w:rPr>
          <w:rFonts w:ascii="Book Antiqua" w:eastAsia="Book Antiqua" w:hAnsi="Book Antiqua" w:cs="Book Antiqua"/>
          <w:sz w:val="24"/>
          <w:szCs w:val="24"/>
        </w:rPr>
      </w:pPr>
      <w:r>
        <w:rPr>
          <w:rFonts w:ascii="Book Antiqua" w:eastAsia="Book Antiqua" w:hAnsi="Book Antiqua" w:cs="Book Antiqua"/>
          <w:sz w:val="24"/>
          <w:szCs w:val="24"/>
        </w:rPr>
        <w:t xml:space="preserve"> </w:t>
      </w:r>
    </w:p>
    <w:p w14:paraId="4DD29C62" w14:textId="77777777" w:rsidR="00F617E9" w:rsidRDefault="00000000">
      <w:pPr>
        <w:tabs>
          <w:tab w:val="right" w:pos="5843"/>
        </w:tabs>
        <w:spacing w:after="240"/>
        <w:ind w:firstLine="454"/>
        <w:rPr>
          <w:rFonts w:ascii="Times New Roman" w:eastAsia="Book Antiqua" w:hAnsi="Times New Roman" w:cs="Times New Roman"/>
          <w:sz w:val="24"/>
          <w:szCs w:val="24"/>
        </w:rPr>
      </w:pPr>
      <w:r>
        <w:rPr>
          <w:rFonts w:ascii="Times New Roman" w:eastAsia="Book Antiqua" w:hAnsi="Times New Roman" w:cs="Times New Roman"/>
          <w:sz w:val="24"/>
          <w:szCs w:val="24"/>
        </w:rPr>
        <w:t xml:space="preserve">(IKS), Environmental Resilience Index (IKL), and the aggregate value of the Village Development Index (IDM) for eight villages in Bunga Raya District in 2024. In general, all villages showed "Independent" status, indicating that all three dimensions of resilience (social, economic, and environmental) have developed in a balanced manner and support sustainable village development. The highest IKE value was achieved by Bunga Raya Village (0.9167), followed by </w:t>
      </w:r>
      <w:proofErr w:type="spellStart"/>
      <w:r>
        <w:rPr>
          <w:rFonts w:ascii="Times New Roman" w:eastAsia="Book Antiqua" w:hAnsi="Times New Roman" w:cs="Times New Roman"/>
          <w:sz w:val="24"/>
          <w:szCs w:val="24"/>
        </w:rPr>
        <w:t>Temusai</w:t>
      </w:r>
      <w:proofErr w:type="spellEnd"/>
      <w:r>
        <w:rPr>
          <w:rFonts w:ascii="Times New Roman" w:eastAsia="Book Antiqua" w:hAnsi="Times New Roman" w:cs="Times New Roman"/>
          <w:sz w:val="24"/>
          <w:szCs w:val="24"/>
        </w:rPr>
        <w:t xml:space="preserve"> (0.8833) and Langsat </w:t>
      </w:r>
      <w:proofErr w:type="spellStart"/>
      <w:r>
        <w:rPr>
          <w:rFonts w:ascii="Times New Roman" w:eastAsia="Book Antiqua" w:hAnsi="Times New Roman" w:cs="Times New Roman"/>
          <w:sz w:val="24"/>
          <w:szCs w:val="24"/>
        </w:rPr>
        <w:t>Permai</w:t>
      </w:r>
      <w:proofErr w:type="spellEnd"/>
      <w:r>
        <w:rPr>
          <w:rFonts w:ascii="Times New Roman" w:eastAsia="Book Antiqua" w:hAnsi="Times New Roman" w:cs="Times New Roman"/>
          <w:sz w:val="24"/>
          <w:szCs w:val="24"/>
        </w:rPr>
        <w:t xml:space="preserve"> (0.8167).</w:t>
      </w:r>
    </w:p>
    <w:p w14:paraId="23C635BE" w14:textId="77777777" w:rsidR="00F617E9" w:rsidRDefault="00000000">
      <w:pPr>
        <w:tabs>
          <w:tab w:val="right" w:pos="5843"/>
        </w:tabs>
        <w:spacing w:after="240"/>
        <w:ind w:firstLine="454"/>
        <w:rPr>
          <w:rFonts w:ascii="Times New Roman" w:eastAsia="Book Antiqua" w:hAnsi="Times New Roman" w:cs="Times New Roman"/>
          <w:sz w:val="24"/>
          <w:szCs w:val="24"/>
        </w:rPr>
      </w:pPr>
      <w:r>
        <w:rPr>
          <w:rFonts w:ascii="Times New Roman" w:eastAsia="Book Antiqua" w:hAnsi="Times New Roman" w:cs="Times New Roman"/>
          <w:sz w:val="24"/>
          <w:szCs w:val="24"/>
        </w:rPr>
        <w:t>All three stand out for having strong economic infrastructure, active village economic institutional activities, and good access to markets and financial institutions.</w:t>
      </w:r>
    </w:p>
    <w:p w14:paraId="06088136" w14:textId="77777777" w:rsidR="00F617E9" w:rsidRDefault="00000000">
      <w:pPr>
        <w:tabs>
          <w:tab w:val="right" w:pos="5843"/>
        </w:tabs>
        <w:spacing w:after="240"/>
        <w:ind w:firstLine="454"/>
        <w:rPr>
          <w:rFonts w:ascii="Times New Roman" w:eastAsia="Book Antiqua" w:hAnsi="Times New Roman" w:cs="Times New Roman"/>
          <w:color w:val="0070C0"/>
          <w:sz w:val="24"/>
          <w:szCs w:val="24"/>
        </w:rPr>
      </w:pPr>
      <w:r>
        <w:rPr>
          <w:rFonts w:ascii="Times New Roman" w:eastAsia="Book Antiqua" w:hAnsi="Times New Roman" w:cs="Times New Roman"/>
          <w:sz w:val="24"/>
          <w:szCs w:val="24"/>
        </w:rPr>
        <w:t>Meanwhile, Kemuning Muda (0.6333) ranked lowest, despite still being categorized as an independent village. This indicates that the village still has room for improvement, particularly in terms of access to markets and financial institutions, even though the social and environmental dimensions are relatively stable. Compared to previous years, changes in the IKE, IKS, and IKL scores in most villages indicate significant progress in strengthening local economic capacity, particularly through optimizing inland water resources, developing micro-enterprises, and improving transportation and connectivity between regions.</w:t>
      </w:r>
    </w:p>
    <w:p w14:paraId="0F51972A" w14:textId="77777777" w:rsidR="00F617E9" w:rsidRDefault="00000000">
      <w:pPr>
        <w:pStyle w:val="Heading2"/>
        <w:keepNext w:val="0"/>
        <w:keepLines w:val="0"/>
        <w:numPr>
          <w:ilvl w:val="0"/>
          <w:numId w:val="3"/>
        </w:numPr>
        <w:tabs>
          <w:tab w:val="right" w:pos="5843"/>
        </w:tabs>
        <w:spacing w:before="160"/>
        <w:rPr>
          <w:rFonts w:ascii="Book Antiqua" w:eastAsia="Book Antiqua" w:hAnsi="Book Antiqua" w:cs="Book Antiqua"/>
          <w:sz w:val="24"/>
          <w:szCs w:val="24"/>
        </w:rPr>
      </w:pPr>
      <w:bookmarkStart w:id="3" w:name="_1e4yh2xfqkce" w:colFirst="0" w:colLast="0"/>
      <w:bookmarkEnd w:id="3"/>
      <w:r>
        <w:rPr>
          <w:rFonts w:ascii="Book Antiqua" w:eastAsia="Book Antiqua" w:hAnsi="Book Antiqua" w:cs="Book Antiqua"/>
          <w:b w:val="0"/>
          <w:bCs/>
          <w:i/>
          <w:iCs/>
          <w:sz w:val="24"/>
          <w:szCs w:val="24"/>
        </w:rPr>
        <w:t>Analysis of the Social Resilience Index (IKS)</w:t>
      </w:r>
      <w:r>
        <w:rPr>
          <w:rFonts w:ascii="Book Antiqua" w:eastAsia="Book Antiqua" w:hAnsi="Book Antiqua" w:cs="Book Antiqua"/>
          <w:sz w:val="24"/>
          <w:szCs w:val="24"/>
        </w:rPr>
        <w:t>)</w:t>
      </w:r>
    </w:p>
    <w:p w14:paraId="4820CF9E" w14:textId="77777777" w:rsidR="00F617E9" w:rsidRDefault="00F617E9">
      <w:pPr>
        <w:tabs>
          <w:tab w:val="right" w:pos="5843"/>
        </w:tabs>
        <w:rPr>
          <w:rFonts w:ascii="Book Antiqua" w:eastAsia="Book Antiqua" w:hAnsi="Book Antiqua" w:cs="Book Antiqua"/>
          <w:sz w:val="24"/>
          <w:szCs w:val="24"/>
        </w:rPr>
      </w:pPr>
    </w:p>
    <w:p w14:paraId="2DC9C46E" w14:textId="77777777" w:rsidR="00F617E9" w:rsidRDefault="00000000">
      <w:pPr>
        <w:tabs>
          <w:tab w:val="right" w:pos="5843"/>
        </w:tabs>
        <w:spacing w:after="240"/>
        <w:ind w:firstLine="720"/>
        <w:rPr>
          <w:rFonts w:ascii="Book Antiqua" w:eastAsia="Book Antiqua" w:hAnsi="Book Antiqua" w:cs="Book Antiqua"/>
          <w:sz w:val="24"/>
          <w:szCs w:val="24"/>
        </w:rPr>
      </w:pPr>
      <w:r>
        <w:rPr>
          <w:rFonts w:ascii="Book Antiqua" w:eastAsia="Book Antiqua" w:hAnsi="Book Antiqua" w:cs="Book Antiqua"/>
          <w:sz w:val="24"/>
          <w:szCs w:val="24"/>
        </w:rPr>
        <w:t>Figure 4.1 Summary of Village Social Indicator Scores (2024)</w:t>
      </w:r>
    </w:p>
    <w:p w14:paraId="3081763F" w14:textId="77777777" w:rsidR="00F617E9" w:rsidRDefault="00000000">
      <w:pPr>
        <w:tabs>
          <w:tab w:val="right" w:pos="5843"/>
        </w:tabs>
        <w:spacing w:after="240"/>
        <w:ind w:firstLine="720"/>
        <w:rPr>
          <w:rFonts w:ascii="Book Antiqua" w:eastAsia="Book Antiqua" w:hAnsi="Book Antiqua" w:cs="Book Antiqua"/>
          <w:sz w:val="24"/>
          <w:szCs w:val="24"/>
        </w:rPr>
      </w:pPr>
      <w:r>
        <w:rPr>
          <w:rFonts w:ascii="Book Antiqua" w:eastAsia="Book Antiqua" w:hAnsi="Book Antiqua" w:cs="Book Antiqua"/>
          <w:sz w:val="24"/>
          <w:szCs w:val="24"/>
        </w:rPr>
        <w:t xml:space="preserve"> </w:t>
      </w:r>
      <w:r>
        <w:rPr>
          <w:rFonts w:ascii="Book Antiqua" w:eastAsia="Book Antiqua" w:hAnsi="Book Antiqua" w:cs="Book Antiqua"/>
          <w:noProof/>
          <w:sz w:val="24"/>
          <w:szCs w:val="24"/>
        </w:rPr>
        <w:drawing>
          <wp:inline distT="114300" distB="114300" distL="114300" distR="114300" wp14:anchorId="11B23F7D" wp14:editId="7E3A65D0">
            <wp:extent cx="4143375" cy="181927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3" name="image3.png"/>
                    <pic:cNvPicPr preferRelativeResize="0"/>
                  </pic:nvPicPr>
                  <pic:blipFill>
                    <a:blip r:embed="rId18"/>
                    <a:srcRect/>
                    <a:stretch>
                      <a:fillRect/>
                    </a:stretch>
                  </pic:blipFill>
                  <pic:spPr>
                    <a:xfrm>
                      <a:off x="0" y="0"/>
                      <a:ext cx="4143488" cy="1819275"/>
                    </a:xfrm>
                    <a:prstGeom prst="rect">
                      <a:avLst/>
                    </a:prstGeom>
                  </pic:spPr>
                </pic:pic>
              </a:graphicData>
            </a:graphic>
          </wp:inline>
        </w:drawing>
      </w:r>
    </w:p>
    <w:p w14:paraId="71A210E5" w14:textId="77777777" w:rsidR="00F617E9" w:rsidRDefault="00000000">
      <w:pPr>
        <w:tabs>
          <w:tab w:val="right" w:pos="5843"/>
        </w:tabs>
        <w:spacing w:after="240"/>
        <w:ind w:firstLine="720"/>
        <w:rPr>
          <w:rFonts w:ascii="Book Antiqua" w:eastAsia="Book Antiqua" w:hAnsi="Book Antiqua" w:cs="Book Antiqua"/>
          <w:sz w:val="24"/>
          <w:szCs w:val="24"/>
        </w:rPr>
      </w:pPr>
      <w:r>
        <w:rPr>
          <w:rFonts w:ascii="Book Antiqua" w:eastAsia="Book Antiqua" w:hAnsi="Book Antiqua" w:cs="Book Antiqua"/>
          <w:sz w:val="24"/>
          <w:szCs w:val="24"/>
        </w:rPr>
        <w:t>Figure 4.1 supports these findings by showing a comparison</w:t>
      </w:r>
    </w:p>
    <w:p w14:paraId="716F225D" w14:textId="77777777" w:rsidR="00F617E9" w:rsidRDefault="00000000">
      <w:pPr>
        <w:tabs>
          <w:tab w:val="right" w:pos="5843"/>
        </w:tabs>
        <w:spacing w:after="240"/>
        <w:ind w:firstLine="454"/>
        <w:rPr>
          <w:rFonts w:ascii="Times New Roman" w:eastAsia="Book Antiqua" w:hAnsi="Times New Roman" w:cs="Times New Roman"/>
          <w:sz w:val="24"/>
          <w:szCs w:val="24"/>
        </w:rPr>
      </w:pPr>
      <w:r>
        <w:rPr>
          <w:rFonts w:ascii="Times New Roman" w:eastAsia="Book Antiqua" w:hAnsi="Times New Roman" w:cs="Times New Roman"/>
          <w:sz w:val="24"/>
          <w:szCs w:val="24"/>
        </w:rPr>
        <w:t>Social Resilience Index (IKS) among villages in Bunga Raya District in 2024. The graph shows that the IKS values ​​for all villages ranged from 0.80 to 0.92, indicating a very good level of social resilience. Jati Baru Village had the highest score (0.92), followed by Kemuning Muda (0.8857), and Bunga Raya (0.8743). This condition illustrates that most villages have a strong social system, with the availability of basic services, adequate health and education facilities, and a high level of community participation in social activities.</w:t>
      </w:r>
    </w:p>
    <w:p w14:paraId="4F864FAE" w14:textId="77777777" w:rsidR="00F617E9" w:rsidRDefault="00000000">
      <w:pPr>
        <w:tabs>
          <w:tab w:val="right" w:pos="5843"/>
        </w:tabs>
        <w:spacing w:after="240"/>
        <w:ind w:firstLine="454"/>
        <w:rPr>
          <w:rFonts w:ascii="Times New Roman" w:eastAsia="Book Antiqua" w:hAnsi="Times New Roman" w:cs="Times New Roman"/>
          <w:color w:val="0070C0"/>
          <w:sz w:val="24"/>
          <w:szCs w:val="24"/>
        </w:rPr>
      </w:pPr>
      <w:r>
        <w:rPr>
          <w:rFonts w:ascii="Times New Roman" w:eastAsia="Book Antiqua" w:hAnsi="Times New Roman" w:cs="Times New Roman"/>
          <w:sz w:val="24"/>
          <w:szCs w:val="24"/>
        </w:rPr>
        <w:lastRenderedPageBreak/>
        <w:t>The small differences between IKS scores indicate relatively low social disparities between villages in Bunga Raya District, indicating a fairly even distribution of social development. This reinforces previous analysis that improving community social quality is a crucial foundation for strengthening the economic and environmental dimensions of villages, in accordance with the principles of sustainable development within the Village Development Index (IDM) framework.</w:t>
      </w:r>
    </w:p>
    <w:p w14:paraId="6EABB6D3" w14:textId="77777777" w:rsidR="00F617E9" w:rsidRDefault="00000000">
      <w:pPr>
        <w:numPr>
          <w:ilvl w:val="0"/>
          <w:numId w:val="3"/>
        </w:numPr>
        <w:tabs>
          <w:tab w:val="right" w:pos="5843"/>
        </w:tabs>
        <w:spacing w:before="240" w:after="240"/>
        <w:jc w:val="left"/>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Analysis of the Economic Resilience Index (IKE)</w:t>
      </w:r>
    </w:p>
    <w:p w14:paraId="4C91BD14" w14:textId="77777777" w:rsidR="00F617E9" w:rsidRDefault="00000000">
      <w:pPr>
        <w:tabs>
          <w:tab w:val="right" w:pos="5843"/>
        </w:tabs>
        <w:spacing w:before="140"/>
        <w:ind w:left="20"/>
        <w:jc w:val="center"/>
        <w:rPr>
          <w:rFonts w:ascii="Times New Roman" w:eastAsia="Book Antiqua" w:hAnsi="Times New Roman" w:cs="Times New Roman"/>
          <w:sz w:val="24"/>
          <w:szCs w:val="24"/>
        </w:rPr>
      </w:pPr>
      <w:r>
        <w:rPr>
          <w:rFonts w:ascii="Times New Roman" w:eastAsia="Book Antiqua" w:hAnsi="Times New Roman" w:cs="Times New Roman"/>
          <w:sz w:val="24"/>
          <w:szCs w:val="24"/>
        </w:rPr>
        <w:t>Figure 4.2 Summary of Socio-Economic Indicator Scores (2024)</w:t>
      </w:r>
    </w:p>
    <w:p w14:paraId="0E0F8EFF" w14:textId="77777777" w:rsidR="00F617E9" w:rsidRDefault="00000000">
      <w:pPr>
        <w:tabs>
          <w:tab w:val="right" w:pos="5843"/>
        </w:tabs>
        <w:spacing w:before="240" w:after="240"/>
        <w:jc w:val="center"/>
        <w:rPr>
          <w:rFonts w:ascii="Times New Roman" w:eastAsia="Book Antiqua" w:hAnsi="Times New Roman" w:cs="Times New Roman"/>
          <w:sz w:val="24"/>
          <w:szCs w:val="24"/>
        </w:rPr>
      </w:pPr>
      <w:r>
        <w:rPr>
          <w:rFonts w:ascii="Times New Roman" w:eastAsia="Book Antiqua" w:hAnsi="Times New Roman" w:cs="Times New Roman"/>
          <w:noProof/>
          <w:sz w:val="24"/>
          <w:szCs w:val="24"/>
        </w:rPr>
        <w:drawing>
          <wp:inline distT="114300" distB="114300" distL="114300" distR="114300" wp14:anchorId="2160E0BD" wp14:editId="1C9A7606">
            <wp:extent cx="5041900" cy="2832100"/>
            <wp:effectExtent l="0" t="0" r="0" b="0"/>
            <wp:docPr id="2" name="image1.gif"/>
            <wp:cNvGraphicFramePr/>
            <a:graphic xmlns:a="http://schemas.openxmlformats.org/drawingml/2006/main">
              <a:graphicData uri="http://schemas.openxmlformats.org/drawingml/2006/picture">
                <pic:pic xmlns:pic="http://schemas.openxmlformats.org/drawingml/2006/picture">
                  <pic:nvPicPr>
                    <pic:cNvPr id="2" name="image1.gif"/>
                    <pic:cNvPicPr preferRelativeResize="0"/>
                  </pic:nvPicPr>
                  <pic:blipFill>
                    <a:blip r:embed="rId19"/>
                    <a:srcRect/>
                    <a:stretch>
                      <a:fillRect/>
                    </a:stretch>
                  </pic:blipFill>
                  <pic:spPr>
                    <a:xfrm>
                      <a:off x="0" y="0"/>
                      <a:ext cx="5041900" cy="2832100"/>
                    </a:xfrm>
                    <a:prstGeom prst="rect">
                      <a:avLst/>
                    </a:prstGeom>
                  </pic:spPr>
                </pic:pic>
              </a:graphicData>
            </a:graphic>
          </wp:inline>
        </w:drawing>
      </w:r>
    </w:p>
    <w:p w14:paraId="05ED813E" w14:textId="77777777" w:rsidR="00F617E9" w:rsidRDefault="00000000">
      <w:pPr>
        <w:tabs>
          <w:tab w:val="right" w:pos="5843"/>
        </w:tabs>
        <w:spacing w:before="240" w:after="240"/>
        <w:ind w:firstLine="720"/>
        <w:rPr>
          <w:rFonts w:ascii="Times New Roman" w:eastAsia="Book Antiqua" w:hAnsi="Times New Roman" w:cs="Times New Roman"/>
          <w:sz w:val="24"/>
          <w:szCs w:val="24"/>
        </w:rPr>
      </w:pPr>
      <w:r>
        <w:rPr>
          <w:rFonts w:ascii="Times New Roman" w:eastAsia="Book Antiqua" w:hAnsi="Times New Roman" w:cs="Times New Roman"/>
          <w:sz w:val="24"/>
          <w:szCs w:val="24"/>
        </w:rPr>
        <w:t>Figure 4.2 shows the distribution of the Economic Resilience Index (IKE)</w:t>
      </w:r>
    </w:p>
    <w:p w14:paraId="0383C845" w14:textId="77777777" w:rsidR="00F617E9" w:rsidRDefault="00000000">
      <w:pPr>
        <w:tabs>
          <w:tab w:val="right" w:pos="5843"/>
        </w:tabs>
        <w:spacing w:before="240" w:after="240"/>
        <w:ind w:firstLine="720"/>
        <w:rPr>
          <w:rFonts w:ascii="Times New Roman" w:eastAsia="Book Antiqua" w:hAnsi="Times New Roman" w:cs="Times New Roman"/>
          <w:sz w:val="24"/>
          <w:szCs w:val="24"/>
        </w:rPr>
      </w:pPr>
      <w:r>
        <w:rPr>
          <w:rFonts w:ascii="Times New Roman" w:eastAsia="Book Antiqua" w:hAnsi="Times New Roman" w:cs="Times New Roman"/>
          <w:sz w:val="24"/>
          <w:szCs w:val="24"/>
        </w:rPr>
        <w:t>Eight villages in Bunga Raya District, based on 2024 IDM data. Overall, the graph shows that all villages have relatively high IKE scores (ranging from 0.63 to 0.92), indicating good local economic capacity and community resilience in maintaining livelihoods. Bunga Raya Village ranks highest with a score of 0.9167, indicating strong economic sector dominance, primarily due to infrastructure support, market access, and the active role of village economic institutions (</w:t>
      </w:r>
      <w:proofErr w:type="spellStart"/>
      <w:r>
        <w:rPr>
          <w:rFonts w:ascii="Times New Roman" w:eastAsia="Book Antiqua" w:hAnsi="Times New Roman" w:cs="Times New Roman"/>
          <w:sz w:val="24"/>
          <w:szCs w:val="24"/>
        </w:rPr>
        <w:t>BUMDes</w:t>
      </w:r>
      <w:proofErr w:type="spellEnd"/>
      <w:r>
        <w:rPr>
          <w:rFonts w:ascii="Times New Roman" w:eastAsia="Book Antiqua" w:hAnsi="Times New Roman" w:cs="Times New Roman"/>
          <w:sz w:val="24"/>
          <w:szCs w:val="24"/>
        </w:rPr>
        <w:t xml:space="preserve">). This is in line with its status as the </w:t>
      </w:r>
      <w:proofErr w:type="spellStart"/>
      <w:r>
        <w:rPr>
          <w:rFonts w:ascii="Times New Roman" w:eastAsia="Book Antiqua" w:hAnsi="Times New Roman" w:cs="Times New Roman"/>
          <w:sz w:val="24"/>
          <w:szCs w:val="24"/>
        </w:rPr>
        <w:t>center</w:t>
      </w:r>
      <w:proofErr w:type="spellEnd"/>
      <w:r>
        <w:rPr>
          <w:rFonts w:ascii="Times New Roman" w:eastAsia="Book Antiqua" w:hAnsi="Times New Roman" w:cs="Times New Roman"/>
          <w:sz w:val="24"/>
          <w:szCs w:val="24"/>
        </w:rPr>
        <w:t xml:space="preserve"> of sub-district economic activity.</w:t>
      </w:r>
    </w:p>
    <w:p w14:paraId="71A6C100" w14:textId="77777777" w:rsidR="00F617E9" w:rsidRDefault="00000000">
      <w:pPr>
        <w:tabs>
          <w:tab w:val="right" w:pos="5843"/>
        </w:tabs>
        <w:spacing w:before="240" w:after="240"/>
        <w:ind w:firstLine="454"/>
        <w:rPr>
          <w:rFonts w:ascii="Times New Roman" w:eastAsia="Book Antiqua" w:hAnsi="Times New Roman" w:cs="Times New Roman"/>
          <w:sz w:val="24"/>
          <w:szCs w:val="24"/>
        </w:rPr>
      </w:pPr>
      <w:proofErr w:type="spellStart"/>
      <w:r>
        <w:rPr>
          <w:rFonts w:ascii="Times New Roman" w:eastAsia="Book Antiqua" w:hAnsi="Times New Roman" w:cs="Times New Roman"/>
          <w:sz w:val="24"/>
          <w:szCs w:val="24"/>
        </w:rPr>
        <w:t>Temusai</w:t>
      </w:r>
      <w:proofErr w:type="spellEnd"/>
      <w:r>
        <w:rPr>
          <w:rFonts w:ascii="Times New Roman" w:eastAsia="Book Antiqua" w:hAnsi="Times New Roman" w:cs="Times New Roman"/>
          <w:sz w:val="24"/>
          <w:szCs w:val="24"/>
        </w:rPr>
        <w:t xml:space="preserve"> Village ranked second (0.8833), showing a significant improvement compared to the 2022 measurement. This is believed to be influenced by increased access to microfinance institutions and optimization of the inland fisheries and local trade sectors. Langsat </w:t>
      </w:r>
      <w:proofErr w:type="spellStart"/>
      <w:r>
        <w:rPr>
          <w:rFonts w:ascii="Times New Roman" w:eastAsia="Book Antiqua" w:hAnsi="Times New Roman" w:cs="Times New Roman"/>
          <w:sz w:val="24"/>
          <w:szCs w:val="24"/>
        </w:rPr>
        <w:t>Permai</w:t>
      </w:r>
      <w:proofErr w:type="spellEnd"/>
      <w:r>
        <w:rPr>
          <w:rFonts w:ascii="Times New Roman" w:eastAsia="Book Antiqua" w:hAnsi="Times New Roman" w:cs="Times New Roman"/>
          <w:sz w:val="24"/>
          <w:szCs w:val="24"/>
        </w:rPr>
        <w:t xml:space="preserve"> Village (0.8167) also demonstrated high performance thanks to stable economic activity and effective agricultural management. Conversely, Kemuning Muda Village (0.6333) remains at the bottom of the economic resilience rankings. This score indicates limitations in business diversification and access to markets and financing institutions.</w:t>
      </w:r>
    </w:p>
    <w:p w14:paraId="25471736" w14:textId="77777777" w:rsidR="00F617E9" w:rsidRDefault="00000000">
      <w:pPr>
        <w:tabs>
          <w:tab w:val="right" w:pos="5843"/>
        </w:tabs>
        <w:spacing w:before="240" w:after="240"/>
        <w:ind w:firstLine="454"/>
        <w:rPr>
          <w:rFonts w:ascii="Times New Roman" w:eastAsia="Book Antiqua" w:hAnsi="Times New Roman" w:cs="Times New Roman"/>
          <w:sz w:val="24"/>
          <w:szCs w:val="24"/>
        </w:rPr>
      </w:pPr>
      <w:r>
        <w:rPr>
          <w:rFonts w:ascii="Times New Roman" w:eastAsia="Book Antiqua" w:hAnsi="Times New Roman" w:cs="Times New Roman"/>
          <w:sz w:val="24"/>
          <w:szCs w:val="24"/>
        </w:rPr>
        <w:t>The differences between villages in this graph reflect the varying levels of adaptability and economic innovation among rural communities. Villages with high IKE scores have generally been able to capitalize on local potential through diverse production systems supported by adequate economic infrastructure. Meanwhile, villages with lower IKE scores require support from village economic development policies, particularly in terms of improving road infrastructure, developing village markets, and strengthening community economic institutions.</w:t>
      </w:r>
    </w:p>
    <w:p w14:paraId="33522FFC" w14:textId="77777777" w:rsidR="00F617E9" w:rsidRDefault="00000000">
      <w:pPr>
        <w:tabs>
          <w:tab w:val="right" w:pos="5843"/>
        </w:tabs>
        <w:spacing w:before="240" w:after="240"/>
        <w:ind w:firstLine="454"/>
        <w:rPr>
          <w:rFonts w:ascii="Times New Roman" w:eastAsia="Times New Roman" w:hAnsi="Times New Roman" w:cs="Times New Roman"/>
          <w:color w:val="0070C0"/>
          <w:sz w:val="24"/>
          <w:szCs w:val="24"/>
        </w:rPr>
      </w:pPr>
      <w:r>
        <w:rPr>
          <w:rFonts w:ascii="Times New Roman" w:eastAsia="Book Antiqua" w:hAnsi="Times New Roman" w:cs="Times New Roman"/>
          <w:sz w:val="24"/>
          <w:szCs w:val="24"/>
        </w:rPr>
        <w:lastRenderedPageBreak/>
        <w:t>Overall, the results depicted in Figure 4.2 confirm that the economic resilience of villages in Bunga Raya District has experienced a positive increase compared to the previous year, but there are still gaps between regions that need to be addressed through more equitable development interventions oriented towards strengthening local economic capacity.</w:t>
      </w:r>
    </w:p>
    <w:p w14:paraId="7307A751" w14:textId="77777777" w:rsidR="00F617E9" w:rsidRDefault="00000000">
      <w:pPr>
        <w:numPr>
          <w:ilvl w:val="0"/>
          <w:numId w:val="3"/>
        </w:numPr>
        <w:tabs>
          <w:tab w:val="right" w:pos="5843"/>
        </w:tabs>
        <w:spacing w:before="240" w:after="240"/>
        <w:jc w:val="left"/>
        <w:rPr>
          <w:rFonts w:ascii="Book Antiqua" w:eastAsia="Book Antiqua" w:hAnsi="Book Antiqua" w:cs="Book Antiqua"/>
          <w:bCs/>
          <w:i/>
          <w:iCs/>
          <w:sz w:val="24"/>
          <w:szCs w:val="24"/>
        </w:rPr>
      </w:pPr>
      <w:r>
        <w:rPr>
          <w:rFonts w:ascii="Book Antiqua" w:eastAsia="Book Antiqua" w:hAnsi="Book Antiqua" w:cs="Book Antiqua"/>
          <w:bCs/>
          <w:i/>
          <w:iCs/>
          <w:sz w:val="24"/>
          <w:szCs w:val="24"/>
        </w:rPr>
        <w:t>Environmental Resilience Index (IKL) Analysis</w:t>
      </w:r>
    </w:p>
    <w:p w14:paraId="07AAC74A" w14:textId="77777777" w:rsidR="00F617E9" w:rsidRDefault="00000000">
      <w:pPr>
        <w:tabs>
          <w:tab w:val="right" w:pos="5843"/>
        </w:tabs>
        <w:spacing w:before="240" w:after="240"/>
        <w:jc w:val="center"/>
        <w:rPr>
          <w:rFonts w:ascii="Book Antiqua" w:eastAsia="Book Antiqua" w:hAnsi="Book Antiqua" w:cs="Book Antiqua"/>
          <w:sz w:val="24"/>
          <w:szCs w:val="24"/>
        </w:rPr>
      </w:pPr>
      <w:r>
        <w:rPr>
          <w:rFonts w:ascii="Book Antiqua" w:eastAsia="Book Antiqua" w:hAnsi="Book Antiqua" w:cs="Book Antiqua"/>
          <w:sz w:val="24"/>
          <w:szCs w:val="24"/>
        </w:rPr>
        <w:t>Figure 4.3 Environmental Resilience Index (IKL) in 2024</w:t>
      </w:r>
    </w:p>
    <w:p w14:paraId="3DAC14E9" w14:textId="77777777" w:rsidR="00F617E9" w:rsidRDefault="00000000">
      <w:pPr>
        <w:tabs>
          <w:tab w:val="right" w:pos="5843"/>
        </w:tabs>
        <w:spacing w:before="240" w:after="240"/>
        <w:jc w:val="center"/>
        <w:rPr>
          <w:rFonts w:ascii="Book Antiqua" w:eastAsia="Book Antiqua" w:hAnsi="Book Antiqua" w:cs="Book Antiqua"/>
          <w:sz w:val="24"/>
          <w:szCs w:val="24"/>
        </w:rPr>
      </w:pPr>
      <w:r>
        <w:rPr>
          <w:rFonts w:ascii="Book Antiqua" w:eastAsia="Book Antiqua" w:hAnsi="Book Antiqua" w:cs="Book Antiqua"/>
          <w:noProof/>
          <w:sz w:val="24"/>
          <w:szCs w:val="24"/>
        </w:rPr>
        <w:drawing>
          <wp:inline distT="114300" distB="114300" distL="114300" distR="114300" wp14:anchorId="6CAE82F8" wp14:editId="7DE3462C">
            <wp:extent cx="5041900" cy="2832100"/>
            <wp:effectExtent l="0" t="0" r="0" b="0"/>
            <wp:docPr id="1" name="image2.gif"/>
            <wp:cNvGraphicFramePr/>
            <a:graphic xmlns:a="http://schemas.openxmlformats.org/drawingml/2006/main">
              <a:graphicData uri="http://schemas.openxmlformats.org/drawingml/2006/picture">
                <pic:pic xmlns:pic="http://schemas.openxmlformats.org/drawingml/2006/picture">
                  <pic:nvPicPr>
                    <pic:cNvPr id="1" name="image2.gif"/>
                    <pic:cNvPicPr preferRelativeResize="0"/>
                  </pic:nvPicPr>
                  <pic:blipFill>
                    <a:blip r:embed="rId20"/>
                    <a:srcRect/>
                    <a:stretch>
                      <a:fillRect/>
                    </a:stretch>
                  </pic:blipFill>
                  <pic:spPr>
                    <a:xfrm>
                      <a:off x="0" y="0"/>
                      <a:ext cx="5041900" cy="2832100"/>
                    </a:xfrm>
                    <a:prstGeom prst="rect">
                      <a:avLst/>
                    </a:prstGeom>
                  </pic:spPr>
                </pic:pic>
              </a:graphicData>
            </a:graphic>
          </wp:inline>
        </w:drawing>
      </w:r>
    </w:p>
    <w:p w14:paraId="0DAAFCE0" w14:textId="77777777" w:rsidR="00F617E9" w:rsidRDefault="00000000">
      <w:pPr>
        <w:tabs>
          <w:tab w:val="right" w:pos="5843"/>
        </w:tabs>
        <w:spacing w:before="240" w:after="240"/>
        <w:ind w:firstLine="720"/>
        <w:rPr>
          <w:rFonts w:ascii="Book Antiqua" w:eastAsia="Book Antiqua" w:hAnsi="Book Antiqua" w:cs="Book Antiqua"/>
          <w:sz w:val="24"/>
          <w:szCs w:val="24"/>
        </w:rPr>
      </w:pPr>
      <w:r>
        <w:rPr>
          <w:rFonts w:ascii="Book Antiqua" w:eastAsia="Book Antiqua" w:hAnsi="Book Antiqua" w:cs="Book Antiqua"/>
          <w:sz w:val="24"/>
          <w:szCs w:val="24"/>
        </w:rPr>
        <w:t>Figure 4.3 shows the Environmental Resilience Index (IKL) value</w:t>
      </w:r>
    </w:p>
    <w:p w14:paraId="73B3C2C3" w14:textId="77777777" w:rsidR="00F617E9" w:rsidRDefault="00000000">
      <w:pPr>
        <w:tabs>
          <w:tab w:val="right" w:pos="5843"/>
        </w:tabs>
        <w:spacing w:before="240" w:after="240"/>
        <w:ind w:firstLine="454"/>
        <w:rPr>
          <w:rFonts w:ascii="Times New Roman" w:eastAsia="Book Antiqua" w:hAnsi="Times New Roman" w:cs="Times New Roman"/>
          <w:sz w:val="24"/>
          <w:szCs w:val="24"/>
        </w:rPr>
      </w:pPr>
      <w:r>
        <w:rPr>
          <w:rFonts w:ascii="Times New Roman" w:eastAsia="Book Antiqua" w:hAnsi="Times New Roman" w:cs="Times New Roman"/>
          <w:sz w:val="24"/>
          <w:szCs w:val="24"/>
        </w:rPr>
        <w:t>For eight villages in Bunga Raya District, based on 2024 HDI data, all villages showed high and relatively even IKL values, ranging from 0.93 to 1.00. This indicates that each village has a good level of awareness and adaptive capacity to environmental risks and natural disasters that have the potential to disrupt the sustainability of community socio-economic activities.</w:t>
      </w:r>
    </w:p>
    <w:p w14:paraId="5243A52E" w14:textId="77777777" w:rsidR="00F617E9" w:rsidRDefault="00000000">
      <w:pPr>
        <w:tabs>
          <w:tab w:val="right" w:pos="5843"/>
        </w:tabs>
        <w:spacing w:before="240" w:after="240"/>
        <w:ind w:firstLine="454"/>
        <w:rPr>
          <w:rFonts w:ascii="Times New Roman" w:eastAsia="Book Antiqua" w:hAnsi="Times New Roman" w:cs="Times New Roman"/>
          <w:sz w:val="24"/>
          <w:szCs w:val="24"/>
        </w:rPr>
      </w:pPr>
      <w:r>
        <w:rPr>
          <w:rFonts w:ascii="Times New Roman" w:eastAsia="Book Antiqua" w:hAnsi="Times New Roman" w:cs="Times New Roman"/>
          <w:sz w:val="24"/>
          <w:szCs w:val="24"/>
        </w:rPr>
        <w:t xml:space="preserve">Langsat </w:t>
      </w:r>
      <w:proofErr w:type="spellStart"/>
      <w:r>
        <w:rPr>
          <w:rFonts w:ascii="Times New Roman" w:eastAsia="Book Antiqua" w:hAnsi="Times New Roman" w:cs="Times New Roman"/>
          <w:sz w:val="24"/>
          <w:szCs w:val="24"/>
        </w:rPr>
        <w:t>Permai</w:t>
      </w:r>
      <w:proofErr w:type="spellEnd"/>
      <w:r>
        <w:rPr>
          <w:rFonts w:ascii="Times New Roman" w:eastAsia="Book Antiqua" w:hAnsi="Times New Roman" w:cs="Times New Roman"/>
          <w:sz w:val="24"/>
          <w:szCs w:val="24"/>
        </w:rPr>
        <w:t xml:space="preserve"> and Tuah </w:t>
      </w:r>
      <w:proofErr w:type="spellStart"/>
      <w:r>
        <w:rPr>
          <w:rFonts w:ascii="Times New Roman" w:eastAsia="Book Antiqua" w:hAnsi="Times New Roman" w:cs="Times New Roman"/>
          <w:sz w:val="24"/>
          <w:szCs w:val="24"/>
        </w:rPr>
        <w:t>Indrapura</w:t>
      </w:r>
      <w:proofErr w:type="spellEnd"/>
      <w:r>
        <w:rPr>
          <w:rFonts w:ascii="Times New Roman" w:eastAsia="Book Antiqua" w:hAnsi="Times New Roman" w:cs="Times New Roman"/>
          <w:sz w:val="24"/>
          <w:szCs w:val="24"/>
        </w:rPr>
        <w:t xml:space="preserve"> villages scored the highest (1.00), indicating excellent environmental resilience. This indicates that both villages have effective environmental management systems, including wetland conservation, waste management, and disaster preparedness. Furthermore, these results reflect the village government's success in implementing environmentally conscious development policies and active community participation in inland water ecosystem conservation activities.</w:t>
      </w:r>
    </w:p>
    <w:p w14:paraId="0824B6BF" w14:textId="77777777" w:rsidR="00F617E9" w:rsidRDefault="00000000">
      <w:pPr>
        <w:tabs>
          <w:tab w:val="right" w:pos="5843"/>
        </w:tabs>
        <w:spacing w:before="240" w:after="240"/>
        <w:ind w:firstLine="454"/>
        <w:rPr>
          <w:rFonts w:ascii="Times New Roman" w:eastAsia="Book Antiqua" w:hAnsi="Times New Roman" w:cs="Times New Roman"/>
          <w:sz w:val="24"/>
          <w:szCs w:val="24"/>
        </w:rPr>
      </w:pPr>
      <w:r>
        <w:rPr>
          <w:rFonts w:ascii="Times New Roman" w:eastAsia="Book Antiqua" w:hAnsi="Times New Roman" w:cs="Times New Roman"/>
          <w:sz w:val="24"/>
          <w:szCs w:val="24"/>
        </w:rPr>
        <w:t xml:space="preserve">Meanwhile, other villages such as Bunga Raya, Dayang Suri, Jati Baru, Kemuning Muda, Langsat </w:t>
      </w:r>
      <w:proofErr w:type="spellStart"/>
      <w:r>
        <w:rPr>
          <w:rFonts w:ascii="Times New Roman" w:eastAsia="Book Antiqua" w:hAnsi="Times New Roman" w:cs="Times New Roman"/>
          <w:sz w:val="24"/>
          <w:szCs w:val="24"/>
        </w:rPr>
        <w:t>Permai</w:t>
      </w:r>
      <w:proofErr w:type="spellEnd"/>
      <w:r>
        <w:rPr>
          <w:rFonts w:ascii="Times New Roman" w:eastAsia="Book Antiqua" w:hAnsi="Times New Roman" w:cs="Times New Roman"/>
          <w:sz w:val="24"/>
          <w:szCs w:val="24"/>
        </w:rPr>
        <w:t xml:space="preserve">, and </w:t>
      </w:r>
      <w:proofErr w:type="spellStart"/>
      <w:r>
        <w:rPr>
          <w:rFonts w:ascii="Times New Roman" w:eastAsia="Book Antiqua" w:hAnsi="Times New Roman" w:cs="Times New Roman"/>
          <w:sz w:val="24"/>
          <w:szCs w:val="24"/>
        </w:rPr>
        <w:t>Temusai</w:t>
      </w:r>
      <w:proofErr w:type="spellEnd"/>
      <w:r>
        <w:rPr>
          <w:rFonts w:ascii="Times New Roman" w:eastAsia="Book Antiqua" w:hAnsi="Times New Roman" w:cs="Times New Roman"/>
          <w:sz w:val="24"/>
          <w:szCs w:val="24"/>
        </w:rPr>
        <w:t xml:space="preserve"> continue to show high IKL scores (≥0.93), indicating stable and controlled environmental conditions. The equality of scores shown in this graph indicates that, in general, there are no significant gaps between villages in environmental dimensions. Therefore, Bunga Raya District as a whole can be categorized as an area with high environmental resilience, where aspects of conservation, preparedness, and disaster mitigation are well-functioning.</w:t>
      </w:r>
    </w:p>
    <w:p w14:paraId="0383797C" w14:textId="77777777" w:rsidR="00F617E9" w:rsidRDefault="00000000">
      <w:pPr>
        <w:tabs>
          <w:tab w:val="right" w:pos="5843"/>
        </w:tabs>
        <w:spacing w:before="240" w:after="240"/>
        <w:ind w:firstLine="454"/>
        <w:rPr>
          <w:rFonts w:ascii="Times New Roman" w:eastAsia="Book Antiqua" w:hAnsi="Times New Roman" w:cs="Times New Roman"/>
          <w:sz w:val="24"/>
          <w:szCs w:val="24"/>
        </w:rPr>
      </w:pPr>
      <w:r>
        <w:rPr>
          <w:rFonts w:ascii="Times New Roman" w:eastAsia="Book Antiqua" w:hAnsi="Times New Roman" w:cs="Times New Roman"/>
          <w:sz w:val="24"/>
          <w:szCs w:val="24"/>
        </w:rPr>
        <w:t xml:space="preserve">These findings reinforce the argument that successful environmental development at the village level is closely linked to collaboration between communities, village governments, and other local institutions in maintaining the quality of natural resources and reducing the risk of </w:t>
      </w:r>
      <w:r>
        <w:rPr>
          <w:rFonts w:ascii="Times New Roman" w:eastAsia="Book Antiqua" w:hAnsi="Times New Roman" w:cs="Times New Roman"/>
          <w:sz w:val="24"/>
          <w:szCs w:val="24"/>
        </w:rPr>
        <w:lastRenderedPageBreak/>
        <w:t>environmental damage. This aligns with the Sustainable Development Goals (SDGs), particularly points 13 (Addressing Climate Change) and 15 (Maintaining Terrestrial Ecosystems).</w:t>
      </w:r>
    </w:p>
    <w:p w14:paraId="65D83115" w14:textId="77777777" w:rsidR="00F617E9" w:rsidRDefault="00F617E9">
      <w:pPr>
        <w:tabs>
          <w:tab w:val="right" w:pos="5843"/>
        </w:tabs>
        <w:ind w:firstLine="454"/>
        <w:rPr>
          <w:rFonts w:ascii="Calibri" w:eastAsia="Calibri" w:hAnsi="Calibri" w:cs="Calibri"/>
          <w:color w:val="000000"/>
          <w:sz w:val="22"/>
          <w:szCs w:val="22"/>
        </w:rPr>
      </w:pPr>
    </w:p>
    <w:p w14:paraId="31DFE4D2" w14:textId="77777777" w:rsidR="00F617E9" w:rsidRDefault="00000000">
      <w:pPr>
        <w:pStyle w:val="Heading1"/>
        <w:numPr>
          <w:ilvl w:val="0"/>
          <w:numId w:val="1"/>
        </w:numPr>
        <w:ind w:left="454" w:hanging="454"/>
        <w:rPr>
          <w:rFonts w:ascii="Book Antiqua" w:hAnsi="Book Antiqua"/>
        </w:rPr>
      </w:pPr>
      <w:r>
        <w:rPr>
          <w:rFonts w:ascii="Book Antiqua" w:eastAsia="Times New Roman" w:hAnsi="Book Antiqua" w:cs="Times New Roman"/>
          <w:sz w:val="24"/>
          <w:szCs w:val="24"/>
        </w:rPr>
        <w:t>CONCLUSION</w:t>
      </w:r>
    </w:p>
    <w:p w14:paraId="755A1F3B" w14:textId="77777777" w:rsidR="00F617E9" w:rsidRDefault="00000000">
      <w:pPr>
        <w:tabs>
          <w:tab w:val="right" w:pos="5843"/>
        </w:tabs>
        <w:spacing w:before="240" w:after="240"/>
        <w:ind w:firstLine="454"/>
        <w:rPr>
          <w:rFonts w:ascii="Times New Roman" w:eastAsia="Book Antiqua" w:hAnsi="Times New Roman" w:cs="Times New Roman"/>
          <w:sz w:val="24"/>
          <w:szCs w:val="24"/>
        </w:rPr>
      </w:pPr>
      <w:r>
        <w:rPr>
          <w:rFonts w:ascii="Times New Roman" w:eastAsia="Book Antiqua" w:hAnsi="Times New Roman" w:cs="Times New Roman"/>
          <w:sz w:val="24"/>
          <w:szCs w:val="24"/>
        </w:rPr>
        <w:t>Based on the analysis of the 2024 Village Development Index (IDM) data for eight villages in Bunga Raya District, Siak Regency, it can be concluded that all villages have generally achieved "Independent Village" status, with an IDM score above 0.8. This achievement indicates that village development in the region has moved toward a sustainable balance between social, economic, and environmental dimensions.</w:t>
      </w:r>
    </w:p>
    <w:p w14:paraId="1D6D1D90" w14:textId="77777777" w:rsidR="00F617E9" w:rsidRDefault="00000000">
      <w:pPr>
        <w:tabs>
          <w:tab w:val="right" w:pos="5843"/>
        </w:tabs>
        <w:spacing w:before="240" w:after="240"/>
        <w:ind w:firstLine="454"/>
        <w:rPr>
          <w:rFonts w:ascii="Times New Roman" w:eastAsia="Book Antiqua" w:hAnsi="Times New Roman" w:cs="Times New Roman"/>
          <w:sz w:val="24"/>
          <w:szCs w:val="24"/>
        </w:rPr>
      </w:pPr>
      <w:r>
        <w:rPr>
          <w:rFonts w:ascii="Times New Roman" w:eastAsia="Book Antiqua" w:hAnsi="Times New Roman" w:cs="Times New Roman"/>
          <w:sz w:val="24"/>
          <w:szCs w:val="24"/>
        </w:rPr>
        <w:t xml:space="preserve">From the results of measurements of the three main dimensions of the IDM, it is clear that the social dimension (IKS) has a relatively high and evenly distributed value across all villages, indicating strong community participation, the availability of good basic services, and solid social capacity. The economic dimension (IKE) shows greater variation between villages, with the highest value being in Bunga Raya Village (0.9167), followed by </w:t>
      </w:r>
      <w:proofErr w:type="spellStart"/>
      <w:r>
        <w:rPr>
          <w:rFonts w:ascii="Times New Roman" w:eastAsia="Book Antiqua" w:hAnsi="Times New Roman" w:cs="Times New Roman"/>
          <w:sz w:val="24"/>
          <w:szCs w:val="24"/>
        </w:rPr>
        <w:t>Temusai</w:t>
      </w:r>
      <w:proofErr w:type="spellEnd"/>
      <w:r>
        <w:rPr>
          <w:rFonts w:ascii="Times New Roman" w:eastAsia="Book Antiqua" w:hAnsi="Times New Roman" w:cs="Times New Roman"/>
          <w:sz w:val="24"/>
          <w:szCs w:val="24"/>
        </w:rPr>
        <w:t xml:space="preserve"> (0.8833) and Langsat </w:t>
      </w:r>
      <w:proofErr w:type="spellStart"/>
      <w:r>
        <w:rPr>
          <w:rFonts w:ascii="Times New Roman" w:eastAsia="Book Antiqua" w:hAnsi="Times New Roman" w:cs="Times New Roman"/>
          <w:sz w:val="24"/>
          <w:szCs w:val="24"/>
        </w:rPr>
        <w:t>Permai</w:t>
      </w:r>
      <w:proofErr w:type="spellEnd"/>
      <w:r>
        <w:rPr>
          <w:rFonts w:ascii="Times New Roman" w:eastAsia="Book Antiqua" w:hAnsi="Times New Roman" w:cs="Times New Roman"/>
          <w:sz w:val="24"/>
          <w:szCs w:val="24"/>
        </w:rPr>
        <w:t xml:space="preserve"> (0.8167). This indicates differences in the level of access to markets, financial institutions, and local economic infrastructure. Meanwhile, the environmental dimension (IKL) shows a very high score (0.93–1.00) and is relatively uniform across villages, reflecting ecological awareness and good environmental management.</w:t>
      </w:r>
    </w:p>
    <w:p w14:paraId="7E13CBFD" w14:textId="77777777" w:rsidR="00F617E9" w:rsidRDefault="00000000">
      <w:pPr>
        <w:tabs>
          <w:tab w:val="right" w:pos="5843"/>
        </w:tabs>
        <w:spacing w:before="240" w:after="240"/>
        <w:ind w:firstLine="454"/>
        <w:rPr>
          <w:rFonts w:ascii="Times New Roman" w:eastAsia="Times New Roman" w:hAnsi="Times New Roman" w:cs="Times New Roman"/>
          <w:color w:val="0070C0"/>
          <w:sz w:val="24"/>
          <w:szCs w:val="24"/>
        </w:rPr>
      </w:pPr>
      <w:r>
        <w:rPr>
          <w:rFonts w:ascii="Times New Roman" w:eastAsia="Book Antiqua" w:hAnsi="Times New Roman" w:cs="Times New Roman"/>
          <w:sz w:val="24"/>
          <w:szCs w:val="24"/>
        </w:rPr>
        <w:t>In aggregate, the high HDI scores across all villages demonstrate the successful implementation of data-driven development policies driven by the Ministry of Villages, Development of Disadvantaged Regions, and Transmigration (</w:t>
      </w:r>
      <w:proofErr w:type="spellStart"/>
      <w:r>
        <w:rPr>
          <w:rFonts w:ascii="Times New Roman" w:eastAsia="Book Antiqua" w:hAnsi="Times New Roman" w:cs="Times New Roman"/>
          <w:sz w:val="24"/>
          <w:szCs w:val="24"/>
        </w:rPr>
        <w:t>Kemendes</w:t>
      </w:r>
      <w:proofErr w:type="spellEnd"/>
      <w:r>
        <w:rPr>
          <w:rFonts w:ascii="Times New Roman" w:eastAsia="Book Antiqua" w:hAnsi="Times New Roman" w:cs="Times New Roman"/>
          <w:sz w:val="24"/>
          <w:szCs w:val="24"/>
        </w:rPr>
        <w:t xml:space="preserve"> PDTT). These findings also demonstrate that development in Bunga Raya District aligns with the principles of the Village Sustainable Development Goals (SDGs), particularly those aimed at improving welfare, reducing inequality, and preserving the environment.</w:t>
      </w:r>
    </w:p>
    <w:p w14:paraId="5885AF55" w14:textId="77777777" w:rsidR="00F617E9" w:rsidRDefault="00000000">
      <w:pPr>
        <w:tabs>
          <w:tab w:val="right" w:pos="5843"/>
        </w:tabs>
        <w:spacing w:before="240" w:after="240" w:line="360" w:lineRule="auto"/>
        <w:ind w:firstLine="720"/>
        <w:rPr>
          <w:rFonts w:ascii="Times New Roman" w:hAnsi="Times New Roman" w:cs="Times New Roman"/>
          <w:sz w:val="24"/>
          <w:szCs w:val="24"/>
        </w:rPr>
      </w:pPr>
      <w:r>
        <w:rPr>
          <w:rFonts w:ascii="Times New Roman" w:eastAsia="Times New Roman" w:hAnsi="Times New Roman" w:cs="Times New Roman"/>
          <w:i/>
          <w:color w:val="000000"/>
          <w:sz w:val="24"/>
          <w:szCs w:val="24"/>
        </w:rPr>
        <w:t>Addition</w:t>
      </w:r>
      <w:r>
        <w:rPr>
          <w:rFonts w:ascii="Times New Roman" w:eastAsia="Times New Roman" w:hAnsi="Times New Roman" w:cs="Times New Roman"/>
          <w:color w:val="000000"/>
          <w:sz w:val="24"/>
          <w:szCs w:val="24"/>
        </w:rPr>
        <w:t>: We are grateful for those and/or institutions that support research.</w:t>
      </w:r>
    </w:p>
    <w:p w14:paraId="1BA424A0" w14:textId="77777777" w:rsidR="00F617E9" w:rsidRDefault="00F617E9">
      <w:pPr>
        <w:tabs>
          <w:tab w:val="right" w:pos="5843"/>
        </w:tabs>
        <w:rPr>
          <w:rFonts w:ascii="Times New Roman" w:eastAsia="Times New Roman" w:hAnsi="Times New Roman" w:cs="Times New Roman"/>
          <w:sz w:val="24"/>
          <w:szCs w:val="24"/>
        </w:rPr>
      </w:pPr>
    </w:p>
    <w:p w14:paraId="031DD250" w14:textId="77777777" w:rsidR="00F617E9" w:rsidRDefault="00000000">
      <w:r>
        <w:rPr>
          <w:rFonts w:ascii="Book Antiqua" w:eastAsia="Book Antiqua" w:hAnsi="Book Antiqua" w:cs="Book Antiqua"/>
          <w:b/>
          <w:sz w:val="24"/>
          <w:szCs w:val="24"/>
        </w:rPr>
        <w:t>REFERENCES</w:t>
      </w:r>
      <w:r>
        <w:rPr>
          <w:rFonts w:ascii="Times New Roman" w:eastAsia="Times New Roman" w:hAnsi="Times New Roman" w:cs="Times New Roman"/>
          <w:sz w:val="24"/>
          <w:szCs w:val="24"/>
        </w:rPr>
        <w:t xml:space="preserve"> </w:t>
      </w:r>
    </w:p>
    <w:p w14:paraId="2A1A05C7" w14:textId="77777777" w:rsidR="00F617E9" w:rsidRDefault="00000000">
      <w:pPr>
        <w:spacing w:before="240" w:after="240"/>
        <w:ind w:left="96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Akbar, RA, Fauzan, M., Arsyad, AAJ, Barki, K. and </w:t>
      </w:r>
      <w:proofErr w:type="spellStart"/>
      <w:r>
        <w:rPr>
          <w:rFonts w:ascii="Times New Roman" w:eastAsia="Times New Roman" w:hAnsi="Times New Roman" w:cs="Times New Roman"/>
          <w:sz w:val="24"/>
          <w:szCs w:val="24"/>
        </w:rPr>
        <w:t>Alamsyah</w:t>
      </w:r>
      <w:proofErr w:type="spellEnd"/>
      <w:r>
        <w:rPr>
          <w:rFonts w:ascii="Times New Roman" w:eastAsia="Times New Roman" w:hAnsi="Times New Roman" w:cs="Times New Roman"/>
          <w:sz w:val="24"/>
          <w:szCs w:val="24"/>
        </w:rPr>
        <w:t xml:space="preserve">. (2023), “Implementation of the Community Empowerment Approach to Improve the Quality of Life of Communities Through Regional Potential-Based Economic Development”, Journal of </w:t>
      </w:r>
      <w:proofErr w:type="spellStart"/>
      <w:r>
        <w:rPr>
          <w:rFonts w:ascii="Times New Roman" w:eastAsia="Times New Roman" w:hAnsi="Times New Roman" w:cs="Times New Roman"/>
          <w:sz w:val="24"/>
          <w:szCs w:val="24"/>
        </w:rPr>
        <w:t>Scientech</w:t>
      </w:r>
      <w:proofErr w:type="spellEnd"/>
      <w:r>
        <w:rPr>
          <w:rFonts w:ascii="Times New Roman" w:eastAsia="Times New Roman" w:hAnsi="Times New Roman" w:cs="Times New Roman"/>
          <w:sz w:val="24"/>
          <w:szCs w:val="24"/>
        </w:rPr>
        <w:t xml:space="preserve"> Research and Development, Vol. 5 No. 1, pp. 65–76,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10.56670/</w:t>
      </w:r>
      <w:proofErr w:type="gramStart"/>
      <w:r>
        <w:rPr>
          <w:rFonts w:ascii="Times New Roman" w:eastAsia="Times New Roman" w:hAnsi="Times New Roman" w:cs="Times New Roman"/>
          <w:sz w:val="24"/>
          <w:szCs w:val="24"/>
        </w:rPr>
        <w:t>jsrd.v</w:t>
      </w:r>
      <w:proofErr w:type="gramEnd"/>
      <w:r>
        <w:rPr>
          <w:rFonts w:ascii="Times New Roman" w:eastAsia="Times New Roman" w:hAnsi="Times New Roman" w:cs="Times New Roman"/>
          <w:sz w:val="24"/>
          <w:szCs w:val="24"/>
        </w:rPr>
        <w:t>5i1.95.</w:t>
      </w:r>
    </w:p>
    <w:p w14:paraId="435C7E69" w14:textId="77777777" w:rsidR="00F617E9" w:rsidRDefault="00000000">
      <w:pPr>
        <w:spacing w:before="240" w:after="240"/>
        <w:ind w:left="96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Arina, AIS, </w:t>
      </w:r>
      <w:proofErr w:type="spellStart"/>
      <w:r>
        <w:rPr>
          <w:rFonts w:ascii="Times New Roman" w:eastAsia="Times New Roman" w:hAnsi="Times New Roman" w:cs="Times New Roman"/>
          <w:sz w:val="24"/>
          <w:szCs w:val="24"/>
        </w:rPr>
        <w:t>Masinambow</w:t>
      </w:r>
      <w:proofErr w:type="spellEnd"/>
      <w:r>
        <w:rPr>
          <w:rFonts w:ascii="Times New Roman" w:eastAsia="Times New Roman" w:hAnsi="Times New Roman" w:cs="Times New Roman"/>
          <w:sz w:val="24"/>
          <w:szCs w:val="24"/>
        </w:rPr>
        <w:t xml:space="preserve">, VAJ and </w:t>
      </w:r>
      <w:proofErr w:type="spellStart"/>
      <w:r>
        <w:rPr>
          <w:rFonts w:ascii="Times New Roman" w:eastAsia="Times New Roman" w:hAnsi="Times New Roman" w:cs="Times New Roman"/>
          <w:sz w:val="24"/>
          <w:szCs w:val="24"/>
        </w:rPr>
        <w:t>Walewangko</w:t>
      </w:r>
      <w:proofErr w:type="spellEnd"/>
      <w:r>
        <w:rPr>
          <w:rFonts w:ascii="Times New Roman" w:eastAsia="Times New Roman" w:hAnsi="Times New Roman" w:cs="Times New Roman"/>
          <w:sz w:val="24"/>
          <w:szCs w:val="24"/>
        </w:rPr>
        <w:t xml:space="preserve">, EN (2021), “The Effect of Village Funds and Village Fund Allocation on the Village Development Index in Southeast </w:t>
      </w:r>
      <w:proofErr w:type="spellStart"/>
      <w:r>
        <w:rPr>
          <w:rFonts w:ascii="Times New Roman" w:eastAsia="Times New Roman" w:hAnsi="Times New Roman" w:cs="Times New Roman"/>
          <w:sz w:val="24"/>
          <w:szCs w:val="24"/>
        </w:rPr>
        <w:t>Minahasa</w:t>
      </w:r>
      <w:proofErr w:type="spellEnd"/>
      <w:r>
        <w:rPr>
          <w:rFonts w:ascii="Times New Roman" w:eastAsia="Times New Roman" w:hAnsi="Times New Roman" w:cs="Times New Roman"/>
          <w:sz w:val="24"/>
          <w:szCs w:val="24"/>
        </w:rPr>
        <w:t xml:space="preserve"> Regency”, Journal of Regional Economic and Financial Development, Vol. 22 No. 3, pp. 22–41.</w:t>
      </w:r>
    </w:p>
    <w:p w14:paraId="4E6A47D4" w14:textId="77777777" w:rsidR="00F617E9" w:rsidRDefault="00000000">
      <w:pPr>
        <w:spacing w:before="240" w:after="240"/>
        <w:ind w:left="960" w:hanging="48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Christianingrum</w:t>
      </w:r>
      <w:proofErr w:type="spellEnd"/>
      <w:r>
        <w:rPr>
          <w:rFonts w:ascii="Times New Roman" w:eastAsia="Times New Roman" w:hAnsi="Times New Roman" w:cs="Times New Roman"/>
          <w:sz w:val="24"/>
          <w:szCs w:val="24"/>
        </w:rPr>
        <w:t xml:space="preserve">, R. (2022), “Evaluation of Village Funds Seen from the Relationship Between Village Fund Ceilings and the Village Development Index”, Journal of Budget: Issues and Problems of State Finance, Vol. 5 No. 1, pp. 100–113,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10.22212/</w:t>
      </w:r>
      <w:proofErr w:type="gramStart"/>
      <w:r>
        <w:rPr>
          <w:rFonts w:ascii="Times New Roman" w:eastAsia="Times New Roman" w:hAnsi="Times New Roman" w:cs="Times New Roman"/>
          <w:sz w:val="24"/>
          <w:szCs w:val="24"/>
        </w:rPr>
        <w:t>jbudget.v</w:t>
      </w:r>
      <w:proofErr w:type="gramEnd"/>
      <w:r>
        <w:rPr>
          <w:rFonts w:ascii="Times New Roman" w:eastAsia="Times New Roman" w:hAnsi="Times New Roman" w:cs="Times New Roman"/>
          <w:sz w:val="24"/>
          <w:szCs w:val="24"/>
        </w:rPr>
        <w:t>5i1.52.</w:t>
      </w:r>
    </w:p>
    <w:p w14:paraId="5E526701" w14:textId="77777777" w:rsidR="00F617E9" w:rsidRDefault="00000000">
      <w:pPr>
        <w:spacing w:before="240" w:after="240"/>
        <w:ind w:left="96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Depari, ET (2024), “Sustainable Development: Integration of Economic, Social, and Environmental Issues”, Circle Archive, Vol. 1 No. 5, pp. 1–13.</w:t>
      </w:r>
    </w:p>
    <w:p w14:paraId="1A468D26" w14:textId="77777777" w:rsidR="00F617E9" w:rsidRDefault="00000000">
      <w:pPr>
        <w:spacing w:before="240" w:after="240"/>
        <w:ind w:left="960" w:hanging="48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Hildayanti</w:t>
      </w:r>
      <w:proofErr w:type="spellEnd"/>
      <w:r>
        <w:rPr>
          <w:rFonts w:ascii="Times New Roman" w:eastAsia="Times New Roman" w:hAnsi="Times New Roman" w:cs="Times New Roman"/>
          <w:sz w:val="24"/>
          <w:szCs w:val="24"/>
        </w:rPr>
        <w:t xml:space="preserve">, A. and </w:t>
      </w:r>
      <w:proofErr w:type="spellStart"/>
      <w:r>
        <w:rPr>
          <w:rFonts w:ascii="Times New Roman" w:eastAsia="Times New Roman" w:hAnsi="Times New Roman" w:cs="Times New Roman"/>
          <w:sz w:val="24"/>
          <w:szCs w:val="24"/>
        </w:rPr>
        <w:t>Machrizzandi</w:t>
      </w:r>
      <w:proofErr w:type="spellEnd"/>
      <w:r>
        <w:rPr>
          <w:rFonts w:ascii="Times New Roman" w:eastAsia="Times New Roman" w:hAnsi="Times New Roman" w:cs="Times New Roman"/>
          <w:sz w:val="24"/>
          <w:szCs w:val="24"/>
        </w:rPr>
        <w:t xml:space="preserve">, MS (2022), “Village Potential and Assets as Provisions for Improving the Quality of Development in Ratte Village, Tutar District”, Journal </w:t>
      </w:r>
      <w:proofErr w:type="spellStart"/>
      <w:r>
        <w:rPr>
          <w:rFonts w:ascii="Times New Roman" w:eastAsia="Times New Roman" w:hAnsi="Times New Roman" w:cs="Times New Roman"/>
          <w:sz w:val="24"/>
          <w:szCs w:val="24"/>
        </w:rPr>
        <w:t>Peqguruang</w:t>
      </w:r>
      <w:proofErr w:type="spellEnd"/>
      <w:r>
        <w:rPr>
          <w:rFonts w:ascii="Times New Roman" w:eastAsia="Times New Roman" w:hAnsi="Times New Roman" w:cs="Times New Roman"/>
          <w:sz w:val="24"/>
          <w:szCs w:val="24"/>
        </w:rPr>
        <w:t xml:space="preserve">: Conference Series, Vol. 4 No. 2, p. 949,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10.35329/</w:t>
      </w:r>
      <w:proofErr w:type="gramStart"/>
      <w:r>
        <w:rPr>
          <w:rFonts w:ascii="Times New Roman" w:eastAsia="Times New Roman" w:hAnsi="Times New Roman" w:cs="Times New Roman"/>
          <w:sz w:val="24"/>
          <w:szCs w:val="24"/>
        </w:rPr>
        <w:t>jp.v</w:t>
      </w:r>
      <w:proofErr w:type="gramEnd"/>
      <w:r>
        <w:rPr>
          <w:rFonts w:ascii="Times New Roman" w:eastAsia="Times New Roman" w:hAnsi="Times New Roman" w:cs="Times New Roman"/>
          <w:sz w:val="24"/>
          <w:szCs w:val="24"/>
        </w:rPr>
        <w:t>4i2.3760.</w:t>
      </w:r>
    </w:p>
    <w:p w14:paraId="1FA1A0FB" w14:textId="77777777" w:rsidR="00F617E9" w:rsidRDefault="00000000">
      <w:pPr>
        <w:spacing w:before="240" w:after="240"/>
        <w:ind w:left="960" w:hanging="48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Kayupa</w:t>
      </w:r>
      <w:proofErr w:type="spellEnd"/>
      <w:r>
        <w:rPr>
          <w:rFonts w:ascii="Times New Roman" w:eastAsia="Times New Roman" w:hAnsi="Times New Roman" w:cs="Times New Roman"/>
          <w:sz w:val="24"/>
          <w:szCs w:val="24"/>
        </w:rPr>
        <w:t xml:space="preserve">, OO, </w:t>
      </w:r>
      <w:proofErr w:type="spellStart"/>
      <w:r>
        <w:rPr>
          <w:rFonts w:ascii="Times New Roman" w:eastAsia="Times New Roman" w:hAnsi="Times New Roman" w:cs="Times New Roman"/>
          <w:sz w:val="24"/>
          <w:szCs w:val="24"/>
        </w:rPr>
        <w:t>Guampe</w:t>
      </w:r>
      <w:proofErr w:type="spellEnd"/>
      <w:r>
        <w:rPr>
          <w:rFonts w:ascii="Times New Roman" w:eastAsia="Times New Roman" w:hAnsi="Times New Roman" w:cs="Times New Roman"/>
          <w:sz w:val="24"/>
          <w:szCs w:val="24"/>
        </w:rPr>
        <w:t xml:space="preserve">, F., </w:t>
      </w:r>
      <w:proofErr w:type="spellStart"/>
      <w:r>
        <w:rPr>
          <w:rFonts w:ascii="Times New Roman" w:eastAsia="Times New Roman" w:hAnsi="Times New Roman" w:cs="Times New Roman"/>
          <w:sz w:val="24"/>
          <w:szCs w:val="24"/>
        </w:rPr>
        <w:t>Hengkeng</w:t>
      </w:r>
      <w:proofErr w:type="spellEnd"/>
      <w:r>
        <w:rPr>
          <w:rFonts w:ascii="Times New Roman" w:eastAsia="Times New Roman" w:hAnsi="Times New Roman" w:cs="Times New Roman"/>
          <w:sz w:val="24"/>
          <w:szCs w:val="24"/>
        </w:rPr>
        <w:t xml:space="preserve">, J. and Balo, MJ (2025), “Challenges and Opportunities in Implementing Participatory Village Development Planning in Indonesia”, Management and Organization Studies, Vol. 6 No. 1, pp. 187–199,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10.35912/</w:t>
      </w:r>
      <w:proofErr w:type="gramStart"/>
      <w:r>
        <w:rPr>
          <w:rFonts w:ascii="Times New Roman" w:eastAsia="Times New Roman" w:hAnsi="Times New Roman" w:cs="Times New Roman"/>
          <w:sz w:val="24"/>
          <w:szCs w:val="24"/>
        </w:rPr>
        <w:t>simo.v</w:t>
      </w:r>
      <w:proofErr w:type="gramEnd"/>
      <w:r>
        <w:rPr>
          <w:rFonts w:ascii="Times New Roman" w:eastAsia="Times New Roman" w:hAnsi="Times New Roman" w:cs="Times New Roman"/>
          <w:sz w:val="24"/>
          <w:szCs w:val="24"/>
        </w:rPr>
        <w:t>6i1.3483.</w:t>
      </w:r>
    </w:p>
    <w:p w14:paraId="16A97D2D" w14:textId="77777777" w:rsidR="00F617E9" w:rsidRDefault="00000000">
      <w:pPr>
        <w:spacing w:before="240" w:after="240"/>
        <w:ind w:left="960" w:hanging="48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Kurniawati</w:t>
      </w:r>
      <w:proofErr w:type="spellEnd"/>
      <w:r>
        <w:rPr>
          <w:rFonts w:ascii="Times New Roman" w:eastAsia="Times New Roman" w:hAnsi="Times New Roman" w:cs="Times New Roman"/>
          <w:sz w:val="24"/>
          <w:szCs w:val="24"/>
        </w:rPr>
        <w:t xml:space="preserve">, E., Ibrahim and Nurhayati. (2025), “Quantitative Analysis of Environmentally Based Village Development Against the Village Development Index in West Lombok Regency”,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Humanitas, pp. 279–295.</w:t>
      </w:r>
    </w:p>
    <w:p w14:paraId="7F33DF77" w14:textId="77777777" w:rsidR="00F617E9" w:rsidRDefault="00000000">
      <w:pPr>
        <w:spacing w:before="240" w:after="240"/>
        <w:ind w:left="960" w:hanging="48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Muhtarom</w:t>
      </w:r>
      <w:proofErr w:type="spellEnd"/>
      <w:r>
        <w:rPr>
          <w:rFonts w:ascii="Times New Roman" w:eastAsia="Times New Roman" w:hAnsi="Times New Roman" w:cs="Times New Roman"/>
          <w:sz w:val="24"/>
          <w:szCs w:val="24"/>
        </w:rPr>
        <w:t xml:space="preserve">, Kusuma, N. and </w:t>
      </w:r>
      <w:proofErr w:type="spellStart"/>
      <w:r>
        <w:rPr>
          <w:rFonts w:ascii="Times New Roman" w:eastAsia="Times New Roman" w:hAnsi="Times New Roman" w:cs="Times New Roman"/>
          <w:sz w:val="24"/>
          <w:szCs w:val="24"/>
        </w:rPr>
        <w:t>Purwanti</w:t>
      </w:r>
      <w:proofErr w:type="spellEnd"/>
      <w:r>
        <w:rPr>
          <w:rFonts w:ascii="Times New Roman" w:eastAsia="Times New Roman" w:hAnsi="Times New Roman" w:cs="Times New Roman"/>
          <w:sz w:val="24"/>
          <w:szCs w:val="24"/>
        </w:rPr>
        <w:t xml:space="preserve">, E. (2018), “Analysis of the Village Development Index to Determine the Pattern of Village Development in </w:t>
      </w:r>
      <w:proofErr w:type="spellStart"/>
      <w:r>
        <w:rPr>
          <w:rFonts w:ascii="Times New Roman" w:eastAsia="Times New Roman" w:hAnsi="Times New Roman" w:cs="Times New Roman"/>
          <w:sz w:val="24"/>
          <w:szCs w:val="24"/>
        </w:rPr>
        <w:t>Gadingrejo</w:t>
      </w:r>
      <w:proofErr w:type="spellEnd"/>
      <w:r>
        <w:rPr>
          <w:rFonts w:ascii="Times New Roman" w:eastAsia="Times New Roman" w:hAnsi="Times New Roman" w:cs="Times New Roman"/>
          <w:sz w:val="24"/>
          <w:szCs w:val="24"/>
        </w:rPr>
        <w:t xml:space="preserve"> District, </w:t>
      </w:r>
      <w:proofErr w:type="spellStart"/>
      <w:r>
        <w:rPr>
          <w:rFonts w:ascii="Times New Roman" w:eastAsia="Times New Roman" w:hAnsi="Times New Roman" w:cs="Times New Roman"/>
          <w:sz w:val="24"/>
          <w:szCs w:val="24"/>
        </w:rPr>
        <w:t>Pringsewu</w:t>
      </w:r>
      <w:proofErr w:type="spellEnd"/>
      <w:r>
        <w:rPr>
          <w:rFonts w:ascii="Times New Roman" w:eastAsia="Times New Roman" w:hAnsi="Times New Roman" w:cs="Times New Roman"/>
          <w:sz w:val="24"/>
          <w:szCs w:val="24"/>
        </w:rPr>
        <w:t xml:space="preserve"> Regency”, Development Innovation: Research and Development Journal, Vol. 6 No. 02, pp. 179–190,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10.35450/</w:t>
      </w:r>
      <w:proofErr w:type="gramStart"/>
      <w:r>
        <w:rPr>
          <w:rFonts w:ascii="Times New Roman" w:eastAsia="Times New Roman" w:hAnsi="Times New Roman" w:cs="Times New Roman"/>
          <w:sz w:val="24"/>
          <w:szCs w:val="24"/>
        </w:rPr>
        <w:t>jip.v</w:t>
      </w:r>
      <w:proofErr w:type="gramEnd"/>
      <w:r>
        <w:rPr>
          <w:rFonts w:ascii="Times New Roman" w:eastAsia="Times New Roman" w:hAnsi="Times New Roman" w:cs="Times New Roman"/>
          <w:sz w:val="24"/>
          <w:szCs w:val="24"/>
        </w:rPr>
        <w:t>6i02.96.</w:t>
      </w:r>
    </w:p>
    <w:p w14:paraId="0410DA4F" w14:textId="77777777" w:rsidR="00F617E9" w:rsidRDefault="00000000">
      <w:pPr>
        <w:spacing w:before="240" w:after="240"/>
        <w:ind w:left="96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Nabilla, LM, Putra, RM, and Efriyeldi. (2022), “Sustainable Mangrove Ecosystem Management Strategy in Buruk Bakul Village, Bukit Batu District, </w:t>
      </w:r>
      <w:proofErr w:type="spellStart"/>
      <w:r>
        <w:rPr>
          <w:rFonts w:ascii="Times New Roman" w:eastAsia="Times New Roman" w:hAnsi="Times New Roman" w:cs="Times New Roman"/>
          <w:sz w:val="24"/>
          <w:szCs w:val="24"/>
        </w:rPr>
        <w:t>Bengkalis</w:t>
      </w:r>
      <w:proofErr w:type="spellEnd"/>
      <w:r>
        <w:rPr>
          <w:rFonts w:ascii="Times New Roman" w:eastAsia="Times New Roman" w:hAnsi="Times New Roman" w:cs="Times New Roman"/>
          <w:sz w:val="24"/>
          <w:szCs w:val="24"/>
        </w:rPr>
        <w:t xml:space="preserve"> Regency, Riau Province”, Braz Dent J., Vol. 33 No. 1, pp. 1–12.</w:t>
      </w:r>
    </w:p>
    <w:p w14:paraId="1593C8C4" w14:textId="77777777" w:rsidR="00F617E9" w:rsidRDefault="00000000">
      <w:pPr>
        <w:spacing w:before="240" w:after="240"/>
        <w:ind w:left="96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Nusantara, AB, Ramadhan, M., Bhakti, MTP, </w:t>
      </w:r>
      <w:proofErr w:type="spellStart"/>
      <w:r>
        <w:rPr>
          <w:rFonts w:ascii="Times New Roman" w:eastAsia="Times New Roman" w:hAnsi="Times New Roman" w:cs="Times New Roman"/>
          <w:sz w:val="24"/>
          <w:szCs w:val="24"/>
        </w:rPr>
        <w:t>Assayuti</w:t>
      </w:r>
      <w:proofErr w:type="spellEnd"/>
      <w:r>
        <w:rPr>
          <w:rFonts w:ascii="Times New Roman" w:eastAsia="Times New Roman" w:hAnsi="Times New Roman" w:cs="Times New Roman"/>
          <w:sz w:val="24"/>
          <w:szCs w:val="24"/>
        </w:rPr>
        <w:t xml:space="preserve">, MJ, Zulfa, AA, Seran, GG and </w:t>
      </w:r>
      <w:proofErr w:type="spellStart"/>
      <w:r>
        <w:rPr>
          <w:rFonts w:ascii="Times New Roman" w:eastAsia="Times New Roman" w:hAnsi="Times New Roman" w:cs="Times New Roman"/>
          <w:sz w:val="24"/>
          <w:szCs w:val="24"/>
        </w:rPr>
        <w:t>Aprilliayani</w:t>
      </w:r>
      <w:proofErr w:type="spellEnd"/>
      <w:r>
        <w:rPr>
          <w:rFonts w:ascii="Times New Roman" w:eastAsia="Times New Roman" w:hAnsi="Times New Roman" w:cs="Times New Roman"/>
          <w:sz w:val="24"/>
          <w:szCs w:val="24"/>
        </w:rPr>
        <w:t>, NV (2024), “Village-Owned Enterprises (</w:t>
      </w:r>
      <w:proofErr w:type="spellStart"/>
      <w:r>
        <w:rPr>
          <w:rFonts w:ascii="Times New Roman" w:eastAsia="Times New Roman" w:hAnsi="Times New Roman" w:cs="Times New Roman"/>
          <w:sz w:val="24"/>
          <w:szCs w:val="24"/>
        </w:rPr>
        <w:t>BUMDes</w:t>
      </w:r>
      <w:proofErr w:type="spellEnd"/>
      <w:r>
        <w:rPr>
          <w:rFonts w:ascii="Times New Roman" w:eastAsia="Times New Roman" w:hAnsi="Times New Roman" w:cs="Times New Roman"/>
          <w:sz w:val="24"/>
          <w:szCs w:val="24"/>
        </w:rPr>
        <w:t xml:space="preserve">) Governance in </w:t>
      </w:r>
      <w:proofErr w:type="spellStart"/>
      <w:r>
        <w:rPr>
          <w:rFonts w:ascii="Times New Roman" w:eastAsia="Times New Roman" w:hAnsi="Times New Roman" w:cs="Times New Roman"/>
          <w:sz w:val="24"/>
          <w:szCs w:val="24"/>
        </w:rPr>
        <w:t>Cigombong</w:t>
      </w:r>
      <w:proofErr w:type="spellEnd"/>
      <w:r>
        <w:rPr>
          <w:rFonts w:ascii="Times New Roman" w:eastAsia="Times New Roman" w:hAnsi="Times New Roman" w:cs="Times New Roman"/>
          <w:sz w:val="24"/>
          <w:szCs w:val="24"/>
        </w:rPr>
        <w:t xml:space="preserve"> Village”, Karimah Tauhid, Vol. 3 No. 8, pp. 9000–9007,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10.30997/</w:t>
      </w:r>
      <w:proofErr w:type="gramStart"/>
      <w:r>
        <w:rPr>
          <w:rFonts w:ascii="Times New Roman" w:eastAsia="Times New Roman" w:hAnsi="Times New Roman" w:cs="Times New Roman"/>
          <w:sz w:val="24"/>
          <w:szCs w:val="24"/>
        </w:rPr>
        <w:t>karimahtauhid.v</w:t>
      </w:r>
      <w:proofErr w:type="gramEnd"/>
      <w:r>
        <w:rPr>
          <w:rFonts w:ascii="Times New Roman" w:eastAsia="Times New Roman" w:hAnsi="Times New Roman" w:cs="Times New Roman"/>
          <w:sz w:val="24"/>
          <w:szCs w:val="24"/>
        </w:rPr>
        <w:t>3i8.14785.</w:t>
      </w:r>
    </w:p>
    <w:p w14:paraId="6189C64B" w14:textId="77777777" w:rsidR="00F617E9" w:rsidRDefault="00000000">
      <w:pPr>
        <w:spacing w:before="240" w:after="240"/>
        <w:ind w:left="960" w:hanging="48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Ristanto</w:t>
      </w:r>
      <w:proofErr w:type="spellEnd"/>
      <w:r>
        <w:rPr>
          <w:rFonts w:ascii="Times New Roman" w:eastAsia="Times New Roman" w:hAnsi="Times New Roman" w:cs="Times New Roman"/>
          <w:sz w:val="24"/>
          <w:szCs w:val="24"/>
        </w:rPr>
        <w:t xml:space="preserve">, I., Devi, RH, Firdausi, AA, Teknik, F., Studi, P., </w:t>
      </w:r>
      <w:proofErr w:type="spellStart"/>
      <w:r>
        <w:rPr>
          <w:rFonts w:ascii="Times New Roman" w:eastAsia="Times New Roman" w:hAnsi="Times New Roman" w:cs="Times New Roman"/>
          <w:sz w:val="24"/>
          <w:szCs w:val="24"/>
        </w:rPr>
        <w:t>Sipil</w:t>
      </w:r>
      <w:proofErr w:type="spellEnd"/>
      <w:r>
        <w:rPr>
          <w:rFonts w:ascii="Times New Roman" w:eastAsia="Times New Roman" w:hAnsi="Times New Roman" w:cs="Times New Roman"/>
          <w:sz w:val="24"/>
          <w:szCs w:val="24"/>
        </w:rPr>
        <w:t xml:space="preserve">, T., Veteran, U., et al. (2024), “ANALYSIS OF VILLAGE INFRASTRUCTURE ASSESSMENT RELATIONSHIP BASED ON VILLAGE DEVELOPMENT INDEX (IDM) VILLAGE SYNTAX CONTRAST HELMERT METHOD Article submitted: February 17, 2024 Revised: May 28, 2024 Accepted: June 11, 2024 Analysis of Infrastructure Assessment Relationship Des”, No. </w:t>
      </w:r>
      <w:proofErr w:type="spellStart"/>
      <w:r>
        <w:rPr>
          <w:rFonts w:ascii="Times New Roman" w:eastAsia="Times New Roman" w:hAnsi="Times New Roman" w:cs="Times New Roman"/>
          <w:sz w:val="24"/>
          <w:szCs w:val="24"/>
        </w:rPr>
        <w:t>Idm</w:t>
      </w:r>
      <w:proofErr w:type="spellEnd"/>
      <w:r>
        <w:rPr>
          <w:rFonts w:ascii="Times New Roman" w:eastAsia="Times New Roman" w:hAnsi="Times New Roman" w:cs="Times New Roman"/>
          <w:sz w:val="24"/>
          <w:szCs w:val="24"/>
        </w:rPr>
        <w:t>, pp. 57–68.</w:t>
      </w:r>
    </w:p>
    <w:p w14:paraId="7D8902D5" w14:textId="77777777" w:rsidR="00F617E9" w:rsidRDefault="00000000">
      <w:pPr>
        <w:spacing w:before="240" w:after="240"/>
        <w:ind w:left="960" w:hanging="48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Sibuea</w:t>
      </w:r>
      <w:proofErr w:type="spellEnd"/>
      <w:r>
        <w:rPr>
          <w:rFonts w:ascii="Times New Roman" w:eastAsia="Times New Roman" w:hAnsi="Times New Roman" w:cs="Times New Roman"/>
          <w:sz w:val="24"/>
          <w:szCs w:val="24"/>
        </w:rPr>
        <w:t xml:space="preserve">, SAN, Gai, AM, </w:t>
      </w:r>
      <w:proofErr w:type="spellStart"/>
      <w:r>
        <w:rPr>
          <w:rFonts w:ascii="Times New Roman" w:eastAsia="Times New Roman" w:hAnsi="Times New Roman" w:cs="Times New Roman"/>
          <w:sz w:val="24"/>
          <w:szCs w:val="24"/>
        </w:rPr>
        <w:t>Poerwati</w:t>
      </w:r>
      <w:proofErr w:type="spellEnd"/>
      <w:r>
        <w:rPr>
          <w:rFonts w:ascii="Times New Roman" w:eastAsia="Times New Roman" w:hAnsi="Times New Roman" w:cs="Times New Roman"/>
          <w:sz w:val="24"/>
          <w:szCs w:val="24"/>
        </w:rPr>
        <w:t xml:space="preserve">, T. and </w:t>
      </w:r>
      <w:proofErr w:type="spellStart"/>
      <w:r>
        <w:rPr>
          <w:rFonts w:ascii="Times New Roman" w:eastAsia="Times New Roman" w:hAnsi="Times New Roman" w:cs="Times New Roman"/>
          <w:sz w:val="24"/>
          <w:szCs w:val="24"/>
        </w:rPr>
        <w:t>Nirarta</w:t>
      </w:r>
      <w:proofErr w:type="spellEnd"/>
      <w:r>
        <w:rPr>
          <w:rFonts w:ascii="Times New Roman" w:eastAsia="Times New Roman" w:hAnsi="Times New Roman" w:cs="Times New Roman"/>
          <w:sz w:val="24"/>
          <w:szCs w:val="24"/>
        </w:rPr>
        <w:t xml:space="preserve"> Samadhi, T. (2024), “Analysis of Priority Factors Influencing the Determination of Independent Village Status in Oro-Oro Ombo Village, Batu District, Batu City”, Urban Planning, Spatial, Culture, Landscape, Environment and Social Studies, Vol. 1 No. 1, pp. 12–23,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10.36040/</w:t>
      </w:r>
      <w:proofErr w:type="gramStart"/>
      <w:r>
        <w:rPr>
          <w:rFonts w:ascii="Times New Roman" w:eastAsia="Times New Roman" w:hAnsi="Times New Roman" w:cs="Times New Roman"/>
          <w:sz w:val="24"/>
          <w:szCs w:val="24"/>
        </w:rPr>
        <w:t>upscales.v</w:t>
      </w:r>
      <w:proofErr w:type="gramEnd"/>
      <w:r>
        <w:rPr>
          <w:rFonts w:ascii="Times New Roman" w:eastAsia="Times New Roman" w:hAnsi="Times New Roman" w:cs="Times New Roman"/>
          <w:sz w:val="24"/>
          <w:szCs w:val="24"/>
        </w:rPr>
        <w:t>1i1.10035.</w:t>
      </w:r>
    </w:p>
    <w:p w14:paraId="0C3EB28C" w14:textId="77777777" w:rsidR="00F617E9" w:rsidRDefault="00000000">
      <w:pPr>
        <w:spacing w:before="240" w:after="240"/>
        <w:ind w:left="960" w:hanging="48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Sihombing</w:t>
      </w:r>
      <w:proofErr w:type="spellEnd"/>
      <w:r>
        <w:rPr>
          <w:rFonts w:ascii="Times New Roman" w:eastAsia="Times New Roman" w:hAnsi="Times New Roman" w:cs="Times New Roman"/>
          <w:sz w:val="24"/>
          <w:szCs w:val="24"/>
        </w:rPr>
        <w:t xml:space="preserve">, PR, </w:t>
      </w:r>
      <w:proofErr w:type="spellStart"/>
      <w:r>
        <w:rPr>
          <w:rFonts w:ascii="Times New Roman" w:eastAsia="Times New Roman" w:hAnsi="Times New Roman" w:cs="Times New Roman"/>
          <w:sz w:val="24"/>
          <w:szCs w:val="24"/>
        </w:rPr>
        <w:t>Arsani</w:t>
      </w:r>
      <w:proofErr w:type="spellEnd"/>
      <w:r>
        <w:rPr>
          <w:rFonts w:ascii="Times New Roman" w:eastAsia="Times New Roman" w:hAnsi="Times New Roman" w:cs="Times New Roman"/>
          <w:sz w:val="24"/>
          <w:szCs w:val="24"/>
        </w:rPr>
        <w:t xml:space="preserve">, AM, </w:t>
      </w:r>
      <w:proofErr w:type="spellStart"/>
      <w:r>
        <w:rPr>
          <w:rFonts w:ascii="Times New Roman" w:eastAsia="Times New Roman" w:hAnsi="Times New Roman" w:cs="Times New Roman"/>
          <w:sz w:val="24"/>
          <w:szCs w:val="24"/>
        </w:rPr>
        <w:t>Angraini</w:t>
      </w:r>
      <w:proofErr w:type="spellEnd"/>
      <w:r>
        <w:rPr>
          <w:rFonts w:ascii="Times New Roman" w:eastAsia="Times New Roman" w:hAnsi="Times New Roman" w:cs="Times New Roman"/>
          <w:sz w:val="24"/>
          <w:szCs w:val="24"/>
        </w:rPr>
        <w:t xml:space="preserve">, W. and </w:t>
      </w:r>
      <w:proofErr w:type="spellStart"/>
      <w:r>
        <w:rPr>
          <w:rFonts w:ascii="Times New Roman" w:eastAsia="Times New Roman" w:hAnsi="Times New Roman" w:cs="Times New Roman"/>
          <w:sz w:val="24"/>
          <w:szCs w:val="24"/>
        </w:rPr>
        <w:t>Pratiko</w:t>
      </w:r>
      <w:proofErr w:type="spellEnd"/>
      <w:r>
        <w:rPr>
          <w:rFonts w:ascii="Times New Roman" w:eastAsia="Times New Roman" w:hAnsi="Times New Roman" w:cs="Times New Roman"/>
          <w:sz w:val="24"/>
          <w:szCs w:val="24"/>
        </w:rPr>
        <w:t xml:space="preserve">, W. (2022), “Implementation of the SEM Model on the Relationship between HDI, IPD, and IDM”, Bayesian Journal: Scientific Journal of Statistics and Econometrics, Vol. 2 No. 2, pp. 107–115,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10.46306/</w:t>
      </w:r>
      <w:proofErr w:type="gramStart"/>
      <w:r>
        <w:rPr>
          <w:rFonts w:ascii="Times New Roman" w:eastAsia="Times New Roman" w:hAnsi="Times New Roman" w:cs="Times New Roman"/>
          <w:sz w:val="24"/>
          <w:szCs w:val="24"/>
        </w:rPr>
        <w:t>bay.v</w:t>
      </w:r>
      <w:proofErr w:type="gramEnd"/>
      <w:r>
        <w:rPr>
          <w:rFonts w:ascii="Times New Roman" w:eastAsia="Times New Roman" w:hAnsi="Times New Roman" w:cs="Times New Roman"/>
          <w:sz w:val="24"/>
          <w:szCs w:val="24"/>
        </w:rPr>
        <w:t>2i2.33.</w:t>
      </w:r>
    </w:p>
    <w:p w14:paraId="5C54606D" w14:textId="77777777" w:rsidR="00F617E9" w:rsidRDefault="00000000">
      <w:pPr>
        <w:spacing w:before="240" w:after="240"/>
        <w:ind w:left="96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Sutopo, DS (2024), “Towards a Welfare Village: Empowering Rural Development Through Participatory Spatial Planning Based on Village Potential”,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Education and Development, Vol. 12 No. 2, pp. 274–280.</w:t>
      </w:r>
    </w:p>
    <w:p w14:paraId="2C041EF3" w14:textId="77777777" w:rsidR="00F617E9" w:rsidRDefault="00000000">
      <w:pPr>
        <w:spacing w:before="240" w:after="240"/>
        <w:ind w:left="96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Tajuddin, Anto, LO, </w:t>
      </w:r>
      <w:proofErr w:type="spellStart"/>
      <w:r>
        <w:rPr>
          <w:rFonts w:ascii="Times New Roman" w:eastAsia="Times New Roman" w:hAnsi="Times New Roman" w:cs="Times New Roman"/>
          <w:sz w:val="24"/>
          <w:szCs w:val="24"/>
        </w:rPr>
        <w:t>Arifuddin</w:t>
      </w:r>
      <w:proofErr w:type="spellEnd"/>
      <w:r>
        <w:rPr>
          <w:rFonts w:ascii="Times New Roman" w:eastAsia="Times New Roman" w:hAnsi="Times New Roman" w:cs="Times New Roman"/>
          <w:sz w:val="24"/>
          <w:szCs w:val="24"/>
        </w:rPr>
        <w:t xml:space="preserve">, Ernawati and </w:t>
      </w:r>
      <w:proofErr w:type="spellStart"/>
      <w:r>
        <w:rPr>
          <w:rFonts w:ascii="Times New Roman" w:eastAsia="Times New Roman" w:hAnsi="Times New Roman" w:cs="Times New Roman"/>
          <w:sz w:val="24"/>
          <w:szCs w:val="24"/>
        </w:rPr>
        <w:t>Wa</w:t>
      </w:r>
      <w:proofErr w:type="spellEnd"/>
      <w:r>
        <w:rPr>
          <w:rFonts w:ascii="Times New Roman" w:eastAsia="Times New Roman" w:hAnsi="Times New Roman" w:cs="Times New Roman"/>
          <w:sz w:val="24"/>
          <w:szCs w:val="24"/>
        </w:rPr>
        <w:t xml:space="preserve"> Ode </w:t>
      </w:r>
      <w:proofErr w:type="spellStart"/>
      <w:r>
        <w:rPr>
          <w:rFonts w:ascii="Times New Roman" w:eastAsia="Times New Roman" w:hAnsi="Times New Roman" w:cs="Times New Roman"/>
          <w:sz w:val="24"/>
          <w:szCs w:val="24"/>
        </w:rPr>
        <w:t>Rachmasari</w:t>
      </w:r>
      <w:proofErr w:type="spellEnd"/>
      <w:r>
        <w:rPr>
          <w:rFonts w:ascii="Times New Roman" w:eastAsia="Times New Roman" w:hAnsi="Times New Roman" w:cs="Times New Roman"/>
          <w:sz w:val="24"/>
          <w:szCs w:val="24"/>
        </w:rPr>
        <w:t xml:space="preserve"> Ariani. (2025), “Technical Guidance for Improving the Status of Underdeveloped Villages to Developing Villages in </w:t>
      </w:r>
      <w:proofErr w:type="spellStart"/>
      <w:r>
        <w:rPr>
          <w:rFonts w:ascii="Times New Roman" w:eastAsia="Times New Roman" w:hAnsi="Times New Roman" w:cs="Times New Roman"/>
          <w:sz w:val="24"/>
          <w:szCs w:val="24"/>
        </w:rPr>
        <w:t>Tinanggea</w:t>
      </w:r>
      <w:proofErr w:type="spellEnd"/>
      <w:r>
        <w:rPr>
          <w:rFonts w:ascii="Times New Roman" w:eastAsia="Times New Roman" w:hAnsi="Times New Roman" w:cs="Times New Roman"/>
          <w:sz w:val="24"/>
          <w:szCs w:val="24"/>
        </w:rPr>
        <w:t xml:space="preserve"> District, Southeast Sulawesi Province”, Vol. 5 No. 1, pp. 63–70, </w:t>
      </w:r>
      <w:proofErr w:type="spellStart"/>
      <w:r>
        <w:rPr>
          <w:rFonts w:ascii="Times New Roman" w:eastAsia="Times New Roman" w:hAnsi="Times New Roman" w:cs="Times New Roman"/>
          <w:sz w:val="24"/>
          <w:szCs w:val="24"/>
        </w:rPr>
        <w:t>doi</w:t>
      </w:r>
      <w:proofErr w:type="spellEnd"/>
      <w:r>
        <w:rPr>
          <w:rFonts w:ascii="Times New Roman" w:eastAsia="Times New Roman" w:hAnsi="Times New Roman" w:cs="Times New Roman"/>
          <w:sz w:val="24"/>
          <w:szCs w:val="24"/>
        </w:rPr>
        <w:t>: 10.54259/</w:t>
      </w:r>
      <w:proofErr w:type="gramStart"/>
      <w:r>
        <w:rPr>
          <w:rFonts w:ascii="Times New Roman" w:eastAsia="Times New Roman" w:hAnsi="Times New Roman" w:cs="Times New Roman"/>
          <w:sz w:val="24"/>
          <w:szCs w:val="24"/>
        </w:rPr>
        <w:t>pakmas.v</w:t>
      </w:r>
      <w:proofErr w:type="gramEnd"/>
      <w:r>
        <w:rPr>
          <w:rFonts w:ascii="Times New Roman" w:eastAsia="Times New Roman" w:hAnsi="Times New Roman" w:cs="Times New Roman"/>
          <w:sz w:val="24"/>
          <w:szCs w:val="24"/>
        </w:rPr>
        <w:t>5i1.3218.</w:t>
      </w:r>
    </w:p>
    <w:p w14:paraId="35241297" w14:textId="77777777" w:rsidR="00F617E9" w:rsidRDefault="00F617E9">
      <w:pPr>
        <w:rPr>
          <w:rFonts w:ascii="Times New Roman" w:eastAsia="Times New Roman" w:hAnsi="Times New Roman" w:cs="Times New Roman"/>
          <w:sz w:val="24"/>
          <w:szCs w:val="24"/>
        </w:rPr>
      </w:pPr>
    </w:p>
    <w:p w14:paraId="43E9FB2E" w14:textId="77777777" w:rsidR="00F617E9" w:rsidRDefault="00F617E9">
      <w:pPr>
        <w:ind w:left="426" w:hanging="426"/>
        <w:rPr>
          <w:rFonts w:ascii="Times New Roman" w:eastAsia="Times New Roman" w:hAnsi="Times New Roman" w:cs="Times New Roman"/>
          <w:sz w:val="24"/>
          <w:szCs w:val="24"/>
        </w:rPr>
      </w:pPr>
    </w:p>
    <w:p w14:paraId="0255E2C4" w14:textId="77777777" w:rsidR="00F617E9" w:rsidRDefault="00000000">
      <w:pPr>
        <w:ind w:left="426" w:hanging="42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w:t>
      </w:r>
    </w:p>
    <w:p w14:paraId="33E91E85" w14:textId="77777777" w:rsidR="00F617E9" w:rsidRDefault="00F617E9">
      <w:pPr>
        <w:ind w:left="426" w:hanging="426"/>
        <w:jc w:val="center"/>
        <w:rPr>
          <w:rFonts w:ascii="Times New Roman" w:eastAsia="Times New Roman" w:hAnsi="Times New Roman" w:cs="Times New Roman"/>
          <w:sz w:val="24"/>
          <w:szCs w:val="24"/>
        </w:rPr>
      </w:pPr>
    </w:p>
    <w:p w14:paraId="11449955" w14:textId="77777777" w:rsidR="00F617E9" w:rsidRDefault="00000000">
      <w:pPr>
        <w:ind w:left="426" w:hanging="426"/>
        <w:jc w:val="center"/>
        <w:rPr>
          <w:rFonts w:ascii="Times New Roman" w:eastAsia="Times New Roman" w:hAnsi="Times New Roman" w:cs="Times New Roman"/>
          <w:sz w:val="24"/>
          <w:szCs w:val="24"/>
        </w:rPr>
      </w:pPr>
      <w:r>
        <w:rPr>
          <w:rFonts w:ascii="Book Antiqua" w:eastAsia="Times New Roman" w:hAnsi="Book Antiqua" w:cs="Times New Roman"/>
          <w:b/>
          <w:sz w:val="24"/>
          <w:szCs w:val="24"/>
        </w:rPr>
        <w:t>About the Authors</w:t>
      </w:r>
    </w:p>
    <w:p w14:paraId="0FBB0129" w14:textId="77777777" w:rsidR="00F617E9" w:rsidRDefault="00F617E9">
      <w:pPr>
        <w:ind w:left="426" w:hanging="426"/>
        <w:jc w:val="center"/>
        <w:rPr>
          <w:rFonts w:ascii="Times New Roman" w:eastAsia="Times New Roman" w:hAnsi="Times New Roman" w:cs="Times New Roman"/>
          <w:sz w:val="24"/>
          <w:szCs w:val="24"/>
        </w:rPr>
      </w:pPr>
    </w:p>
    <w:p w14:paraId="14284CFA" w14:textId="77777777" w:rsidR="00F617E9" w:rsidRDefault="00000000">
      <w:pPr>
        <w:sectPr w:rsidR="00F617E9">
          <w:type w:val="continuous"/>
          <w:pgSz w:w="11906" w:h="16838"/>
          <w:pgMar w:top="1418" w:right="1134" w:bottom="1134" w:left="1417" w:header="720" w:footer="0" w:gutter="0"/>
          <w:cols w:space="720"/>
        </w:sectPr>
      </w:pPr>
      <w:r>
        <w:rPr>
          <w:rFonts w:ascii="Times New Roman" w:eastAsia="Times New Roman" w:hAnsi="Times New Roman" w:cs="Times New Roman"/>
          <w:sz w:val="24"/>
          <w:szCs w:val="24"/>
        </w:rPr>
        <w:t>Provide information about the Author(s), which consists of academic qualification, area of ​​specialization, and publication.</w:t>
      </w:r>
    </w:p>
    <w:p w14:paraId="691DC672" w14:textId="77777777" w:rsidR="00F617E9" w:rsidRDefault="00F617E9">
      <w:pPr>
        <w:sectPr w:rsidR="00F617E9">
          <w:type w:val="continuous"/>
          <w:pgSz w:w="11906" w:h="16838"/>
          <w:pgMar w:top="1418" w:right="1134" w:bottom="1134" w:left="1418" w:header="720" w:footer="0" w:gutter="0"/>
          <w:cols w:space="720"/>
        </w:sectPr>
      </w:pPr>
    </w:p>
    <w:p w14:paraId="3652E306" w14:textId="77777777" w:rsidR="00F617E9" w:rsidRDefault="00F617E9">
      <w:pPr>
        <w:sectPr w:rsidR="00F617E9">
          <w:type w:val="continuous"/>
          <w:pgSz w:w="11906" w:h="16838"/>
          <w:pgMar w:top="1418" w:right="1134" w:bottom="1134" w:left="1418" w:header="720" w:footer="0" w:gutter="0"/>
          <w:cols w:space="720"/>
        </w:sectPr>
      </w:pPr>
    </w:p>
    <w:p w14:paraId="24DC2E54" w14:textId="77777777" w:rsidR="00F617E9" w:rsidRDefault="00F617E9">
      <w:pPr>
        <w:sectPr w:rsidR="00F617E9">
          <w:type w:val="continuous"/>
          <w:pgSz w:w="11906" w:h="16838"/>
          <w:pgMar w:top="1418" w:right="1134" w:bottom="1134" w:left="1418" w:header="720" w:footer="0" w:gutter="0"/>
          <w:cols w:space="720"/>
        </w:sectPr>
      </w:pPr>
    </w:p>
    <w:p w14:paraId="2DEA1B7E" w14:textId="77777777" w:rsidR="00F617E9" w:rsidRDefault="00F617E9">
      <w:pPr>
        <w:sectPr w:rsidR="00F617E9">
          <w:type w:val="continuous"/>
          <w:pgSz w:w="11906" w:h="16838"/>
          <w:pgMar w:top="1418" w:right="1134" w:bottom="1134" w:left="1418" w:header="720" w:footer="0" w:gutter="0"/>
          <w:cols w:space="720"/>
        </w:sectPr>
      </w:pPr>
    </w:p>
    <w:p w14:paraId="092D757D" w14:textId="77777777" w:rsidR="00F617E9" w:rsidRDefault="00F617E9"/>
    <w:sectPr w:rsidR="00F617E9">
      <w:type w:val="continuous"/>
      <w:pgSz w:w="11906" w:h="16838"/>
      <w:pgMar w:top="1418" w:right="1134" w:bottom="1134" w:left="1418"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7E3CC" w14:textId="77777777" w:rsidR="006B4CA1" w:rsidRDefault="006B4CA1">
      <w:r>
        <w:separator/>
      </w:r>
    </w:p>
  </w:endnote>
  <w:endnote w:type="continuationSeparator" w:id="0">
    <w:p w14:paraId="20381F01" w14:textId="77777777" w:rsidR="006B4CA1" w:rsidRDefault="006B4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Segoe Print"/>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E2410" w14:textId="77777777" w:rsidR="006B4CA1" w:rsidRDefault="006B4CA1">
      <w:r>
        <w:separator/>
      </w:r>
    </w:p>
  </w:footnote>
  <w:footnote w:type="continuationSeparator" w:id="0">
    <w:p w14:paraId="68CB9DCD" w14:textId="77777777" w:rsidR="006B4CA1" w:rsidRDefault="006B4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0C7C" w14:textId="1CC54E2F" w:rsidR="00F617E9" w:rsidRDefault="00000000">
    <w:pPr>
      <w:tabs>
        <w:tab w:val="center" w:pos="4680"/>
        <w:tab w:val="right" w:pos="9360"/>
      </w:tabs>
      <w:rPr>
        <w:rFonts w:ascii="Book Antiqua" w:eastAsia="Book Antiqua" w:hAnsi="Book Antiqua" w:cs="Book Antiqua"/>
        <w:color w:val="000000"/>
        <w:sz w:val="24"/>
        <w:szCs w:val="24"/>
      </w:rPr>
    </w:pPr>
    <w:proofErr w:type="spellStart"/>
    <w:r>
      <w:rPr>
        <w:rFonts w:ascii="Book Antiqua" w:eastAsia="Book Antiqua" w:hAnsi="Book Antiqua" w:cs="Book Antiqua"/>
        <w:color w:val="000000"/>
        <w:sz w:val="24"/>
        <w:szCs w:val="24"/>
      </w:rPr>
      <w:t>Dharmawangsa</w:t>
    </w:r>
    <w:proofErr w:type="spellEnd"/>
    <w:r>
      <w:rPr>
        <w:rFonts w:ascii="Book Antiqua" w:eastAsia="Book Antiqua" w:hAnsi="Book Antiqua" w:cs="Book Antiqua"/>
        <w:color w:val="000000"/>
        <w:sz w:val="24"/>
        <w:szCs w:val="24"/>
      </w:rPr>
      <w:t xml:space="preserve">: International Journals of The Social Science, Education and Humanities ISSN: 2716-5132 (p) Vol. </w:t>
    </w:r>
    <w:r w:rsidR="00A97509">
      <w:rPr>
        <w:rFonts w:ascii="Book Antiqua" w:eastAsia="Book Antiqua" w:hAnsi="Book Antiqua" w:cs="Book Antiqua"/>
        <w:color w:val="000000"/>
        <w:sz w:val="24"/>
        <w:szCs w:val="24"/>
      </w:rPr>
      <w:t>6</w:t>
    </w:r>
    <w:r>
      <w:rPr>
        <w:rFonts w:ascii="Book Antiqua" w:eastAsia="Book Antiqua" w:hAnsi="Book Antiqua" w:cs="Book Antiqua"/>
        <w:color w:val="000000"/>
        <w:sz w:val="24"/>
        <w:szCs w:val="24"/>
      </w:rPr>
      <w:t xml:space="preserve">, No. </w:t>
    </w:r>
    <w:r w:rsidR="00A97509">
      <w:rPr>
        <w:rFonts w:ascii="Book Antiqua" w:eastAsia="Book Antiqua" w:hAnsi="Book Antiqua" w:cs="Book Antiqua"/>
        <w:color w:val="000000"/>
        <w:sz w:val="24"/>
        <w:szCs w:val="24"/>
      </w:rPr>
      <w:t>3</w:t>
    </w:r>
    <w:r>
      <w:rPr>
        <w:rFonts w:ascii="Book Antiqua" w:eastAsia="Book Antiqua" w:hAnsi="Book Antiqua" w:cs="Book Antiqua"/>
        <w:color w:val="000000"/>
        <w:sz w:val="24"/>
        <w:szCs w:val="24"/>
      </w:rPr>
      <w:t>, 202</w:t>
    </w:r>
    <w:r w:rsidR="00A97509">
      <w:rPr>
        <w:rFonts w:ascii="Book Antiqua" w:eastAsia="Book Antiqua" w:hAnsi="Book Antiqua" w:cs="Book Antiqua"/>
        <w:color w:val="000000"/>
        <w:sz w:val="24"/>
        <w:szCs w:val="24"/>
      </w:rPr>
      <w:t>5</w:t>
    </w:r>
    <w:r>
      <w:rPr>
        <w:rFonts w:ascii="Book Antiqua" w:eastAsia="Book Antiqua" w:hAnsi="Book Antiqua" w:cs="Book Antiqua"/>
        <w:color w:val="000000"/>
        <w:sz w:val="24"/>
        <w:szCs w:val="24"/>
      </w:rPr>
      <w:t xml:space="preserve"> Page: 1 - 1</w:t>
    </w:r>
    <w:r w:rsidR="00A97509">
      <w:rPr>
        <w:rFonts w:ascii="Book Antiqua" w:eastAsia="Book Antiqua" w:hAnsi="Book Antiqua" w:cs="Book Antiqua"/>
        <w:color w:val="000000"/>
        <w:sz w:val="24"/>
        <w:szCs w:val="24"/>
      </w:rPr>
      <w:t>0</w:t>
    </w:r>
    <w:r>
      <w:rPr>
        <w:rFonts w:ascii="Book Antiqua" w:eastAsia="Book Antiqua" w:hAnsi="Book Antiqua" w:cs="Book Antiqua"/>
        <w:color w:val="000000"/>
        <w:sz w:val="24"/>
        <w:szCs w:val="24"/>
      </w:rPr>
      <w:tab/>
    </w:r>
    <w:r>
      <w:rPr>
        <w:rFonts w:ascii="Book Antiqua" w:eastAsia="Book Antiqua" w:hAnsi="Book Antiqua" w:cs="Book Antiqua"/>
        <w:color w:val="00000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355"/>
    <w:multiLevelType w:val="multilevel"/>
    <w:tmpl w:val="00770355"/>
    <w:lvl w:ilvl="0">
      <w:start w:val="1"/>
      <w:numFmt w:val="upperRoman"/>
      <w:lvlText w:val="%1."/>
      <w:lvlJc w:val="left"/>
      <w:pPr>
        <w:ind w:left="1080" w:hanging="720"/>
      </w:pPr>
      <w:rPr>
        <w:rFonts w:ascii="Book Antiqua" w:eastAsia="Times New Roman" w:hAnsi="Book Antiqua" w:cs="Times New Roman"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946537"/>
    <w:multiLevelType w:val="multilevel"/>
    <w:tmpl w:val="16946537"/>
    <w:lvl w:ilvl="0">
      <w:start w:val="1"/>
      <w:numFmt w:val="upperLetter"/>
      <w:lvlText w:val="%1."/>
      <w:lvlJc w:val="left"/>
      <w:pPr>
        <w:ind w:left="720" w:hanging="360"/>
      </w:pPr>
      <w:rPr>
        <w:rFonts w:ascii="Book Antiqua" w:hAnsi="Book Antiqua"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E3F5607"/>
    <w:multiLevelType w:val="multilevel"/>
    <w:tmpl w:val="2E3F5607"/>
    <w:lvl w:ilvl="0">
      <w:start w:val="1"/>
      <w:numFmt w:val="upperLetter"/>
      <w:lvlText w:val="%1."/>
      <w:lvlJc w:val="left"/>
      <w:pPr>
        <w:ind w:left="720" w:hanging="360"/>
      </w:pPr>
      <w:rPr>
        <w:rFonts w:ascii="Book Antiqua" w:hAnsi="Book Antiqua" w:hint="default"/>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92295834">
    <w:abstractNumId w:val="0"/>
  </w:num>
  <w:num w:numId="2" w16cid:durableId="1716999751">
    <w:abstractNumId w:val="2"/>
  </w:num>
  <w:num w:numId="3" w16cid:durableId="401294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931"/>
    <w:rsid w:val="0013407F"/>
    <w:rsid w:val="00251931"/>
    <w:rsid w:val="00542DCE"/>
    <w:rsid w:val="005C1B80"/>
    <w:rsid w:val="006B4CA1"/>
    <w:rsid w:val="00A97509"/>
    <w:rsid w:val="00AD2D56"/>
    <w:rsid w:val="00B011DB"/>
    <w:rsid w:val="00CE48BD"/>
    <w:rsid w:val="00EE7778"/>
    <w:rsid w:val="00F617E9"/>
    <w:rsid w:val="00F6568F"/>
    <w:rsid w:val="2E012F1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B71B72D"/>
  <w15:docId w15:val="{7CE2956B-243B-4B25-BDBE-C7A77BB8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eastAsia="Arial" w:hAnsi="Arial" w:cs="Arial"/>
      <w:sz w:val="18"/>
      <w:szCs w:val="18"/>
      <w:lang w:val="en-GB" w:eastAsia="zh-CN"/>
    </w:rPr>
  </w:style>
  <w:style w:type="paragraph" w:styleId="Heading1">
    <w:name w:val="heading 1"/>
    <w:basedOn w:val="Normal"/>
    <w:next w:val="Normal"/>
    <w:uiPriority w:val="9"/>
    <w:qFormat/>
    <w:pPr>
      <w:keepNext/>
      <w:outlineLvl w:val="0"/>
    </w:pPr>
    <w:rPr>
      <w:b/>
      <w:sz w:val="20"/>
      <w:szCs w:val="20"/>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rPr>
      <w:color w:val="0000FF" w:themeColor="hyperlink"/>
      <w:u w:val="single"/>
    </w:rPr>
  </w:style>
  <w:style w:type="paragraph" w:styleId="NormalWeb">
    <w:name w:val="Normal (Web)"/>
    <w:uiPriority w:val="99"/>
    <w:semiHidden/>
    <w:unhideWhenUsed/>
    <w:pPr>
      <w:spacing w:beforeAutospacing="1" w:afterAutospacing="1"/>
    </w:pPr>
    <w:rPr>
      <w:sz w:val="24"/>
      <w:szCs w:val="24"/>
      <w:lang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0">
    <w:name w:val="TableNormal"/>
    <w:qFormat/>
    <w:tblPr>
      <w:tblCellMar>
        <w:top w:w="100" w:type="dxa"/>
        <w:left w:w="100" w:type="dxa"/>
        <w:bottom w:w="100" w:type="dxa"/>
        <w:right w:w="100" w:type="dxa"/>
      </w:tblCellMar>
    </w:tblPr>
  </w:style>
  <w:style w:type="table" w:customStyle="1" w:styleId="Style12">
    <w:name w:val="_Style 12"/>
    <w:basedOn w:val="TableNormal0"/>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ri.jovanka1055@student.unri.ac.id"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aryono@lecture.unri.ac.i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nazwa.azura6584@student.unri.ac.id" TargetMode="External"/><Relationship Id="rId20" Type="http://schemas.openxmlformats.org/officeDocument/2006/relationships/image" Target="media/image4.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a.dallilah1082@student.unri.ac.id" TargetMode="External"/><Relationship Id="rId5" Type="http://schemas.openxmlformats.org/officeDocument/2006/relationships/webSettings" Target="webSettings.xml"/><Relationship Id="rId15" Type="http://schemas.openxmlformats.org/officeDocument/2006/relationships/hyperlink" Target="mailto:nabila.cantika4966@student.unri.ac.id" TargetMode="External"/><Relationship Id="rId10" Type="http://schemas.openxmlformats.org/officeDocument/2006/relationships/image" Target="media/image10.png"/><Relationship Id="rId19"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hyperlink" Target="https://www.onlinedoctranslator.com/en/?utm_source=onlinedoctranslator&amp;utm_medium=docx&amp;utm_campaign=attribution" TargetMode="External"/><Relationship Id="rId14" Type="http://schemas.openxmlformats.org/officeDocument/2006/relationships/hyperlink" Target="mailto:tasya.nofa6595@student.unri.ac.i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3856</Words>
  <Characters>21980</Characters>
  <Application>Microsoft Office Word</Application>
  <DocSecurity>0</DocSecurity>
  <Lines>183</Lines>
  <Paragraphs>51</Paragraphs>
  <ScaleCrop>false</ScaleCrop>
  <Company/>
  <LinksUpToDate>false</LinksUpToDate>
  <CharactersWithSpaces>25785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MUYA SYAROH</cp:lastModifiedBy>
  <cp:revision>3</cp:revision>
  <dcterms:created xsi:type="dcterms:W3CDTF">2025-10-13T03:06:00Z</dcterms:created>
  <dcterms:modified xsi:type="dcterms:W3CDTF">2025-11-04T05:18:00Z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y fmtid="{D5CDD505-2E9C-101B-9397-08002B2CF9AE}" pid="8" name="KSOProductBuildVer">
    <vt:lpwstr>1033-12.2.0.21931</vt:lpwstr>
  </property>
  <property fmtid="{D5CDD505-2E9C-101B-9397-08002B2CF9AE}" pid="9" name="ICV">
    <vt:lpwstr>E2DF18156FE946CE955B43CD66779D8A_13</vt:lpwstr>
  </property>
</Properties>
</file>