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327BF"/>
    <w:p w14:paraId="04C3FA06">
      <w:pPr>
        <w:jc w:val="center"/>
        <w:rPr>
          <w:rFonts w:hint="default" w:ascii="Book Antiqua" w:hAnsi="Book Antiqua"/>
          <w:b/>
          <w:color w:val="212121"/>
          <w:sz w:val="28"/>
          <w:szCs w:val="28"/>
          <w:shd w:val="clear" w:color="auto" w:fill="FFFFFF"/>
        </w:rPr>
      </w:pPr>
      <w:r>
        <w:rPr>
          <w:rFonts w:hint="default" w:ascii="Book Antiqua" w:hAnsi="Book Antiqua"/>
          <w:b/>
          <w:color w:val="212121"/>
          <w:sz w:val="28"/>
          <w:szCs w:val="28"/>
          <w:shd w:val="clear" w:color="auto" w:fill="FFFFFF"/>
        </w:rPr>
        <w:t>VIABILITY AND VIGOR TEST OF RICE SEEDS (Oryza sativa, L.) FARMER'S HARVEST RESULTS</w:t>
      </w:r>
    </w:p>
    <w:p w14:paraId="79CC283E">
      <w:pPr>
        <w:jc w:val="center"/>
        <w:rPr>
          <w:rFonts w:hint="default" w:ascii="Book Antiqua" w:hAnsi="Book Antiqua"/>
          <w:b/>
          <w:color w:val="212121"/>
          <w:sz w:val="28"/>
          <w:szCs w:val="28"/>
          <w:shd w:val="clear" w:color="auto" w:fill="FFFFFF"/>
        </w:rPr>
      </w:pPr>
    </w:p>
    <w:p w14:paraId="36935E76">
      <w:pPr>
        <w:jc w:val="center"/>
        <w:rPr>
          <w:rFonts w:hint="default" w:ascii="Book Antiqua" w:hAnsi="Book Antiqua"/>
          <w:b w:val="0"/>
          <w:bCs/>
          <w:color w:val="212121"/>
          <w:sz w:val="24"/>
          <w:szCs w:val="24"/>
          <w:shd w:val="clear" w:color="auto" w:fill="FFFFFF"/>
          <w:lang w:val="en-US"/>
        </w:rPr>
      </w:pPr>
      <w:r>
        <w:rPr>
          <w:rFonts w:hint="default" w:ascii="Book Antiqua" w:hAnsi="Book Antiqua"/>
          <w:b w:val="0"/>
          <w:bCs/>
          <w:color w:val="212121"/>
          <w:sz w:val="24"/>
          <w:szCs w:val="24"/>
          <w:shd w:val="clear" w:color="auto" w:fill="FFFFFF"/>
        </w:rPr>
        <w:t>Siti Nurul Iftitah</w:t>
      </w:r>
      <w:bookmarkStart w:id="2" w:name="_GoBack"/>
      <w:r>
        <w:rPr>
          <w:rFonts w:hint="default" w:ascii="Book Antiqua" w:hAnsi="Book Antiqua"/>
          <w:b w:val="0"/>
          <w:bCs/>
          <w:color w:val="212121"/>
          <w:sz w:val="24"/>
          <w:szCs w:val="24"/>
          <w:shd w:val="clear" w:color="auto" w:fill="FFFFFF"/>
          <w:vertAlign w:val="superscript"/>
        </w:rPr>
        <w:t>1</w:t>
      </w:r>
      <w:bookmarkEnd w:id="2"/>
    </w:p>
    <w:p w14:paraId="7D212B57">
      <w:pPr>
        <w:jc w:val="center"/>
        <w:rPr>
          <w:rFonts w:hint="default" w:ascii="Book Antiqua" w:hAnsi="Book Antiqua" w:cs="Book Antiqua"/>
          <w:b/>
          <w:color w:val="212121"/>
          <w:sz w:val="20"/>
          <w:szCs w:val="20"/>
          <w:shd w:val="clear" w:color="auto" w:fill="FFFFFF"/>
          <w:lang w:val="id-ID"/>
        </w:rPr>
      </w:pPr>
      <w:r>
        <w:rPr>
          <w:rFonts w:hint="default" w:ascii="Book Antiqua" w:hAnsi="Book Antiqua" w:cs="Book Antiqua"/>
          <w:b w:val="0"/>
          <w:bCs/>
          <w:color w:val="212121"/>
          <w:sz w:val="20"/>
          <w:szCs w:val="20"/>
          <w:shd w:val="clear" w:color="auto" w:fill="FFFFFF"/>
        </w:rPr>
        <w:t xml:space="preserve"> </w:t>
      </w:r>
      <w:r>
        <w:rPr>
          <w:rFonts w:hint="default" w:ascii="Book Antiqua" w:hAnsi="Book Antiqua"/>
          <w:b w:val="0"/>
          <w:bCs/>
          <w:color w:val="212121"/>
          <w:sz w:val="20"/>
          <w:szCs w:val="20"/>
          <w:shd w:val="clear" w:color="auto" w:fill="FFFFFF"/>
        </w:rPr>
        <w:t>Agrotechnology, Faculty of Agriculture, Tidar University</w:t>
      </w:r>
    </w:p>
    <w:p w14:paraId="0EB9EEB6">
      <w:pPr>
        <w:jc w:val="center"/>
        <w:rPr>
          <w:rFonts w:hint="default" w:ascii="Book Antiqua" w:hAnsi="Book Antiqua"/>
          <w:sz w:val="20"/>
          <w:szCs w:val="20"/>
          <w:lang w:val="id-ID"/>
        </w:rPr>
      </w:pPr>
      <w:r>
        <w:rPr>
          <w:rFonts w:hint="default" w:ascii="Book Antiqua" w:hAnsi="Book Antiqua"/>
          <w:sz w:val="20"/>
          <w:szCs w:val="20"/>
          <w:lang w:val="id-ID"/>
        </w:rPr>
        <w:t>Email :</w:t>
      </w:r>
      <w:r>
        <w:rPr>
          <w:rFonts w:hint="default" w:ascii="Book Antiqua" w:hAnsi="Book Antiqua"/>
          <w:sz w:val="20"/>
          <w:szCs w:val="20"/>
          <w:lang w:val="id-ID"/>
        </w:rPr>
        <w:fldChar w:fldCharType="begin"/>
      </w:r>
      <w:r>
        <w:rPr>
          <w:rFonts w:hint="default" w:ascii="Book Antiqua" w:hAnsi="Book Antiqua"/>
          <w:sz w:val="20"/>
          <w:szCs w:val="20"/>
          <w:lang w:val="id-ID"/>
        </w:rPr>
        <w:instrText xml:space="preserve"> HYPERLINK "mailto:nurul@untidar.ac.id" </w:instrText>
      </w:r>
      <w:r>
        <w:rPr>
          <w:rFonts w:hint="default" w:ascii="Book Antiqua" w:hAnsi="Book Antiqua"/>
          <w:sz w:val="20"/>
          <w:szCs w:val="20"/>
          <w:lang w:val="id-ID"/>
        </w:rPr>
        <w:fldChar w:fldCharType="separate"/>
      </w:r>
      <w:r>
        <w:rPr>
          <w:rStyle w:val="11"/>
          <w:rFonts w:hint="default" w:ascii="Book Antiqua" w:hAnsi="Book Antiqua"/>
          <w:sz w:val="20"/>
          <w:szCs w:val="20"/>
          <w:lang w:val="id-ID"/>
        </w:rPr>
        <w:t>nurul@untidar.ac.id</w:t>
      </w:r>
      <w:r>
        <w:rPr>
          <w:rFonts w:hint="default" w:ascii="Book Antiqua" w:hAnsi="Book Antiqua"/>
          <w:sz w:val="20"/>
          <w:szCs w:val="20"/>
          <w:lang w:val="id-ID"/>
        </w:rPr>
        <w:fldChar w:fldCharType="end"/>
      </w:r>
    </w:p>
    <w:p w14:paraId="4D4454A1">
      <w:pPr>
        <w:jc w:val="both"/>
        <w:rPr>
          <w:rFonts w:hint="default" w:ascii="Book Antiqua" w:hAnsi="Book Antiqua"/>
          <w:sz w:val="20"/>
          <w:szCs w:val="20"/>
          <w:lang w:val="id-ID"/>
        </w:rPr>
      </w:pPr>
    </w:p>
    <w:p w14:paraId="70BD7F73">
      <w:pPr>
        <w:rPr>
          <w:rFonts w:ascii="Times New Roman" w:hAnsi="Times New Roman"/>
          <w:b/>
          <w:i/>
          <w:iCs/>
          <w:color w:val="000000"/>
          <w:sz w:val="24"/>
        </w:rPr>
      </w:pPr>
    </w:p>
    <w:p w14:paraId="2CA14932">
      <w:pPr>
        <w:jc w:val="center"/>
        <w:rPr>
          <w:rFonts w:hint="default" w:ascii="Book Antiqua" w:hAnsi="Book Antiqua" w:cs="Book Antiqua"/>
          <w:b/>
          <w:bCs w:val="0"/>
          <w:i/>
          <w:iCs/>
          <w:color w:val="000000"/>
          <w:sz w:val="20"/>
          <w:szCs w:val="20"/>
          <w:lang w:val="en-US"/>
        </w:rPr>
      </w:pPr>
      <w:r>
        <w:rPr>
          <w:rFonts w:ascii="Times New Roman" w:hAnsi="Times New Roman"/>
          <w:b/>
          <w:i/>
          <w:iCs/>
          <w:sz w:val="24"/>
          <w:lang w:eastAsia="en-US"/>
        </w:rPr>
        <w:t>ABSTRACT</w:t>
      </w:r>
    </w:p>
    <w:p w14:paraId="133EC715">
      <w:pPr>
        <w:ind w:left="360" w:leftChars="200" w:firstLine="0" w:firstLineChars="0"/>
        <w:rPr>
          <w:rFonts w:hint="default" w:ascii="Book Antiqua" w:hAnsi="Book Antiqua"/>
          <w:b/>
          <w:bCs w:val="0"/>
          <w:i/>
          <w:iCs/>
          <w:color w:val="000000"/>
          <w:sz w:val="20"/>
          <w:szCs w:val="20"/>
          <w:lang w:val="en-US" w:eastAsia="en-US"/>
        </w:rPr>
      </w:pPr>
      <w:r>
        <w:rPr>
          <w:rFonts w:hint="default" w:ascii="Book Antiqua" w:hAnsi="Book Antiqua"/>
          <w:b/>
          <w:bCs w:val="0"/>
          <w:i/>
          <w:iCs/>
          <w:color w:val="000000"/>
          <w:sz w:val="20"/>
          <w:szCs w:val="20"/>
          <w:lang w:val="en-US" w:eastAsia="en-US"/>
        </w:rPr>
        <w:t>The study aimed to determine the viability and vigor of rice seeds harvested by farmers. The study was conducted in April 2025 in Pare Kranggan Village, Temanggung, by taking several samples of dry rice harvested by farmers. The samples were dried and then tested for viability and vigor. Each seed was placed in a petri dish containing 100 seeds and replicated three times. This study was designed using a Completely Randomized Design. Observations were made for 14 days, observing seed germination (viability) and seed vigor.</w:t>
      </w:r>
    </w:p>
    <w:p w14:paraId="7279B0E0">
      <w:pPr>
        <w:ind w:left="360" w:leftChars="200" w:firstLine="0" w:firstLineChars="0"/>
        <w:rPr>
          <w:rFonts w:hint="default" w:ascii="Book Antiqua" w:hAnsi="Book Antiqua"/>
          <w:b/>
          <w:bCs w:val="0"/>
          <w:i/>
          <w:iCs/>
          <w:color w:val="000000"/>
          <w:sz w:val="20"/>
          <w:szCs w:val="20"/>
          <w:lang w:val="en-US" w:eastAsia="en-US"/>
        </w:rPr>
      </w:pPr>
      <w:r>
        <w:rPr>
          <w:rFonts w:hint="default" w:ascii="Book Antiqua" w:hAnsi="Book Antiqua"/>
          <w:b/>
          <w:bCs w:val="0"/>
          <w:i/>
          <w:iCs/>
          <w:color w:val="000000"/>
          <w:sz w:val="20"/>
          <w:szCs w:val="20"/>
          <w:lang w:val="en-US" w:eastAsia="en-US"/>
        </w:rPr>
        <w:t>The results showed that seeds with a germination rate (viability) above 85% were only obtained from two sample farmers. Seed viability significantly influences the seed vigor index, with seeds with high viability also having a high vigor index. High vigor seeds are indicated by seeds with a high germination rate, namely with a vigor index above 20. One factor influencing low seed viability and vigor is that at harvest, the rice is not yet fully physiologically ripe.</w:t>
      </w:r>
    </w:p>
    <w:p w14:paraId="7D430BF9">
      <w:pPr>
        <w:ind w:left="360" w:leftChars="200" w:firstLine="0" w:firstLineChars="0"/>
        <w:rPr>
          <w:rFonts w:hint="default" w:ascii="Book Antiqua" w:hAnsi="Book Antiqua"/>
          <w:b/>
          <w:bCs w:val="0"/>
          <w:i/>
          <w:iCs/>
          <w:color w:val="000000"/>
          <w:sz w:val="20"/>
          <w:szCs w:val="20"/>
          <w:lang w:val="en-US" w:eastAsia="en-US"/>
        </w:rPr>
      </w:pPr>
    </w:p>
    <w:p w14:paraId="0FE0C6FB">
      <w:pPr>
        <w:ind w:left="360" w:leftChars="200" w:firstLine="0" w:firstLineChars="0"/>
        <w:rPr>
          <w:rFonts w:hint="default" w:ascii="Book Antiqua" w:hAnsi="Book Antiqua"/>
          <w:b/>
          <w:bCs w:val="0"/>
          <w:i/>
          <w:iCs/>
          <w:color w:val="000000"/>
          <w:sz w:val="20"/>
          <w:szCs w:val="20"/>
          <w:lang w:val="en-US" w:eastAsia="en-US"/>
        </w:rPr>
      </w:pPr>
      <w:r>
        <w:rPr>
          <w:rFonts w:hint="default" w:ascii="Book Antiqua" w:hAnsi="Book Antiqua"/>
          <w:b/>
          <w:bCs w:val="0"/>
          <w:i/>
          <w:iCs/>
          <w:color w:val="000000"/>
          <w:sz w:val="20"/>
          <w:szCs w:val="20"/>
          <w:lang w:val="en-US" w:eastAsia="en-US"/>
        </w:rPr>
        <w:t>Keywords: viability, vigor</w:t>
      </w:r>
    </w:p>
    <w:p w14:paraId="04B5AFBA">
      <w:pPr>
        <w:pStyle w:val="51"/>
        <w:ind w:left="0"/>
        <w:jc w:val="both"/>
        <w:rPr>
          <w:rFonts w:ascii="Times New Roman" w:hAnsi="Times New Roman"/>
          <w:b w:val="0"/>
          <w:color w:val="0000FF"/>
          <w:sz w:val="24"/>
          <w:szCs w:val="24"/>
          <w:lang w:val="fi-FI"/>
        </w:rPr>
      </w:pPr>
    </w:p>
    <w:p w14:paraId="344DFD11">
      <w:pPr>
        <w:rPr>
          <w:rFonts w:ascii="Times New Roman" w:hAnsi="Times New Roman"/>
          <w:sz w:val="24"/>
        </w:rPr>
        <w:sectPr>
          <w:headerReference r:id="rId3" w:type="default"/>
          <w:pgSz w:w="11906" w:h="16838"/>
          <w:pgMar w:top="1440" w:right="1800" w:bottom="1440" w:left="1800" w:header="720" w:footer="0" w:gutter="0"/>
          <w:cols w:space="720" w:num="1"/>
          <w:formProt w:val="0"/>
          <w:docGrid w:linePitch="360" w:charSpace="0"/>
        </w:sectPr>
      </w:pPr>
    </w:p>
    <w:p w14:paraId="2B563A0E">
      <w:pPr>
        <w:pStyle w:val="2"/>
        <w:numPr>
          <w:ilvl w:val="0"/>
          <w:numId w:val="1"/>
        </w:numPr>
        <w:ind w:left="900" w:leftChars="0" w:hanging="360" w:firstLineChars="0"/>
        <w:rPr>
          <w:rFonts w:hint="default" w:ascii="Book Antiqua" w:hAnsi="Book Antiqua" w:cs="Book Antiqua"/>
          <w:sz w:val="24"/>
          <w:szCs w:val="24"/>
        </w:rPr>
      </w:pPr>
      <w:r>
        <w:rPr>
          <w:rFonts w:hint="default" w:ascii="Book Antiqua" w:hAnsi="Book Antiqua" w:cs="Book Antiqua"/>
          <w:bCs/>
          <w:sz w:val="24"/>
          <w:szCs w:val="24"/>
        </w:rPr>
        <w:t>INTRODUCTION</w:t>
      </w:r>
    </w:p>
    <w:p w14:paraId="21255D4B">
      <w:pPr>
        <w:spacing w:line="240" w:lineRule="auto"/>
        <w:ind w:left="540" w:leftChars="300" w:firstLine="784" w:firstLineChars="327"/>
        <w:rPr>
          <w:rFonts w:hint="default" w:ascii="Times New Roman" w:hAnsi="Times New Roman"/>
          <w:sz w:val="24"/>
          <w:szCs w:val="24"/>
        </w:rPr>
      </w:pPr>
      <w:r>
        <w:rPr>
          <w:rFonts w:hint="default" w:ascii="Times New Roman" w:hAnsi="Times New Roman"/>
          <w:sz w:val="24"/>
          <w:szCs w:val="24"/>
        </w:rPr>
        <w:t>The demand for rice is increasing with population growth and shifts in consumption patterns from non-rice to rice-based foods. This situation becomes unstable if the balance between demand and supply is imbalanced. This situation forces Indonesia to import large quantities of rice. If left unchecked, this situation will lead to an increased dependence on rice imports, which will continue to grow in the future.</w:t>
      </w:r>
    </w:p>
    <w:p w14:paraId="77DB0312">
      <w:pPr>
        <w:spacing w:line="240" w:lineRule="auto"/>
        <w:ind w:left="540" w:leftChars="300" w:firstLine="784" w:firstLineChars="327"/>
        <w:rPr>
          <w:rFonts w:hint="default" w:ascii="Times New Roman" w:hAnsi="Times New Roman"/>
          <w:sz w:val="24"/>
          <w:szCs w:val="24"/>
        </w:rPr>
      </w:pPr>
      <w:r>
        <w:rPr>
          <w:rFonts w:hint="default" w:ascii="Times New Roman" w:hAnsi="Times New Roman"/>
          <w:sz w:val="24"/>
          <w:szCs w:val="24"/>
        </w:rPr>
        <w:t>One way to meet these needs is through proper plant cultivation, for example, by using superior seeds. Good seeds are those with high viability and vigor. Maximum seed viability is achieved when the seeds reach physiological maturity. To ensure high or good storability, seeds must have the highest possible vigor and germination potential (Sutopo, 2002).</w:t>
      </w:r>
    </w:p>
    <w:p w14:paraId="496D8533">
      <w:pPr>
        <w:spacing w:line="240" w:lineRule="auto"/>
        <w:ind w:left="540" w:leftChars="300" w:firstLine="784" w:firstLineChars="327"/>
        <w:rPr>
          <w:rFonts w:hint="default" w:ascii="Times New Roman" w:hAnsi="Times New Roman"/>
          <w:sz w:val="24"/>
          <w:szCs w:val="24"/>
        </w:rPr>
      </w:pPr>
      <w:r>
        <w:rPr>
          <w:rFonts w:hint="default" w:ascii="Times New Roman" w:hAnsi="Times New Roman"/>
          <w:sz w:val="24"/>
          <w:szCs w:val="24"/>
        </w:rPr>
        <w:t>Seeds will deteriorate during storage, reducing the supply of high-quality seeds. Seed quality is related to germination indicators, particularly in tropical regions, which often experience problems due to environmental factors not only during planting but also during storage. Seed deterioration is a gradual and irreversible process of quality decline due to physiological changes caused by internal factors. The process of seed deterioration cannot be prevented or avoided; however, it can be reduced through several efforts and treatments during storage, namely through proper storage methods. Seed deterioration increases in line with increasing seed moisture content. Seed viability during storage is determined by internal and external factors. Internal factors include seed genetic traits, initial viability, seed coat condition, and moisture content, while external factors include seed packaging, gas composition, temperature, and humidity of the storage room (Kartasapoetra, 2003).</w:t>
      </w:r>
    </w:p>
    <w:p w14:paraId="15E4CE64">
      <w:pPr>
        <w:spacing w:line="240" w:lineRule="auto"/>
        <w:ind w:left="540" w:leftChars="300" w:firstLine="784" w:firstLineChars="327"/>
        <w:rPr>
          <w:rFonts w:hint="default" w:ascii="Times New Roman" w:hAnsi="Times New Roman"/>
          <w:sz w:val="24"/>
          <w:szCs w:val="24"/>
        </w:rPr>
      </w:pPr>
      <w:r>
        <w:rPr>
          <w:rFonts w:hint="default" w:ascii="Times New Roman" w:hAnsi="Times New Roman"/>
          <w:sz w:val="24"/>
          <w:szCs w:val="24"/>
        </w:rPr>
        <w:t>According to Sutopo (2002), seed vigor is the ability of seeds to grow normally in suboptimal environmental conditions. Seed vigor is reflected by two pieces of information about viability: germination strength and seed storage capacity. Vigor is separated into genetic vigor and physiological vigor. Genetic vigor is the vigor of seeds from different genetic lines, while physiological vigor is vigor that can be distinguished within the same genetic line. Physiological vigor can be seen from indications of root growth, plumule or coleoptile, resistance to disease attacks, and cotyledon color, among others. Initial seed vigor also greatly determines seed quality, because during processing the seeds have undergone storage. Seeds with high initial vigor will experience a slower deterioration process during processing than seeds with low initial vigor. Characteristics of seeds with high vigor are long-term storage resistance, resistance to pests and diseases, rapid and even growth, and the ability to produce normal, productive mature plants in suboptimal growing environments. Meanwhile, the definition of seed germination capacity according to Kartasapoetra (2003) is the ability of seeds to grow normally in a suitable environment.</w:t>
      </w:r>
    </w:p>
    <w:p w14:paraId="2A8F1DAD">
      <w:pPr>
        <w:spacing w:line="240" w:lineRule="auto"/>
        <w:ind w:left="540" w:leftChars="300" w:firstLine="784" w:firstLineChars="327"/>
        <w:rPr>
          <w:rFonts w:hint="default" w:ascii="Times New Roman" w:hAnsi="Times New Roman"/>
          <w:sz w:val="24"/>
          <w:szCs w:val="24"/>
        </w:rPr>
      </w:pPr>
      <w:r>
        <w:rPr>
          <w:rFonts w:hint="default" w:ascii="Times New Roman" w:hAnsi="Times New Roman"/>
          <w:sz w:val="24"/>
          <w:szCs w:val="24"/>
        </w:rPr>
        <w:t>Efforts to increase rice yields and maintain high quality require proper cultivation practices to ensure high productivity. One such effort is testing the viability of rice seeds for subsequent planting.</w:t>
      </w:r>
    </w:p>
    <w:p w14:paraId="1EA2BECD">
      <w:pPr>
        <w:rPr>
          <w:rFonts w:hint="default" w:ascii="Times New Roman" w:hAnsi="Times New Roman"/>
          <w:sz w:val="22"/>
          <w:szCs w:val="22"/>
        </w:rPr>
      </w:pPr>
    </w:p>
    <w:p w14:paraId="0C82141D">
      <w:pPr>
        <w:spacing w:after="159"/>
        <w:ind w:left="540" w:leftChars="0" w:right="-2" w:firstLine="0" w:firstLineChars="0"/>
        <w:rPr>
          <w:rFonts w:hint="default" w:ascii="Book Antiqua" w:hAnsi="Book Antiqua" w:cs="Book Antiqua"/>
          <w:b/>
          <w:bCs/>
          <w:sz w:val="24"/>
        </w:rPr>
      </w:pPr>
      <w:r>
        <w:rPr>
          <w:rFonts w:hint="default" w:ascii="Book Antiqua" w:hAnsi="Book Antiqua" w:cs="Book Antiqua"/>
          <w:b/>
          <w:bCs/>
          <w:sz w:val="24"/>
        </w:rPr>
        <w:t>II. RESEARCH METHOD</w:t>
      </w:r>
    </w:p>
    <w:p w14:paraId="6F7615A3">
      <w:pPr>
        <w:ind w:left="540" w:leftChars="300" w:right="13" w:firstLine="0" w:firstLineChars="0"/>
        <w:rPr>
          <w:rFonts w:hint="default" w:ascii="Book Antiqua" w:hAnsi="Book Antiqua" w:cs="Book Antiqua"/>
          <w:b/>
          <w:bCs/>
          <w:sz w:val="24"/>
        </w:rPr>
      </w:pPr>
      <w:r>
        <w:rPr>
          <w:rFonts w:hint="default" w:ascii="Book Antiqua" w:hAnsi="Book Antiqua" w:cs="Book Antiqua"/>
          <w:b/>
          <w:bCs/>
          <w:sz w:val="24"/>
        </w:rPr>
        <w:t>Place and Time of Research</w:t>
      </w:r>
    </w:p>
    <w:p w14:paraId="46050474">
      <w:pPr>
        <w:ind w:left="540" w:leftChars="300" w:right="13" w:firstLine="715" w:firstLineChars="0"/>
        <w:rPr>
          <w:rFonts w:hint="default" w:ascii="Times New Roman" w:hAnsi="Times New Roman"/>
          <w:sz w:val="24"/>
        </w:rPr>
      </w:pPr>
      <w:r>
        <w:rPr>
          <w:rFonts w:hint="default" w:ascii="Times New Roman" w:hAnsi="Times New Roman"/>
          <w:sz w:val="24"/>
        </w:rPr>
        <w:t>The research was conducted in Pare Village, Kranggan District, Temanggung Regency in April 2025.</w:t>
      </w:r>
    </w:p>
    <w:p w14:paraId="3C62D652">
      <w:pPr>
        <w:ind w:left="540" w:leftChars="300" w:right="13" w:firstLine="0" w:firstLineChars="0"/>
        <w:rPr>
          <w:rFonts w:hint="default" w:ascii="Times New Roman" w:hAnsi="Times New Roman"/>
          <w:sz w:val="24"/>
        </w:rPr>
      </w:pPr>
      <w:r>
        <w:rPr>
          <w:rFonts w:hint="default" w:ascii="Book Antiqua" w:hAnsi="Book Antiqua" w:cs="Book Antiqua"/>
          <w:b/>
          <w:bCs/>
          <w:sz w:val="24"/>
        </w:rPr>
        <w:t>Research Materials</w:t>
      </w:r>
    </w:p>
    <w:p w14:paraId="411F970D">
      <w:pPr>
        <w:ind w:left="540" w:leftChars="300" w:right="13" w:firstLine="715" w:firstLineChars="0"/>
        <w:rPr>
          <w:rFonts w:hint="default" w:ascii="Times New Roman" w:hAnsi="Times New Roman"/>
          <w:sz w:val="24"/>
        </w:rPr>
      </w:pPr>
      <w:r>
        <w:rPr>
          <w:rFonts w:hint="default" w:ascii="Times New Roman" w:hAnsi="Times New Roman"/>
          <w:sz w:val="24"/>
        </w:rPr>
        <w:t>The materials used were dry harvested grain samples taken from alcohol farmers and distilled water.</w:t>
      </w:r>
    </w:p>
    <w:p w14:paraId="1D46B2B1">
      <w:pPr>
        <w:ind w:left="540" w:leftChars="300" w:right="13" w:firstLine="0" w:firstLineChars="0"/>
        <w:rPr>
          <w:rFonts w:hint="default" w:ascii="Times New Roman" w:hAnsi="Times New Roman"/>
          <w:sz w:val="24"/>
        </w:rPr>
      </w:pPr>
      <w:r>
        <w:rPr>
          <w:rFonts w:hint="default" w:ascii="Book Antiqua" w:hAnsi="Book Antiqua" w:cs="Book Antiqua"/>
          <w:b/>
          <w:bCs/>
          <w:sz w:val="24"/>
        </w:rPr>
        <w:t>Experimental Tools</w:t>
      </w:r>
    </w:p>
    <w:p w14:paraId="0C5539C3">
      <w:pPr>
        <w:ind w:left="540" w:leftChars="300" w:right="13" w:firstLine="715" w:firstLineChars="0"/>
        <w:rPr>
          <w:rFonts w:hint="default" w:ascii="Times New Roman" w:hAnsi="Times New Roman"/>
          <w:sz w:val="24"/>
        </w:rPr>
      </w:pPr>
      <w:r>
        <w:rPr>
          <w:rFonts w:hint="default" w:ascii="Times New Roman" w:hAnsi="Times New Roman"/>
          <w:sz w:val="24"/>
        </w:rPr>
        <w:t>The tools used in this research were stationery, computers, documentation tools, petri dishes, tweezers, paper towels, and beakers.</w:t>
      </w:r>
    </w:p>
    <w:p w14:paraId="148F568A">
      <w:pPr>
        <w:ind w:left="540" w:leftChars="300" w:right="13" w:firstLine="0" w:firstLineChars="0"/>
        <w:rPr>
          <w:rFonts w:hint="default" w:ascii="Times New Roman" w:hAnsi="Times New Roman"/>
          <w:sz w:val="24"/>
        </w:rPr>
      </w:pPr>
      <w:r>
        <w:rPr>
          <w:rFonts w:hint="default" w:ascii="Book Antiqua" w:hAnsi="Book Antiqua" w:cs="Book Antiqua"/>
          <w:b/>
          <w:bCs/>
          <w:sz w:val="24"/>
        </w:rPr>
        <w:t>Method</w:t>
      </w:r>
    </w:p>
    <w:p w14:paraId="2886D9CA">
      <w:pPr>
        <w:ind w:left="540" w:leftChars="300" w:right="13" w:firstLine="715" w:firstLineChars="0"/>
        <w:rPr>
          <w:rFonts w:hint="default" w:ascii="Times New Roman" w:hAnsi="Times New Roman"/>
          <w:sz w:val="24"/>
        </w:rPr>
      </w:pPr>
      <w:r>
        <w:rPr>
          <w:rFonts w:hint="default" w:ascii="Times New Roman" w:hAnsi="Times New Roman"/>
          <w:sz w:val="24"/>
        </w:rPr>
        <w:t>This descriptive study used several rice harvest samples. The samples were dried and then tested for viability and vigor. Each seed was placed in a medium containing 100 seeds, and the experiment was replicated three times. A completely randomized design was used. Observations were conducted until 14 days old.</w:t>
      </w:r>
    </w:p>
    <w:p w14:paraId="7BF3C561">
      <w:pPr>
        <w:ind w:left="540" w:leftChars="300" w:right="13" w:firstLine="0" w:firstLineChars="0"/>
        <w:rPr>
          <w:rFonts w:hint="default" w:ascii="Book Antiqua" w:hAnsi="Book Antiqua" w:cs="Book Antiqua"/>
          <w:b/>
          <w:bCs/>
          <w:sz w:val="24"/>
        </w:rPr>
      </w:pPr>
      <w:r>
        <w:rPr>
          <w:rFonts w:hint="default" w:ascii="Book Antiqua" w:hAnsi="Book Antiqua" w:cs="Book Antiqua"/>
          <w:b/>
          <w:bCs/>
          <w:sz w:val="24"/>
        </w:rPr>
        <w:t>Observed Variables</w:t>
      </w:r>
    </w:p>
    <w:p w14:paraId="7AF81960">
      <w:pPr>
        <w:ind w:left="540" w:leftChars="300" w:right="13" w:firstLine="0" w:firstLineChars="0"/>
        <w:rPr>
          <w:rFonts w:hint="default" w:ascii="Times New Roman" w:hAnsi="Times New Roman"/>
          <w:sz w:val="24"/>
        </w:rPr>
      </w:pPr>
      <w:r>
        <w:rPr>
          <w:rFonts w:hint="default" w:ascii="Book Antiqua" w:hAnsi="Book Antiqua" w:cs="Book Antiqua"/>
          <w:b/>
          <w:bCs/>
          <w:sz w:val="24"/>
        </w:rPr>
        <w:t>Germination power</w:t>
      </w:r>
    </w:p>
    <w:p w14:paraId="00875764">
      <w:pPr>
        <w:ind w:left="540" w:leftChars="300" w:right="13" w:firstLine="715" w:firstLineChars="0"/>
        <w:rPr>
          <w:rFonts w:hint="default" w:ascii="Times New Roman" w:hAnsi="Times New Roman"/>
          <w:sz w:val="24"/>
        </w:rPr>
      </w:pPr>
      <w:r>
        <w:rPr>
          <w:rFonts w:hint="default" w:ascii="Times New Roman" w:hAnsi="Times New Roman"/>
          <w:sz w:val="24"/>
        </w:rPr>
        <w:t>Observations were made by counting the number of normally growing seed sprouts each day. The percentage of germination, a parameter of seed viability, was calculated using the formula:</w:t>
      </w:r>
    </w:p>
    <w:p w14:paraId="5794AA58">
      <w:pPr>
        <w:ind w:left="540" w:leftChars="300" w:right="13" w:firstLine="0" w:firstLineChars="0"/>
        <w:rPr>
          <w:rFonts w:hint="default" w:ascii="Times New Roman" w:hAnsi="Times New Roman"/>
          <w:sz w:val="24"/>
        </w:rPr>
      </w:pPr>
    </w:p>
    <w:p w14:paraId="7858F8E0">
      <w:pPr>
        <w:ind w:left="540" w:leftChars="300" w:right="13" w:firstLine="0" w:firstLineChars="0"/>
        <w:rPr>
          <w:rFonts w:hint="default" w:ascii="Times New Roman" w:hAnsi="Times New Roman"/>
          <w:sz w:val="24"/>
        </w:rPr>
      </w:pPr>
      <w:r>
        <w:rPr>
          <w:rFonts w:hint="default" w:ascii="Times New Roman" w:hAnsi="Times New Roman"/>
          <w:sz w:val="24"/>
        </w:rPr>
        <w:t>Dk =</w:t>
      </w:r>
      <m:oMath>
        <m:f>
          <m:fPr>
            <m:ctrlPr>
              <w:rPr>
                <w:rFonts w:ascii="Cambria Math" w:hAnsi="Courier New" w:cs="Courier New"/>
                <w:lang w:val="zh-CN"/>
              </w:rPr>
            </m:ctrlPr>
          </m:fPr>
          <m:num>
            <m:nary>
              <m:naryPr>
                <m:chr m:val="∑"/>
                <m:subHide m:val="1"/>
                <m:supHide m:val="1"/>
                <m:ctrlPr>
                  <w:rPr>
                    <w:rFonts w:ascii="Cambria Math" w:hAnsi="Courier New" w:cs="Courier New"/>
                    <w:lang w:val="zh-CN"/>
                  </w:rPr>
                </m:ctrlPr>
              </m:naryPr>
              <m:sub>
                <m:ctrlPr>
                  <w:rPr>
                    <w:rFonts w:ascii="Cambria Math" w:hAnsi="Courier New" w:cs="Courier New"/>
                    <w:lang w:val="zh-CN"/>
                  </w:rPr>
                </m:ctrlPr>
              </m:sub>
              <m:sup>
                <m:ctrlPr>
                  <w:rPr>
                    <w:rFonts w:ascii="Cambria Math" w:hAnsi="Courier New" w:cs="Courier New"/>
                    <w:lang w:val="zh-CN"/>
                  </w:rPr>
                </m:ctrlPr>
              </m:sup>
              <m:e>
                <m:r>
                  <m:rPr>
                    <m:sty m:val="p"/>
                  </m:rPr>
                  <w:rPr>
                    <w:rFonts w:ascii="Cambria Math" w:hAnsi="Courier New" w:cs="Courier New"/>
                    <w:lang w:val="zh-CN"/>
                  </w:rPr>
                  <m:t>benih yang berkecambah normal</m:t>
                </m:r>
                <m:ctrlPr>
                  <w:rPr>
                    <w:rFonts w:ascii="Cambria Math" w:hAnsi="Courier New" w:cs="Courier New"/>
                    <w:lang w:val="zh-CN"/>
                  </w:rPr>
                </m:ctrlPr>
              </m:e>
            </m:nary>
            <m:ctrlPr>
              <w:rPr>
                <w:rFonts w:ascii="Cambria Math" w:hAnsi="Courier New" w:cs="Courier New"/>
                <w:lang w:val="zh-CN"/>
              </w:rPr>
            </m:ctrlPr>
          </m:num>
          <m:den>
            <m:nary>
              <m:naryPr>
                <m:chr m:val="∑"/>
                <m:subHide m:val="1"/>
                <m:supHide m:val="1"/>
                <m:ctrlPr>
                  <w:rPr>
                    <w:rFonts w:ascii="Cambria Math" w:hAnsi="Courier New" w:cs="Courier New"/>
                    <w:lang w:val="zh-CN"/>
                  </w:rPr>
                </m:ctrlPr>
              </m:naryPr>
              <m:sub>
                <m:ctrlPr>
                  <w:rPr>
                    <w:rFonts w:ascii="Cambria Math" w:hAnsi="Courier New" w:cs="Courier New"/>
                    <w:lang w:val="zh-CN"/>
                  </w:rPr>
                </m:ctrlPr>
              </m:sub>
              <m:sup>
                <m:ctrlPr>
                  <w:rPr>
                    <w:rFonts w:ascii="Cambria Math" w:hAnsi="Courier New" w:cs="Courier New"/>
                    <w:lang w:val="zh-CN"/>
                  </w:rPr>
                </m:ctrlPr>
              </m:sup>
              <m:e>
                <m:r>
                  <m:rPr>
                    <m:sty m:val="p"/>
                  </m:rPr>
                  <w:rPr>
                    <w:rFonts w:ascii="Cambria Math" w:hAnsi="Courier New" w:cs="Courier New"/>
                    <w:lang w:val="zh-CN"/>
                  </w:rPr>
                  <m:t xml:space="preserve">benih yang dikecambahkan </m:t>
                </m:r>
                <m:ctrlPr>
                  <w:rPr>
                    <w:rFonts w:ascii="Cambria Math" w:hAnsi="Courier New" w:cs="Courier New"/>
                    <w:lang w:val="zh-CN"/>
                  </w:rPr>
                </m:ctrlPr>
              </m:e>
            </m:nary>
            <m:ctrlPr>
              <w:rPr>
                <w:rFonts w:ascii="Cambria Math" w:hAnsi="Courier New" w:cs="Courier New"/>
                <w:lang w:val="zh-CN"/>
              </w:rPr>
            </m:ctrlPr>
          </m:den>
        </m:f>
        <m:r>
          <m:rPr>
            <m:sty m:val="p"/>
          </m:rPr>
          <w:rPr>
            <w:rFonts w:ascii="Cambria Math" w:hAnsi="Courier New" w:cs="Courier New"/>
            <w:lang w:val="zh-CN"/>
          </w:rPr>
          <m:t>x 100 %</m:t>
        </m:r>
      </m:oMath>
    </w:p>
    <w:p w14:paraId="33C606CB">
      <w:pPr>
        <w:ind w:left="540" w:leftChars="300" w:right="13" w:firstLine="0" w:firstLineChars="0"/>
        <w:rPr>
          <w:rFonts w:hint="default" w:ascii="Times New Roman" w:hAnsi="Times New Roman"/>
          <w:sz w:val="24"/>
        </w:rPr>
      </w:pPr>
      <w:r>
        <w:rPr>
          <w:rFonts w:hint="default" w:ascii="Times New Roman" w:hAnsi="Times New Roman"/>
          <w:sz w:val="24"/>
        </w:rPr>
        <w:t>Vigor, calculated using the vigor index formula as follows:</w:t>
      </w:r>
    </w:p>
    <w:p w14:paraId="5DCF250F">
      <w:pPr>
        <w:ind w:left="540" w:leftChars="300" w:right="13" w:firstLine="0" w:firstLineChars="0"/>
        <w:rPr>
          <w:rFonts w:hint="default" w:ascii="Times New Roman" w:hAnsi="Times New Roman"/>
          <w:sz w:val="24"/>
        </w:rPr>
      </w:pPr>
      <w:r>
        <w:rPr>
          <w:rFonts w:hint="default" w:ascii="Times New Roman" w:hAnsi="Times New Roman"/>
          <w:sz w:val="24"/>
        </w:rPr>
        <w:t>IV = G1/D1+G2/D2+ ….Gn/Dn</w:t>
      </w:r>
    </w:p>
    <w:p w14:paraId="4352DB19">
      <w:pPr>
        <w:ind w:left="540" w:leftChars="300" w:right="13" w:firstLine="0" w:firstLineChars="0"/>
        <w:rPr>
          <w:rFonts w:hint="default" w:ascii="Times New Roman" w:hAnsi="Times New Roman"/>
          <w:sz w:val="24"/>
        </w:rPr>
      </w:pPr>
    </w:p>
    <w:p w14:paraId="2D877AA4">
      <w:pPr>
        <w:ind w:left="540" w:leftChars="300" w:right="13" w:firstLine="0" w:firstLineChars="0"/>
        <w:rPr>
          <w:rFonts w:hint="default" w:ascii="Times New Roman" w:hAnsi="Times New Roman"/>
          <w:sz w:val="24"/>
        </w:rPr>
      </w:pPr>
      <w:r>
        <w:rPr>
          <w:rFonts w:hint="default" w:ascii="Times New Roman" w:hAnsi="Times New Roman"/>
          <w:sz w:val="24"/>
        </w:rPr>
        <w:t xml:space="preserve">  G = Number of seeds that germinate on day n</w:t>
      </w:r>
    </w:p>
    <w:p w14:paraId="2C53401D">
      <w:pPr>
        <w:ind w:left="540" w:leftChars="300" w:right="13" w:firstLine="0" w:firstLineChars="0"/>
        <w:rPr>
          <w:rFonts w:hint="default" w:ascii="Times New Roman" w:hAnsi="Times New Roman"/>
          <w:sz w:val="24"/>
        </w:rPr>
      </w:pPr>
      <w:r>
        <w:rPr>
          <w:rFonts w:hint="default" w:ascii="Times New Roman" w:hAnsi="Times New Roman"/>
          <w:sz w:val="24"/>
        </w:rPr>
        <w:t xml:space="preserve">  D = Time corresponding to the number G of days n</w:t>
      </w:r>
    </w:p>
    <w:p w14:paraId="5114D14C">
      <w:pPr>
        <w:ind w:left="540" w:leftChars="300" w:right="13" w:firstLine="0" w:firstLineChars="0"/>
        <w:rPr>
          <w:rFonts w:hint="default" w:ascii="Book Antiqua" w:hAnsi="Book Antiqua" w:cs="Book Antiqua"/>
          <w:b/>
          <w:bCs/>
          <w:sz w:val="24"/>
          <w:szCs w:val="24"/>
        </w:rPr>
      </w:pPr>
      <w:r>
        <w:rPr>
          <w:rFonts w:hint="default" w:ascii="Book Antiqua" w:hAnsi="Book Antiqua" w:cs="Book Antiqua"/>
          <w:b/>
          <w:bCs/>
          <w:sz w:val="24"/>
          <w:szCs w:val="24"/>
        </w:rPr>
        <w:t>Data analysis</w:t>
      </w:r>
    </w:p>
    <w:p w14:paraId="46B7F696">
      <w:pPr>
        <w:ind w:left="540" w:leftChars="300" w:right="13" w:firstLine="715" w:firstLineChars="0"/>
        <w:rPr>
          <w:rFonts w:hint="default" w:ascii="Times New Roman" w:hAnsi="Times New Roman"/>
          <w:sz w:val="24"/>
        </w:rPr>
      </w:pPr>
      <w:r>
        <w:rPr>
          <w:rFonts w:hint="default" w:ascii="Times New Roman" w:hAnsi="Times New Roman"/>
          <w:sz w:val="24"/>
        </w:rPr>
        <w:t>Data analysis was carried out after completing the observations by calculating the germination power and seed vigor index.</w:t>
      </w:r>
    </w:p>
    <w:p w14:paraId="16C1490F">
      <w:pPr>
        <w:spacing w:after="159"/>
        <w:ind w:left="567" w:right="-2"/>
        <w:rPr>
          <w:rFonts w:hint="default" w:ascii="Book Antiqua" w:hAnsi="Book Antiqua" w:eastAsia="Calibri" w:cs="Book Antiqua"/>
          <w:b/>
          <w:bCs/>
          <w:sz w:val="24"/>
        </w:rPr>
      </w:pPr>
    </w:p>
    <w:p w14:paraId="3F3FB103">
      <w:pPr>
        <w:spacing w:after="159"/>
        <w:ind w:left="567" w:right="-2"/>
        <w:rPr>
          <w:rFonts w:ascii="Times New Roman" w:hAnsi="Times New Roman" w:eastAsia="Calibri"/>
          <w:b/>
          <w:bCs/>
          <w:sz w:val="24"/>
        </w:rPr>
      </w:pPr>
      <w:r>
        <w:rPr>
          <w:rFonts w:hint="default" w:ascii="Book Antiqua" w:hAnsi="Book Antiqua" w:eastAsia="Calibri" w:cs="Book Antiqua"/>
          <w:b/>
          <w:bCs/>
          <w:sz w:val="24"/>
        </w:rPr>
        <w:t>III. RESULTS AND DISCUSSION</w:t>
      </w:r>
      <w:r>
        <w:rPr>
          <w:rFonts w:ascii="Times New Roman" w:hAnsi="Times New Roman" w:eastAsia="Calibri"/>
          <w:b/>
          <w:bCs/>
          <w:sz w:val="24"/>
        </w:rPr>
        <w:t xml:space="preserve"> </w:t>
      </w:r>
    </w:p>
    <w:p w14:paraId="49542A01">
      <w:pPr>
        <w:pStyle w:val="13"/>
        <w:spacing w:before="0" w:beforeAutospacing="0" w:after="0" w:afterAutospacing="0" w:line="240" w:lineRule="auto"/>
        <w:ind w:left="540" w:leftChars="300" w:firstLine="709" w:firstLineChars="0"/>
        <w:jc w:val="both"/>
        <w:rPr>
          <w:rStyle w:val="14"/>
          <w:rFonts w:hint="default" w:ascii="Times New Roman" w:hAnsi="Times New Roman" w:cs="Times New Roman"/>
          <w:b w:val="0"/>
          <w:sz w:val="24"/>
          <w:szCs w:val="24"/>
        </w:rPr>
      </w:pPr>
      <w:r>
        <w:rPr>
          <w:rStyle w:val="14"/>
          <w:rFonts w:hint="default" w:ascii="Times New Roman" w:hAnsi="Times New Roman" w:cs="Times New Roman"/>
          <w:b w:val="0"/>
          <w:sz w:val="24"/>
          <w:szCs w:val="24"/>
        </w:rPr>
        <w:t>This research was conducted to determine the viability and vigor of seeds.</w:t>
      </w:r>
      <w:r>
        <w:rPr>
          <w:rFonts w:hint="default" w:ascii="Times New Roman" w:hAnsi="Times New Roman" w:cs="Times New Roman"/>
          <w:sz w:val="24"/>
          <w:szCs w:val="24"/>
        </w:rPr>
        <w:t>Rice harvested by farmers. Table 1 shows that the viability of rice seeds from 10 samples taken shows that seeds with viability / germination above 85% were only obtained from two sample farmers. Good rice seeds are indicated by germination / seed growth power above 85%, meaning the seeds are suitable for use as further planting material, while seeds with a germination power of less than 85% are no longer suitable for use. Seeds with a germination power of less than 85% have a higher mortality rate.</w:t>
      </w:r>
    </w:p>
    <w:p w14:paraId="06238F0A">
      <w:pPr>
        <w:rPr>
          <w:rFonts w:ascii="Cambria" w:hAnsi="Cambria"/>
        </w:rPr>
      </w:pPr>
    </w:p>
    <w:p w14:paraId="5A583A13">
      <w:pPr>
        <w:rPr>
          <w:rFonts w:hint="default" w:ascii="Book Antiqua" w:hAnsi="Book Antiqua" w:cs="Book Antiqua"/>
          <w:b/>
          <w:bCs/>
          <w:sz w:val="24"/>
          <w:szCs w:val="24"/>
        </w:rPr>
      </w:pPr>
      <w:r>
        <w:rPr>
          <w:rFonts w:ascii="Cambria" w:hAnsi="Cambria"/>
        </w:rPr>
        <w:tab/>
      </w:r>
      <w:r>
        <w:rPr>
          <w:rFonts w:ascii="Cambria" w:hAnsi="Cambria"/>
        </w:rPr>
        <w:tab/>
      </w:r>
      <w:r>
        <w:rPr>
          <w:rFonts w:ascii="Cambria" w:hAnsi="Cambria"/>
        </w:rPr>
        <w:tab/>
      </w:r>
      <w:r>
        <w:rPr>
          <w:rFonts w:ascii="Cambria" w:hAnsi="Cambria"/>
        </w:rPr>
        <w:tab/>
      </w:r>
      <w:r>
        <w:rPr>
          <w:rFonts w:hint="default" w:ascii="Book Antiqua" w:hAnsi="Book Antiqua" w:cs="Book Antiqua"/>
          <w:b/>
          <w:bCs/>
          <w:sz w:val="24"/>
          <w:szCs w:val="24"/>
        </w:rPr>
        <w:t>Table 1. Seed Viability</w:t>
      </w:r>
    </w:p>
    <w:p w14:paraId="461C932E">
      <w:pPr>
        <w:rPr>
          <w:rFonts w:ascii="Cambria" w:hAnsi="Cambria"/>
        </w:rPr>
      </w:pPr>
    </w:p>
    <w:tbl>
      <w:tblPr>
        <w:tblStyle w:val="4"/>
        <w:tblW w:w="6096" w:type="dxa"/>
        <w:tblInd w:w="1207" w:type="dxa"/>
        <w:tblLayout w:type="autofit"/>
        <w:tblCellMar>
          <w:top w:w="0" w:type="dxa"/>
          <w:left w:w="108" w:type="dxa"/>
          <w:bottom w:w="0" w:type="dxa"/>
          <w:right w:w="108" w:type="dxa"/>
        </w:tblCellMar>
      </w:tblPr>
      <w:tblGrid>
        <w:gridCol w:w="1701"/>
        <w:gridCol w:w="993"/>
        <w:gridCol w:w="992"/>
        <w:gridCol w:w="850"/>
        <w:gridCol w:w="1560"/>
      </w:tblGrid>
      <w:tr w14:paraId="797A251C">
        <w:tblPrEx>
          <w:tblCellMar>
            <w:top w:w="0" w:type="dxa"/>
            <w:left w:w="108" w:type="dxa"/>
            <w:bottom w:w="0" w:type="dxa"/>
            <w:right w:w="108" w:type="dxa"/>
          </w:tblCellMar>
        </w:tblPrEx>
        <w:trPr>
          <w:trHeight w:val="300" w:hRule="atLeast"/>
        </w:trPr>
        <w:tc>
          <w:tcPr>
            <w:tcW w:w="1701" w:type="dxa"/>
            <w:vMerge w:val="restart"/>
            <w:tcBorders>
              <w:top w:val="single" w:color="auto" w:sz="4" w:space="0"/>
              <w:left w:val="single" w:color="auto" w:sz="4" w:space="0"/>
              <w:bottom w:val="single" w:color="000000" w:sz="4" w:space="0"/>
              <w:right w:val="single" w:color="auto" w:sz="4" w:space="0"/>
            </w:tcBorders>
            <w:noWrap/>
            <w:vAlign w:val="bottom"/>
          </w:tcPr>
          <w:p w14:paraId="7476C2D4">
            <w:pPr>
              <w:jc w:val="center"/>
              <w:rPr>
                <w:rFonts w:ascii="Cambria" w:hAnsi="Cambria"/>
                <w:color w:val="000000"/>
                <w:lang w:val="id-ID" w:eastAsia="id-ID"/>
              </w:rPr>
            </w:pPr>
            <w:r>
              <w:rPr>
                <w:rFonts w:ascii="Cambria" w:hAnsi="Cambria"/>
                <w:color w:val="000000"/>
                <w:lang w:val="id-ID" w:eastAsia="id-ID"/>
              </w:rPr>
              <w:t>Sample No.</w:t>
            </w:r>
          </w:p>
        </w:tc>
        <w:tc>
          <w:tcPr>
            <w:tcW w:w="4395" w:type="dxa"/>
            <w:gridSpan w:val="4"/>
            <w:tcBorders>
              <w:top w:val="single" w:color="auto" w:sz="4" w:space="0"/>
              <w:left w:val="nil"/>
              <w:bottom w:val="single" w:color="auto" w:sz="4" w:space="0"/>
              <w:right w:val="single" w:color="000000" w:sz="4" w:space="0"/>
            </w:tcBorders>
            <w:noWrap/>
            <w:vAlign w:val="bottom"/>
          </w:tcPr>
          <w:p w14:paraId="6603772C">
            <w:pPr>
              <w:jc w:val="center"/>
              <w:rPr>
                <w:rFonts w:ascii="Cambria" w:hAnsi="Cambria"/>
                <w:b/>
                <w:bCs/>
                <w:color w:val="000000"/>
                <w:lang w:val="id-ID" w:eastAsia="id-ID"/>
              </w:rPr>
            </w:pPr>
            <w:r>
              <w:rPr>
                <w:rFonts w:ascii="Cambria" w:hAnsi="Cambria"/>
                <w:b/>
                <w:bCs/>
                <w:color w:val="000000"/>
                <w:lang w:val="id-ID" w:eastAsia="id-ID"/>
              </w:rPr>
              <w:t>Test</w:t>
            </w:r>
          </w:p>
        </w:tc>
      </w:tr>
      <w:tr w14:paraId="6E80DEC6">
        <w:tblPrEx>
          <w:tblCellMar>
            <w:top w:w="0" w:type="dxa"/>
            <w:left w:w="108" w:type="dxa"/>
            <w:bottom w:w="0" w:type="dxa"/>
            <w:right w:w="108" w:type="dxa"/>
          </w:tblCellMar>
        </w:tblPrEx>
        <w:trPr>
          <w:trHeight w:val="300" w:hRule="atLeast"/>
        </w:trPr>
        <w:tc>
          <w:tcPr>
            <w:tcW w:w="1701" w:type="dxa"/>
            <w:vMerge w:val="continue"/>
            <w:tcBorders>
              <w:top w:val="single" w:color="auto" w:sz="4" w:space="0"/>
              <w:left w:val="single" w:color="auto" w:sz="4" w:space="0"/>
              <w:bottom w:val="single" w:color="000000" w:sz="4" w:space="0"/>
              <w:right w:val="single" w:color="auto" w:sz="4" w:space="0"/>
            </w:tcBorders>
            <w:noWrap w:val="0"/>
            <w:vAlign w:val="center"/>
          </w:tcPr>
          <w:p w14:paraId="53492C10">
            <w:pPr>
              <w:rPr>
                <w:rFonts w:ascii="Cambria" w:hAnsi="Cambria"/>
                <w:color w:val="000000"/>
                <w:lang w:val="id-ID" w:eastAsia="id-ID"/>
              </w:rPr>
            </w:pPr>
          </w:p>
        </w:tc>
        <w:tc>
          <w:tcPr>
            <w:tcW w:w="993" w:type="dxa"/>
            <w:tcBorders>
              <w:top w:val="nil"/>
              <w:left w:val="nil"/>
              <w:bottom w:val="single" w:color="auto" w:sz="4" w:space="0"/>
              <w:right w:val="single" w:color="auto" w:sz="4" w:space="0"/>
            </w:tcBorders>
            <w:noWrap/>
            <w:vAlign w:val="bottom"/>
          </w:tcPr>
          <w:p w14:paraId="46762AC1">
            <w:pPr>
              <w:jc w:val="center"/>
              <w:rPr>
                <w:rFonts w:ascii="Cambria" w:hAnsi="Cambria"/>
                <w:b/>
                <w:bCs/>
                <w:color w:val="000000"/>
                <w:lang w:val="id-ID" w:eastAsia="id-ID"/>
              </w:rPr>
            </w:pPr>
            <w:r>
              <w:rPr>
                <w:rFonts w:ascii="Cambria" w:hAnsi="Cambria"/>
                <w:b/>
                <w:bCs/>
                <w:color w:val="000000"/>
                <w:lang w:val="id-ID" w:eastAsia="id-ID"/>
              </w:rPr>
              <w:t>1 (%)</w:t>
            </w:r>
          </w:p>
        </w:tc>
        <w:tc>
          <w:tcPr>
            <w:tcW w:w="992" w:type="dxa"/>
            <w:tcBorders>
              <w:top w:val="nil"/>
              <w:left w:val="nil"/>
              <w:bottom w:val="single" w:color="auto" w:sz="4" w:space="0"/>
              <w:right w:val="single" w:color="auto" w:sz="4" w:space="0"/>
            </w:tcBorders>
            <w:noWrap/>
            <w:vAlign w:val="bottom"/>
          </w:tcPr>
          <w:p w14:paraId="7D46E1E3">
            <w:pPr>
              <w:jc w:val="center"/>
              <w:rPr>
                <w:rFonts w:ascii="Cambria" w:hAnsi="Cambria"/>
                <w:b/>
                <w:bCs/>
                <w:color w:val="000000"/>
                <w:lang w:val="id-ID" w:eastAsia="id-ID"/>
              </w:rPr>
            </w:pPr>
            <w:r>
              <w:rPr>
                <w:rFonts w:ascii="Cambria" w:hAnsi="Cambria"/>
                <w:b/>
                <w:bCs/>
                <w:color w:val="000000"/>
                <w:lang w:val="id-ID" w:eastAsia="id-ID"/>
              </w:rPr>
              <w:t>2 (%)</w:t>
            </w:r>
          </w:p>
        </w:tc>
        <w:tc>
          <w:tcPr>
            <w:tcW w:w="850" w:type="dxa"/>
            <w:tcBorders>
              <w:top w:val="nil"/>
              <w:left w:val="nil"/>
              <w:bottom w:val="single" w:color="auto" w:sz="4" w:space="0"/>
              <w:right w:val="single" w:color="auto" w:sz="4" w:space="0"/>
            </w:tcBorders>
            <w:noWrap/>
            <w:vAlign w:val="bottom"/>
          </w:tcPr>
          <w:p w14:paraId="3601F581">
            <w:pPr>
              <w:jc w:val="center"/>
              <w:rPr>
                <w:rFonts w:ascii="Cambria" w:hAnsi="Cambria"/>
                <w:b/>
                <w:bCs/>
                <w:color w:val="000000"/>
                <w:lang w:val="id-ID" w:eastAsia="id-ID"/>
              </w:rPr>
            </w:pPr>
            <w:r>
              <w:rPr>
                <w:rFonts w:ascii="Cambria" w:hAnsi="Cambria"/>
                <w:b/>
                <w:bCs/>
                <w:color w:val="000000"/>
                <w:lang w:val="id-ID" w:eastAsia="id-ID"/>
              </w:rPr>
              <w:t>3 (%)</w:t>
            </w:r>
          </w:p>
        </w:tc>
        <w:tc>
          <w:tcPr>
            <w:tcW w:w="1560" w:type="dxa"/>
            <w:tcBorders>
              <w:top w:val="nil"/>
              <w:left w:val="nil"/>
              <w:bottom w:val="single" w:color="auto" w:sz="4" w:space="0"/>
              <w:right w:val="single" w:color="auto" w:sz="4" w:space="0"/>
            </w:tcBorders>
            <w:noWrap/>
            <w:vAlign w:val="bottom"/>
          </w:tcPr>
          <w:p w14:paraId="45CDB65E">
            <w:pPr>
              <w:jc w:val="center"/>
              <w:rPr>
                <w:rFonts w:ascii="Cambria" w:hAnsi="Cambria"/>
                <w:b/>
                <w:bCs/>
                <w:color w:val="000000"/>
                <w:lang w:val="id-ID" w:eastAsia="id-ID"/>
              </w:rPr>
            </w:pPr>
            <w:r>
              <w:rPr>
                <w:rFonts w:ascii="Cambria" w:hAnsi="Cambria"/>
                <w:b/>
                <w:bCs/>
                <w:color w:val="000000"/>
                <w:lang w:val="id-ID" w:eastAsia="id-ID"/>
              </w:rPr>
              <w:t>Average (%)</w:t>
            </w:r>
          </w:p>
        </w:tc>
      </w:tr>
      <w:tr w14:paraId="41D9A7BB">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377F9F6B">
            <w:pPr>
              <w:jc w:val="center"/>
              <w:rPr>
                <w:rFonts w:ascii="Cambria" w:hAnsi="Cambria"/>
                <w:color w:val="000000"/>
                <w:lang w:val="id-ID" w:eastAsia="id-ID"/>
              </w:rPr>
            </w:pPr>
            <w:r>
              <w:rPr>
                <w:rFonts w:ascii="Cambria" w:hAnsi="Cambria"/>
                <w:color w:val="000000"/>
                <w:lang w:val="id-ID" w:eastAsia="id-ID"/>
              </w:rPr>
              <w:t>1</w:t>
            </w:r>
          </w:p>
        </w:tc>
        <w:tc>
          <w:tcPr>
            <w:tcW w:w="993" w:type="dxa"/>
            <w:tcBorders>
              <w:top w:val="nil"/>
              <w:left w:val="nil"/>
              <w:bottom w:val="single" w:color="auto" w:sz="4" w:space="0"/>
              <w:right w:val="single" w:color="auto" w:sz="4" w:space="0"/>
            </w:tcBorders>
            <w:noWrap/>
            <w:vAlign w:val="bottom"/>
          </w:tcPr>
          <w:p w14:paraId="1B041530">
            <w:pPr>
              <w:jc w:val="center"/>
              <w:rPr>
                <w:rFonts w:ascii="Cambria" w:hAnsi="Cambria"/>
                <w:color w:val="000000"/>
                <w:lang w:val="id-ID" w:eastAsia="id-ID"/>
              </w:rPr>
            </w:pPr>
            <w:r>
              <w:rPr>
                <w:rFonts w:ascii="Cambria" w:hAnsi="Cambria"/>
                <w:color w:val="000000"/>
                <w:lang w:val="id-ID" w:eastAsia="id-ID"/>
              </w:rPr>
              <w:t>72</w:t>
            </w:r>
          </w:p>
        </w:tc>
        <w:tc>
          <w:tcPr>
            <w:tcW w:w="992" w:type="dxa"/>
            <w:tcBorders>
              <w:top w:val="nil"/>
              <w:left w:val="nil"/>
              <w:bottom w:val="single" w:color="auto" w:sz="4" w:space="0"/>
              <w:right w:val="single" w:color="auto" w:sz="4" w:space="0"/>
            </w:tcBorders>
            <w:noWrap/>
            <w:vAlign w:val="bottom"/>
          </w:tcPr>
          <w:p w14:paraId="058EEF73">
            <w:pPr>
              <w:jc w:val="center"/>
              <w:rPr>
                <w:rFonts w:ascii="Cambria" w:hAnsi="Cambria"/>
                <w:color w:val="000000"/>
                <w:lang w:val="id-ID" w:eastAsia="id-ID"/>
              </w:rPr>
            </w:pPr>
            <w:r>
              <w:rPr>
                <w:rFonts w:ascii="Cambria" w:hAnsi="Cambria"/>
                <w:color w:val="000000"/>
                <w:lang w:val="id-ID" w:eastAsia="id-ID"/>
              </w:rPr>
              <w:t>75</w:t>
            </w:r>
          </w:p>
        </w:tc>
        <w:tc>
          <w:tcPr>
            <w:tcW w:w="850" w:type="dxa"/>
            <w:tcBorders>
              <w:top w:val="nil"/>
              <w:left w:val="nil"/>
              <w:bottom w:val="single" w:color="auto" w:sz="4" w:space="0"/>
              <w:right w:val="single" w:color="auto" w:sz="4" w:space="0"/>
            </w:tcBorders>
            <w:noWrap/>
            <w:vAlign w:val="bottom"/>
          </w:tcPr>
          <w:p w14:paraId="37035A4B">
            <w:pPr>
              <w:jc w:val="center"/>
              <w:rPr>
                <w:rFonts w:ascii="Cambria" w:hAnsi="Cambria"/>
                <w:color w:val="000000"/>
                <w:lang w:val="id-ID" w:eastAsia="id-ID"/>
              </w:rPr>
            </w:pPr>
            <w:r>
              <w:rPr>
                <w:rFonts w:ascii="Cambria" w:hAnsi="Cambria"/>
                <w:color w:val="000000"/>
                <w:lang w:val="id-ID" w:eastAsia="id-ID"/>
              </w:rPr>
              <w:t>82</w:t>
            </w:r>
          </w:p>
        </w:tc>
        <w:tc>
          <w:tcPr>
            <w:tcW w:w="1560" w:type="dxa"/>
            <w:tcBorders>
              <w:top w:val="nil"/>
              <w:left w:val="nil"/>
              <w:bottom w:val="single" w:color="auto" w:sz="4" w:space="0"/>
              <w:right w:val="single" w:color="auto" w:sz="4" w:space="0"/>
            </w:tcBorders>
            <w:noWrap/>
            <w:vAlign w:val="bottom"/>
          </w:tcPr>
          <w:p w14:paraId="55D37008">
            <w:pPr>
              <w:jc w:val="center"/>
              <w:rPr>
                <w:rFonts w:ascii="Cambria" w:hAnsi="Cambria"/>
                <w:b/>
                <w:bCs/>
                <w:lang w:val="id-ID" w:eastAsia="id-ID"/>
              </w:rPr>
            </w:pPr>
            <w:r>
              <w:rPr>
                <w:rFonts w:ascii="Cambria" w:hAnsi="Cambria"/>
                <w:b/>
                <w:bCs/>
                <w:lang w:val="id-ID" w:eastAsia="id-ID"/>
              </w:rPr>
              <w:t>76.33</w:t>
            </w:r>
          </w:p>
        </w:tc>
      </w:tr>
      <w:tr w14:paraId="328D9E87">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7E0B646A">
            <w:pPr>
              <w:jc w:val="center"/>
              <w:rPr>
                <w:rFonts w:ascii="Cambria" w:hAnsi="Cambria"/>
                <w:color w:val="000000"/>
                <w:lang w:val="id-ID" w:eastAsia="id-ID"/>
              </w:rPr>
            </w:pPr>
            <w:r>
              <w:rPr>
                <w:rFonts w:ascii="Cambria" w:hAnsi="Cambria"/>
                <w:color w:val="000000"/>
                <w:lang w:val="id-ID" w:eastAsia="id-ID"/>
              </w:rPr>
              <w:t>2</w:t>
            </w:r>
          </w:p>
        </w:tc>
        <w:tc>
          <w:tcPr>
            <w:tcW w:w="993" w:type="dxa"/>
            <w:tcBorders>
              <w:top w:val="nil"/>
              <w:left w:val="nil"/>
              <w:bottom w:val="single" w:color="auto" w:sz="4" w:space="0"/>
              <w:right w:val="single" w:color="auto" w:sz="4" w:space="0"/>
            </w:tcBorders>
            <w:noWrap/>
            <w:vAlign w:val="bottom"/>
          </w:tcPr>
          <w:p w14:paraId="14950208">
            <w:pPr>
              <w:jc w:val="center"/>
              <w:rPr>
                <w:rFonts w:ascii="Cambria" w:hAnsi="Cambria"/>
                <w:color w:val="000000"/>
                <w:lang w:val="id-ID" w:eastAsia="id-ID"/>
              </w:rPr>
            </w:pPr>
            <w:r>
              <w:rPr>
                <w:rFonts w:ascii="Cambria" w:hAnsi="Cambria"/>
                <w:color w:val="000000"/>
                <w:lang w:val="id-ID" w:eastAsia="id-ID"/>
              </w:rPr>
              <w:t>96</w:t>
            </w:r>
          </w:p>
        </w:tc>
        <w:tc>
          <w:tcPr>
            <w:tcW w:w="992" w:type="dxa"/>
            <w:tcBorders>
              <w:top w:val="nil"/>
              <w:left w:val="nil"/>
              <w:bottom w:val="single" w:color="auto" w:sz="4" w:space="0"/>
              <w:right w:val="single" w:color="auto" w:sz="4" w:space="0"/>
            </w:tcBorders>
            <w:noWrap/>
            <w:vAlign w:val="bottom"/>
          </w:tcPr>
          <w:p w14:paraId="2C7316D0">
            <w:pPr>
              <w:jc w:val="center"/>
              <w:rPr>
                <w:rFonts w:ascii="Cambria" w:hAnsi="Cambria"/>
                <w:color w:val="000000"/>
                <w:lang w:val="id-ID" w:eastAsia="id-ID"/>
              </w:rPr>
            </w:pPr>
            <w:r>
              <w:rPr>
                <w:rFonts w:ascii="Cambria" w:hAnsi="Cambria"/>
                <w:color w:val="000000"/>
                <w:lang w:val="id-ID" w:eastAsia="id-ID"/>
              </w:rPr>
              <w:t>93</w:t>
            </w:r>
          </w:p>
        </w:tc>
        <w:tc>
          <w:tcPr>
            <w:tcW w:w="850" w:type="dxa"/>
            <w:tcBorders>
              <w:top w:val="nil"/>
              <w:left w:val="nil"/>
              <w:bottom w:val="single" w:color="auto" w:sz="4" w:space="0"/>
              <w:right w:val="single" w:color="auto" w:sz="4" w:space="0"/>
            </w:tcBorders>
            <w:noWrap/>
            <w:vAlign w:val="bottom"/>
          </w:tcPr>
          <w:p w14:paraId="2D3F99A4">
            <w:pPr>
              <w:jc w:val="center"/>
              <w:rPr>
                <w:rFonts w:ascii="Cambria" w:hAnsi="Cambria"/>
                <w:color w:val="000000"/>
                <w:lang w:val="id-ID" w:eastAsia="id-ID"/>
              </w:rPr>
            </w:pPr>
            <w:r>
              <w:rPr>
                <w:rFonts w:ascii="Cambria" w:hAnsi="Cambria"/>
                <w:color w:val="000000"/>
                <w:lang w:val="id-ID" w:eastAsia="id-ID"/>
              </w:rPr>
              <w:t>96</w:t>
            </w:r>
          </w:p>
        </w:tc>
        <w:tc>
          <w:tcPr>
            <w:tcW w:w="1560" w:type="dxa"/>
            <w:tcBorders>
              <w:top w:val="nil"/>
              <w:left w:val="nil"/>
              <w:bottom w:val="single" w:color="auto" w:sz="4" w:space="0"/>
              <w:right w:val="single" w:color="auto" w:sz="4" w:space="0"/>
            </w:tcBorders>
            <w:noWrap/>
            <w:vAlign w:val="bottom"/>
          </w:tcPr>
          <w:p w14:paraId="2797EFC8">
            <w:pPr>
              <w:jc w:val="center"/>
              <w:rPr>
                <w:rFonts w:ascii="Cambria" w:hAnsi="Cambria"/>
                <w:b/>
                <w:bCs/>
                <w:lang w:val="id-ID" w:eastAsia="id-ID"/>
              </w:rPr>
            </w:pPr>
            <w:r>
              <w:rPr>
                <w:rFonts w:ascii="Cambria" w:hAnsi="Cambria"/>
                <w:b/>
                <w:bCs/>
                <w:lang w:val="id-ID" w:eastAsia="id-ID"/>
              </w:rPr>
              <w:t>95.0</w:t>
            </w:r>
          </w:p>
        </w:tc>
      </w:tr>
      <w:tr w14:paraId="43463F93">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69B0F62B">
            <w:pPr>
              <w:jc w:val="center"/>
              <w:rPr>
                <w:rFonts w:ascii="Cambria" w:hAnsi="Cambria"/>
                <w:color w:val="000000"/>
                <w:lang w:val="id-ID" w:eastAsia="id-ID"/>
              </w:rPr>
            </w:pPr>
            <w:r>
              <w:rPr>
                <w:rFonts w:ascii="Cambria" w:hAnsi="Cambria"/>
                <w:color w:val="000000"/>
                <w:lang w:val="id-ID" w:eastAsia="id-ID"/>
              </w:rPr>
              <w:t>3</w:t>
            </w:r>
          </w:p>
        </w:tc>
        <w:tc>
          <w:tcPr>
            <w:tcW w:w="993" w:type="dxa"/>
            <w:tcBorders>
              <w:top w:val="nil"/>
              <w:left w:val="nil"/>
              <w:bottom w:val="single" w:color="auto" w:sz="4" w:space="0"/>
              <w:right w:val="single" w:color="auto" w:sz="4" w:space="0"/>
            </w:tcBorders>
            <w:noWrap/>
            <w:vAlign w:val="bottom"/>
          </w:tcPr>
          <w:p w14:paraId="35138EC4">
            <w:pPr>
              <w:jc w:val="center"/>
              <w:rPr>
                <w:rFonts w:ascii="Cambria" w:hAnsi="Cambria"/>
                <w:color w:val="000000"/>
                <w:lang w:val="id-ID" w:eastAsia="id-ID"/>
              </w:rPr>
            </w:pPr>
            <w:r>
              <w:rPr>
                <w:rFonts w:ascii="Cambria" w:hAnsi="Cambria"/>
                <w:color w:val="000000"/>
                <w:lang w:val="id-ID" w:eastAsia="id-ID"/>
              </w:rPr>
              <w:t>93</w:t>
            </w:r>
          </w:p>
        </w:tc>
        <w:tc>
          <w:tcPr>
            <w:tcW w:w="992" w:type="dxa"/>
            <w:tcBorders>
              <w:top w:val="nil"/>
              <w:left w:val="nil"/>
              <w:bottom w:val="single" w:color="auto" w:sz="4" w:space="0"/>
              <w:right w:val="single" w:color="auto" w:sz="4" w:space="0"/>
            </w:tcBorders>
            <w:noWrap/>
            <w:vAlign w:val="bottom"/>
          </w:tcPr>
          <w:p w14:paraId="42BBB481">
            <w:pPr>
              <w:jc w:val="center"/>
              <w:rPr>
                <w:rFonts w:ascii="Cambria" w:hAnsi="Cambria"/>
                <w:color w:val="000000"/>
                <w:lang w:val="id-ID" w:eastAsia="id-ID"/>
              </w:rPr>
            </w:pPr>
            <w:r>
              <w:rPr>
                <w:rFonts w:ascii="Cambria" w:hAnsi="Cambria"/>
                <w:color w:val="000000"/>
                <w:lang w:val="id-ID" w:eastAsia="id-ID"/>
              </w:rPr>
              <w:t>96</w:t>
            </w:r>
          </w:p>
        </w:tc>
        <w:tc>
          <w:tcPr>
            <w:tcW w:w="850" w:type="dxa"/>
            <w:tcBorders>
              <w:top w:val="nil"/>
              <w:left w:val="nil"/>
              <w:bottom w:val="single" w:color="auto" w:sz="4" w:space="0"/>
              <w:right w:val="single" w:color="auto" w:sz="4" w:space="0"/>
            </w:tcBorders>
            <w:noWrap/>
            <w:vAlign w:val="bottom"/>
          </w:tcPr>
          <w:p w14:paraId="3C46726F">
            <w:pPr>
              <w:jc w:val="center"/>
              <w:rPr>
                <w:rFonts w:ascii="Cambria" w:hAnsi="Cambria"/>
                <w:color w:val="000000"/>
                <w:lang w:val="id-ID" w:eastAsia="id-ID"/>
              </w:rPr>
            </w:pPr>
            <w:r>
              <w:rPr>
                <w:rFonts w:ascii="Cambria" w:hAnsi="Cambria"/>
                <w:color w:val="000000"/>
                <w:lang w:val="id-ID" w:eastAsia="id-ID"/>
              </w:rPr>
              <w:t>97</w:t>
            </w:r>
          </w:p>
        </w:tc>
        <w:tc>
          <w:tcPr>
            <w:tcW w:w="1560" w:type="dxa"/>
            <w:tcBorders>
              <w:top w:val="nil"/>
              <w:left w:val="nil"/>
              <w:bottom w:val="single" w:color="auto" w:sz="4" w:space="0"/>
              <w:right w:val="single" w:color="auto" w:sz="4" w:space="0"/>
            </w:tcBorders>
            <w:noWrap/>
            <w:vAlign w:val="bottom"/>
          </w:tcPr>
          <w:p w14:paraId="68EF29C2">
            <w:pPr>
              <w:jc w:val="center"/>
              <w:rPr>
                <w:rFonts w:ascii="Cambria" w:hAnsi="Cambria"/>
                <w:b/>
                <w:bCs/>
                <w:lang w:val="id-ID" w:eastAsia="id-ID"/>
              </w:rPr>
            </w:pPr>
            <w:r>
              <w:rPr>
                <w:rFonts w:ascii="Cambria" w:hAnsi="Cambria"/>
                <w:b/>
                <w:bCs/>
                <w:lang w:val="id-ID" w:eastAsia="id-ID"/>
              </w:rPr>
              <w:t>95.33</w:t>
            </w:r>
          </w:p>
        </w:tc>
      </w:tr>
      <w:tr w14:paraId="175D43D0">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7AA4C4CA">
            <w:pPr>
              <w:jc w:val="center"/>
              <w:rPr>
                <w:rFonts w:ascii="Cambria" w:hAnsi="Cambria"/>
                <w:color w:val="000000"/>
                <w:lang w:val="id-ID" w:eastAsia="id-ID"/>
              </w:rPr>
            </w:pPr>
            <w:r>
              <w:rPr>
                <w:rFonts w:ascii="Cambria" w:hAnsi="Cambria"/>
                <w:color w:val="000000"/>
                <w:lang w:val="id-ID" w:eastAsia="id-ID"/>
              </w:rPr>
              <w:t>4</w:t>
            </w:r>
          </w:p>
        </w:tc>
        <w:tc>
          <w:tcPr>
            <w:tcW w:w="993" w:type="dxa"/>
            <w:tcBorders>
              <w:top w:val="nil"/>
              <w:left w:val="nil"/>
              <w:bottom w:val="single" w:color="auto" w:sz="4" w:space="0"/>
              <w:right w:val="single" w:color="auto" w:sz="4" w:space="0"/>
            </w:tcBorders>
            <w:noWrap/>
            <w:vAlign w:val="bottom"/>
          </w:tcPr>
          <w:p w14:paraId="73C13543">
            <w:pPr>
              <w:jc w:val="center"/>
              <w:rPr>
                <w:rFonts w:ascii="Cambria" w:hAnsi="Cambria"/>
                <w:color w:val="000000"/>
                <w:lang w:val="id-ID" w:eastAsia="id-ID"/>
              </w:rPr>
            </w:pPr>
            <w:r>
              <w:rPr>
                <w:rFonts w:ascii="Cambria" w:hAnsi="Cambria"/>
                <w:color w:val="000000"/>
                <w:lang w:val="id-ID" w:eastAsia="id-ID"/>
              </w:rPr>
              <w:t>27</w:t>
            </w:r>
          </w:p>
        </w:tc>
        <w:tc>
          <w:tcPr>
            <w:tcW w:w="992" w:type="dxa"/>
            <w:tcBorders>
              <w:top w:val="nil"/>
              <w:left w:val="nil"/>
              <w:bottom w:val="single" w:color="auto" w:sz="4" w:space="0"/>
              <w:right w:val="single" w:color="auto" w:sz="4" w:space="0"/>
            </w:tcBorders>
            <w:noWrap/>
            <w:vAlign w:val="bottom"/>
          </w:tcPr>
          <w:p w14:paraId="3BD4AFB4">
            <w:pPr>
              <w:jc w:val="center"/>
              <w:rPr>
                <w:rFonts w:ascii="Cambria" w:hAnsi="Cambria"/>
                <w:color w:val="000000"/>
                <w:lang w:val="id-ID" w:eastAsia="id-ID"/>
              </w:rPr>
            </w:pPr>
            <w:r>
              <w:rPr>
                <w:rFonts w:ascii="Cambria" w:hAnsi="Cambria"/>
                <w:color w:val="000000"/>
                <w:lang w:val="id-ID" w:eastAsia="id-ID"/>
              </w:rPr>
              <w:t>34</w:t>
            </w:r>
          </w:p>
        </w:tc>
        <w:tc>
          <w:tcPr>
            <w:tcW w:w="850" w:type="dxa"/>
            <w:tcBorders>
              <w:top w:val="nil"/>
              <w:left w:val="nil"/>
              <w:bottom w:val="single" w:color="auto" w:sz="4" w:space="0"/>
              <w:right w:val="single" w:color="auto" w:sz="4" w:space="0"/>
            </w:tcBorders>
            <w:noWrap/>
            <w:vAlign w:val="bottom"/>
          </w:tcPr>
          <w:p w14:paraId="6CD024CE">
            <w:pPr>
              <w:jc w:val="center"/>
              <w:rPr>
                <w:rFonts w:ascii="Cambria" w:hAnsi="Cambria"/>
                <w:color w:val="000000"/>
                <w:lang w:val="id-ID" w:eastAsia="id-ID"/>
              </w:rPr>
            </w:pPr>
            <w:r>
              <w:rPr>
                <w:rFonts w:ascii="Cambria" w:hAnsi="Cambria"/>
                <w:color w:val="000000"/>
                <w:lang w:val="id-ID" w:eastAsia="id-ID"/>
              </w:rPr>
              <w:t>39</w:t>
            </w:r>
          </w:p>
        </w:tc>
        <w:tc>
          <w:tcPr>
            <w:tcW w:w="1560" w:type="dxa"/>
            <w:tcBorders>
              <w:top w:val="nil"/>
              <w:left w:val="nil"/>
              <w:bottom w:val="single" w:color="auto" w:sz="4" w:space="0"/>
              <w:right w:val="single" w:color="auto" w:sz="4" w:space="0"/>
            </w:tcBorders>
            <w:noWrap/>
            <w:vAlign w:val="bottom"/>
          </w:tcPr>
          <w:p w14:paraId="2AA1EE0A">
            <w:pPr>
              <w:jc w:val="center"/>
              <w:rPr>
                <w:rFonts w:ascii="Cambria" w:hAnsi="Cambria"/>
                <w:b/>
                <w:bCs/>
                <w:lang w:val="id-ID" w:eastAsia="id-ID"/>
              </w:rPr>
            </w:pPr>
            <w:r>
              <w:rPr>
                <w:rFonts w:ascii="Cambria" w:hAnsi="Cambria"/>
                <w:b/>
                <w:bCs/>
                <w:lang w:val="id-ID" w:eastAsia="id-ID"/>
              </w:rPr>
              <w:t>33.3</w:t>
            </w:r>
          </w:p>
        </w:tc>
      </w:tr>
      <w:tr w14:paraId="6C6CEBF7">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4C45F755">
            <w:pPr>
              <w:jc w:val="center"/>
              <w:rPr>
                <w:rFonts w:ascii="Cambria" w:hAnsi="Cambria"/>
                <w:color w:val="000000"/>
                <w:lang w:val="id-ID" w:eastAsia="id-ID"/>
              </w:rPr>
            </w:pPr>
            <w:r>
              <w:rPr>
                <w:rFonts w:ascii="Cambria" w:hAnsi="Cambria"/>
                <w:color w:val="000000"/>
                <w:lang w:val="id-ID" w:eastAsia="id-ID"/>
              </w:rPr>
              <w:t>5</w:t>
            </w:r>
          </w:p>
        </w:tc>
        <w:tc>
          <w:tcPr>
            <w:tcW w:w="993" w:type="dxa"/>
            <w:tcBorders>
              <w:top w:val="nil"/>
              <w:left w:val="nil"/>
              <w:bottom w:val="single" w:color="auto" w:sz="4" w:space="0"/>
              <w:right w:val="single" w:color="auto" w:sz="4" w:space="0"/>
            </w:tcBorders>
            <w:noWrap/>
            <w:vAlign w:val="bottom"/>
          </w:tcPr>
          <w:p w14:paraId="5F284398">
            <w:pPr>
              <w:jc w:val="center"/>
              <w:rPr>
                <w:rFonts w:ascii="Cambria" w:hAnsi="Cambria"/>
                <w:color w:val="000000"/>
                <w:lang w:val="id-ID" w:eastAsia="id-ID"/>
              </w:rPr>
            </w:pPr>
            <w:r>
              <w:rPr>
                <w:rFonts w:ascii="Cambria" w:hAnsi="Cambria"/>
                <w:color w:val="000000"/>
                <w:lang w:val="id-ID" w:eastAsia="id-ID"/>
              </w:rPr>
              <w:t>78</w:t>
            </w:r>
          </w:p>
        </w:tc>
        <w:tc>
          <w:tcPr>
            <w:tcW w:w="992" w:type="dxa"/>
            <w:tcBorders>
              <w:top w:val="nil"/>
              <w:left w:val="nil"/>
              <w:bottom w:val="single" w:color="auto" w:sz="4" w:space="0"/>
              <w:right w:val="single" w:color="auto" w:sz="4" w:space="0"/>
            </w:tcBorders>
            <w:noWrap/>
            <w:vAlign w:val="bottom"/>
          </w:tcPr>
          <w:p w14:paraId="2DAE3F15">
            <w:pPr>
              <w:jc w:val="center"/>
              <w:rPr>
                <w:rFonts w:ascii="Cambria" w:hAnsi="Cambria"/>
                <w:color w:val="000000"/>
                <w:lang w:val="id-ID" w:eastAsia="id-ID"/>
              </w:rPr>
            </w:pPr>
            <w:r>
              <w:rPr>
                <w:rFonts w:ascii="Cambria" w:hAnsi="Cambria"/>
                <w:color w:val="000000"/>
                <w:lang w:val="id-ID" w:eastAsia="id-ID"/>
              </w:rPr>
              <w:t>69</w:t>
            </w:r>
          </w:p>
        </w:tc>
        <w:tc>
          <w:tcPr>
            <w:tcW w:w="850" w:type="dxa"/>
            <w:tcBorders>
              <w:top w:val="nil"/>
              <w:left w:val="nil"/>
              <w:bottom w:val="single" w:color="auto" w:sz="4" w:space="0"/>
              <w:right w:val="single" w:color="auto" w:sz="4" w:space="0"/>
            </w:tcBorders>
            <w:noWrap/>
            <w:vAlign w:val="bottom"/>
          </w:tcPr>
          <w:p w14:paraId="26912275">
            <w:pPr>
              <w:jc w:val="center"/>
              <w:rPr>
                <w:rFonts w:ascii="Cambria" w:hAnsi="Cambria"/>
                <w:color w:val="000000"/>
                <w:lang w:val="id-ID" w:eastAsia="id-ID"/>
              </w:rPr>
            </w:pPr>
            <w:r>
              <w:rPr>
                <w:rFonts w:ascii="Cambria" w:hAnsi="Cambria"/>
                <w:color w:val="000000"/>
                <w:lang w:val="id-ID" w:eastAsia="id-ID"/>
              </w:rPr>
              <w:t>72</w:t>
            </w:r>
          </w:p>
        </w:tc>
        <w:tc>
          <w:tcPr>
            <w:tcW w:w="1560" w:type="dxa"/>
            <w:tcBorders>
              <w:top w:val="nil"/>
              <w:left w:val="nil"/>
              <w:bottom w:val="single" w:color="auto" w:sz="4" w:space="0"/>
              <w:right w:val="single" w:color="auto" w:sz="4" w:space="0"/>
            </w:tcBorders>
            <w:noWrap/>
            <w:vAlign w:val="bottom"/>
          </w:tcPr>
          <w:p w14:paraId="264DFF04">
            <w:pPr>
              <w:jc w:val="center"/>
              <w:rPr>
                <w:rFonts w:ascii="Cambria" w:hAnsi="Cambria"/>
                <w:b/>
                <w:bCs/>
                <w:lang w:val="id-ID" w:eastAsia="id-ID"/>
              </w:rPr>
            </w:pPr>
            <w:r>
              <w:rPr>
                <w:rFonts w:ascii="Cambria" w:hAnsi="Cambria"/>
                <w:b/>
                <w:bCs/>
                <w:lang w:val="id-ID" w:eastAsia="id-ID"/>
              </w:rPr>
              <w:t>73.00</w:t>
            </w:r>
          </w:p>
        </w:tc>
      </w:tr>
      <w:tr w14:paraId="18926794">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6F3BAC19">
            <w:pPr>
              <w:jc w:val="center"/>
              <w:rPr>
                <w:rFonts w:ascii="Cambria" w:hAnsi="Cambria"/>
                <w:color w:val="000000"/>
                <w:lang w:val="id-ID" w:eastAsia="id-ID"/>
              </w:rPr>
            </w:pPr>
            <w:r>
              <w:rPr>
                <w:rFonts w:ascii="Cambria" w:hAnsi="Cambria"/>
                <w:color w:val="000000"/>
                <w:lang w:val="id-ID" w:eastAsia="id-ID"/>
              </w:rPr>
              <w:t>6</w:t>
            </w:r>
          </w:p>
        </w:tc>
        <w:tc>
          <w:tcPr>
            <w:tcW w:w="993" w:type="dxa"/>
            <w:tcBorders>
              <w:top w:val="nil"/>
              <w:left w:val="nil"/>
              <w:bottom w:val="single" w:color="auto" w:sz="4" w:space="0"/>
              <w:right w:val="single" w:color="auto" w:sz="4" w:space="0"/>
            </w:tcBorders>
            <w:noWrap/>
            <w:vAlign w:val="bottom"/>
          </w:tcPr>
          <w:p w14:paraId="42F81579">
            <w:pPr>
              <w:jc w:val="center"/>
              <w:rPr>
                <w:rFonts w:ascii="Cambria" w:hAnsi="Cambria"/>
                <w:color w:val="000000"/>
                <w:lang w:val="id-ID" w:eastAsia="id-ID"/>
              </w:rPr>
            </w:pPr>
            <w:r>
              <w:rPr>
                <w:rFonts w:ascii="Cambria" w:hAnsi="Cambria"/>
                <w:color w:val="000000"/>
                <w:lang w:val="id-ID" w:eastAsia="id-ID"/>
              </w:rPr>
              <w:t>96</w:t>
            </w:r>
          </w:p>
        </w:tc>
        <w:tc>
          <w:tcPr>
            <w:tcW w:w="992" w:type="dxa"/>
            <w:tcBorders>
              <w:top w:val="nil"/>
              <w:left w:val="nil"/>
              <w:bottom w:val="single" w:color="auto" w:sz="4" w:space="0"/>
              <w:right w:val="single" w:color="auto" w:sz="4" w:space="0"/>
            </w:tcBorders>
            <w:noWrap/>
            <w:vAlign w:val="bottom"/>
          </w:tcPr>
          <w:p w14:paraId="7D3A56A8">
            <w:pPr>
              <w:jc w:val="center"/>
              <w:rPr>
                <w:rFonts w:ascii="Cambria" w:hAnsi="Cambria"/>
                <w:color w:val="000000"/>
                <w:lang w:val="id-ID" w:eastAsia="id-ID"/>
              </w:rPr>
            </w:pPr>
            <w:r>
              <w:rPr>
                <w:rFonts w:ascii="Cambria" w:hAnsi="Cambria"/>
                <w:color w:val="000000"/>
                <w:lang w:val="id-ID" w:eastAsia="id-ID"/>
              </w:rPr>
              <w:t>93</w:t>
            </w:r>
          </w:p>
        </w:tc>
        <w:tc>
          <w:tcPr>
            <w:tcW w:w="850" w:type="dxa"/>
            <w:tcBorders>
              <w:top w:val="nil"/>
              <w:left w:val="nil"/>
              <w:bottom w:val="single" w:color="auto" w:sz="4" w:space="0"/>
              <w:right w:val="single" w:color="auto" w:sz="4" w:space="0"/>
            </w:tcBorders>
            <w:noWrap/>
            <w:vAlign w:val="bottom"/>
          </w:tcPr>
          <w:p w14:paraId="5F6A64E1">
            <w:pPr>
              <w:jc w:val="center"/>
              <w:rPr>
                <w:rFonts w:ascii="Cambria" w:hAnsi="Cambria"/>
                <w:color w:val="000000"/>
                <w:lang w:val="id-ID" w:eastAsia="id-ID"/>
              </w:rPr>
            </w:pPr>
            <w:r>
              <w:rPr>
                <w:rFonts w:ascii="Cambria" w:hAnsi="Cambria"/>
                <w:color w:val="000000"/>
                <w:lang w:val="id-ID" w:eastAsia="id-ID"/>
              </w:rPr>
              <w:t>95</w:t>
            </w:r>
          </w:p>
        </w:tc>
        <w:tc>
          <w:tcPr>
            <w:tcW w:w="1560" w:type="dxa"/>
            <w:tcBorders>
              <w:top w:val="nil"/>
              <w:left w:val="nil"/>
              <w:bottom w:val="single" w:color="auto" w:sz="4" w:space="0"/>
              <w:right w:val="single" w:color="auto" w:sz="4" w:space="0"/>
            </w:tcBorders>
            <w:noWrap/>
            <w:vAlign w:val="bottom"/>
          </w:tcPr>
          <w:p w14:paraId="19F5FB19">
            <w:pPr>
              <w:jc w:val="center"/>
              <w:rPr>
                <w:rFonts w:ascii="Cambria" w:hAnsi="Cambria"/>
                <w:b/>
                <w:bCs/>
                <w:lang w:val="id-ID" w:eastAsia="id-ID"/>
              </w:rPr>
            </w:pPr>
            <w:r>
              <w:rPr>
                <w:rFonts w:ascii="Cambria" w:hAnsi="Cambria"/>
                <w:b/>
                <w:bCs/>
                <w:lang w:val="id-ID" w:eastAsia="id-ID"/>
              </w:rPr>
              <w:t>94.7</w:t>
            </w:r>
          </w:p>
        </w:tc>
      </w:tr>
      <w:tr w14:paraId="6827F3B2">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0D2A745B">
            <w:pPr>
              <w:jc w:val="center"/>
              <w:rPr>
                <w:rFonts w:ascii="Cambria" w:hAnsi="Cambria"/>
                <w:color w:val="000000"/>
                <w:lang w:val="id-ID" w:eastAsia="id-ID"/>
              </w:rPr>
            </w:pPr>
            <w:r>
              <w:rPr>
                <w:rFonts w:ascii="Cambria" w:hAnsi="Cambria"/>
                <w:color w:val="000000"/>
                <w:lang w:val="id-ID" w:eastAsia="id-ID"/>
              </w:rPr>
              <w:t>7</w:t>
            </w:r>
          </w:p>
        </w:tc>
        <w:tc>
          <w:tcPr>
            <w:tcW w:w="993" w:type="dxa"/>
            <w:tcBorders>
              <w:top w:val="nil"/>
              <w:left w:val="nil"/>
              <w:bottom w:val="single" w:color="auto" w:sz="4" w:space="0"/>
              <w:right w:val="single" w:color="auto" w:sz="4" w:space="0"/>
            </w:tcBorders>
            <w:noWrap/>
            <w:vAlign w:val="bottom"/>
          </w:tcPr>
          <w:p w14:paraId="72413650">
            <w:pPr>
              <w:jc w:val="center"/>
              <w:rPr>
                <w:rFonts w:ascii="Cambria" w:hAnsi="Cambria"/>
                <w:color w:val="000000"/>
                <w:lang w:val="id-ID" w:eastAsia="id-ID"/>
              </w:rPr>
            </w:pPr>
            <w:r>
              <w:rPr>
                <w:rFonts w:ascii="Cambria" w:hAnsi="Cambria"/>
                <w:color w:val="000000"/>
                <w:lang w:val="id-ID" w:eastAsia="id-ID"/>
              </w:rPr>
              <w:t>96</w:t>
            </w:r>
          </w:p>
        </w:tc>
        <w:tc>
          <w:tcPr>
            <w:tcW w:w="992" w:type="dxa"/>
            <w:tcBorders>
              <w:top w:val="nil"/>
              <w:left w:val="nil"/>
              <w:bottom w:val="single" w:color="auto" w:sz="4" w:space="0"/>
              <w:right w:val="single" w:color="auto" w:sz="4" w:space="0"/>
            </w:tcBorders>
            <w:noWrap/>
            <w:vAlign w:val="bottom"/>
          </w:tcPr>
          <w:p w14:paraId="02B8E53C">
            <w:pPr>
              <w:jc w:val="center"/>
              <w:rPr>
                <w:rFonts w:ascii="Cambria" w:hAnsi="Cambria"/>
                <w:color w:val="000000"/>
                <w:lang w:val="id-ID" w:eastAsia="id-ID"/>
              </w:rPr>
            </w:pPr>
            <w:r>
              <w:rPr>
                <w:rFonts w:ascii="Cambria" w:hAnsi="Cambria"/>
                <w:color w:val="000000"/>
                <w:lang w:val="id-ID" w:eastAsia="id-ID"/>
              </w:rPr>
              <w:t>92</w:t>
            </w:r>
          </w:p>
        </w:tc>
        <w:tc>
          <w:tcPr>
            <w:tcW w:w="850" w:type="dxa"/>
            <w:tcBorders>
              <w:top w:val="nil"/>
              <w:left w:val="nil"/>
              <w:bottom w:val="single" w:color="auto" w:sz="4" w:space="0"/>
              <w:right w:val="single" w:color="auto" w:sz="4" w:space="0"/>
            </w:tcBorders>
            <w:noWrap/>
            <w:vAlign w:val="bottom"/>
          </w:tcPr>
          <w:p w14:paraId="5CCF604B">
            <w:pPr>
              <w:jc w:val="center"/>
              <w:rPr>
                <w:rFonts w:ascii="Cambria" w:hAnsi="Cambria"/>
                <w:color w:val="000000"/>
                <w:lang w:val="id-ID" w:eastAsia="id-ID"/>
              </w:rPr>
            </w:pPr>
            <w:r>
              <w:rPr>
                <w:rFonts w:ascii="Cambria" w:hAnsi="Cambria"/>
                <w:color w:val="000000"/>
                <w:lang w:val="id-ID" w:eastAsia="id-ID"/>
              </w:rPr>
              <w:t>91</w:t>
            </w:r>
          </w:p>
        </w:tc>
        <w:tc>
          <w:tcPr>
            <w:tcW w:w="1560" w:type="dxa"/>
            <w:tcBorders>
              <w:top w:val="nil"/>
              <w:left w:val="nil"/>
              <w:bottom w:val="single" w:color="auto" w:sz="4" w:space="0"/>
              <w:right w:val="single" w:color="auto" w:sz="4" w:space="0"/>
            </w:tcBorders>
            <w:noWrap/>
            <w:vAlign w:val="bottom"/>
          </w:tcPr>
          <w:p w14:paraId="1949DC0E">
            <w:pPr>
              <w:jc w:val="center"/>
              <w:rPr>
                <w:rFonts w:ascii="Cambria" w:hAnsi="Cambria"/>
                <w:b/>
                <w:bCs/>
                <w:lang w:val="id-ID" w:eastAsia="id-ID"/>
              </w:rPr>
            </w:pPr>
            <w:r>
              <w:rPr>
                <w:rFonts w:ascii="Cambria" w:hAnsi="Cambria"/>
                <w:b/>
                <w:bCs/>
                <w:lang w:val="id-ID" w:eastAsia="id-ID"/>
              </w:rPr>
              <w:t>93.00</w:t>
            </w:r>
          </w:p>
        </w:tc>
      </w:tr>
      <w:tr w14:paraId="62732F07">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412AA23F">
            <w:pPr>
              <w:jc w:val="center"/>
              <w:rPr>
                <w:rFonts w:ascii="Cambria" w:hAnsi="Cambria"/>
                <w:color w:val="000000"/>
                <w:lang w:val="id-ID" w:eastAsia="id-ID"/>
              </w:rPr>
            </w:pPr>
            <w:r>
              <w:rPr>
                <w:rFonts w:ascii="Cambria" w:hAnsi="Cambria"/>
                <w:color w:val="000000"/>
                <w:lang w:val="id-ID" w:eastAsia="id-ID"/>
              </w:rPr>
              <w:t>8</w:t>
            </w:r>
          </w:p>
        </w:tc>
        <w:tc>
          <w:tcPr>
            <w:tcW w:w="993" w:type="dxa"/>
            <w:tcBorders>
              <w:top w:val="nil"/>
              <w:left w:val="nil"/>
              <w:bottom w:val="single" w:color="auto" w:sz="4" w:space="0"/>
              <w:right w:val="single" w:color="auto" w:sz="4" w:space="0"/>
            </w:tcBorders>
            <w:noWrap/>
            <w:vAlign w:val="bottom"/>
          </w:tcPr>
          <w:p w14:paraId="78C16364">
            <w:pPr>
              <w:jc w:val="center"/>
              <w:rPr>
                <w:rFonts w:ascii="Cambria" w:hAnsi="Cambria"/>
                <w:color w:val="000000"/>
                <w:lang w:val="id-ID" w:eastAsia="id-ID"/>
              </w:rPr>
            </w:pPr>
            <w:r>
              <w:rPr>
                <w:rFonts w:ascii="Cambria" w:hAnsi="Cambria"/>
                <w:color w:val="000000"/>
                <w:lang w:val="id-ID" w:eastAsia="id-ID"/>
              </w:rPr>
              <w:t>67</w:t>
            </w:r>
          </w:p>
        </w:tc>
        <w:tc>
          <w:tcPr>
            <w:tcW w:w="992" w:type="dxa"/>
            <w:tcBorders>
              <w:top w:val="nil"/>
              <w:left w:val="nil"/>
              <w:bottom w:val="single" w:color="auto" w:sz="4" w:space="0"/>
              <w:right w:val="single" w:color="auto" w:sz="4" w:space="0"/>
            </w:tcBorders>
            <w:noWrap/>
            <w:vAlign w:val="bottom"/>
          </w:tcPr>
          <w:p w14:paraId="38241F47">
            <w:pPr>
              <w:jc w:val="center"/>
              <w:rPr>
                <w:rFonts w:ascii="Cambria" w:hAnsi="Cambria"/>
                <w:color w:val="000000"/>
                <w:lang w:val="id-ID" w:eastAsia="id-ID"/>
              </w:rPr>
            </w:pPr>
            <w:r>
              <w:rPr>
                <w:rFonts w:ascii="Cambria" w:hAnsi="Cambria"/>
                <w:color w:val="000000"/>
                <w:lang w:val="id-ID" w:eastAsia="id-ID"/>
              </w:rPr>
              <w:t>75</w:t>
            </w:r>
          </w:p>
        </w:tc>
        <w:tc>
          <w:tcPr>
            <w:tcW w:w="850" w:type="dxa"/>
            <w:tcBorders>
              <w:top w:val="nil"/>
              <w:left w:val="nil"/>
              <w:bottom w:val="single" w:color="auto" w:sz="4" w:space="0"/>
              <w:right w:val="single" w:color="auto" w:sz="4" w:space="0"/>
            </w:tcBorders>
            <w:noWrap/>
            <w:vAlign w:val="bottom"/>
          </w:tcPr>
          <w:p w14:paraId="6A42D4C3">
            <w:pPr>
              <w:jc w:val="center"/>
              <w:rPr>
                <w:rFonts w:ascii="Cambria" w:hAnsi="Cambria"/>
                <w:color w:val="000000"/>
                <w:lang w:val="id-ID" w:eastAsia="id-ID"/>
              </w:rPr>
            </w:pPr>
            <w:r>
              <w:rPr>
                <w:rFonts w:ascii="Cambria" w:hAnsi="Cambria"/>
                <w:color w:val="000000"/>
                <w:lang w:val="id-ID" w:eastAsia="id-ID"/>
              </w:rPr>
              <w:t>71</w:t>
            </w:r>
          </w:p>
        </w:tc>
        <w:tc>
          <w:tcPr>
            <w:tcW w:w="1560" w:type="dxa"/>
            <w:tcBorders>
              <w:top w:val="nil"/>
              <w:left w:val="nil"/>
              <w:bottom w:val="single" w:color="auto" w:sz="4" w:space="0"/>
              <w:right w:val="single" w:color="auto" w:sz="4" w:space="0"/>
            </w:tcBorders>
            <w:noWrap/>
            <w:vAlign w:val="bottom"/>
          </w:tcPr>
          <w:p w14:paraId="40BC6F70">
            <w:pPr>
              <w:jc w:val="center"/>
              <w:rPr>
                <w:rFonts w:ascii="Cambria" w:hAnsi="Cambria"/>
                <w:b/>
                <w:bCs/>
                <w:lang w:val="id-ID" w:eastAsia="id-ID"/>
              </w:rPr>
            </w:pPr>
            <w:r>
              <w:rPr>
                <w:rFonts w:ascii="Cambria" w:hAnsi="Cambria"/>
                <w:b/>
                <w:bCs/>
                <w:lang w:val="id-ID" w:eastAsia="id-ID"/>
              </w:rPr>
              <w:t>71.00</w:t>
            </w:r>
          </w:p>
        </w:tc>
      </w:tr>
      <w:tr w14:paraId="36CA455D">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423BFC3C">
            <w:pPr>
              <w:jc w:val="center"/>
              <w:rPr>
                <w:rFonts w:ascii="Cambria" w:hAnsi="Cambria"/>
                <w:color w:val="000000"/>
                <w:lang w:val="id-ID" w:eastAsia="id-ID"/>
              </w:rPr>
            </w:pPr>
            <w:r>
              <w:rPr>
                <w:rFonts w:ascii="Cambria" w:hAnsi="Cambria"/>
                <w:color w:val="000000"/>
                <w:lang w:val="id-ID" w:eastAsia="id-ID"/>
              </w:rPr>
              <w:t>9</w:t>
            </w:r>
          </w:p>
        </w:tc>
        <w:tc>
          <w:tcPr>
            <w:tcW w:w="993" w:type="dxa"/>
            <w:tcBorders>
              <w:top w:val="nil"/>
              <w:left w:val="nil"/>
              <w:bottom w:val="single" w:color="auto" w:sz="4" w:space="0"/>
              <w:right w:val="single" w:color="auto" w:sz="4" w:space="0"/>
            </w:tcBorders>
            <w:noWrap/>
            <w:vAlign w:val="bottom"/>
          </w:tcPr>
          <w:p w14:paraId="563CF5FD">
            <w:pPr>
              <w:jc w:val="center"/>
              <w:rPr>
                <w:rFonts w:ascii="Cambria" w:hAnsi="Cambria"/>
                <w:color w:val="000000"/>
                <w:lang w:val="id-ID" w:eastAsia="id-ID"/>
              </w:rPr>
            </w:pPr>
            <w:r>
              <w:rPr>
                <w:rFonts w:ascii="Cambria" w:hAnsi="Cambria"/>
                <w:color w:val="000000"/>
                <w:lang w:val="id-ID" w:eastAsia="id-ID"/>
              </w:rPr>
              <w:t>82</w:t>
            </w:r>
          </w:p>
        </w:tc>
        <w:tc>
          <w:tcPr>
            <w:tcW w:w="992" w:type="dxa"/>
            <w:tcBorders>
              <w:top w:val="nil"/>
              <w:left w:val="nil"/>
              <w:bottom w:val="single" w:color="auto" w:sz="4" w:space="0"/>
              <w:right w:val="single" w:color="auto" w:sz="4" w:space="0"/>
            </w:tcBorders>
            <w:noWrap/>
            <w:vAlign w:val="bottom"/>
          </w:tcPr>
          <w:p w14:paraId="71A23AEC">
            <w:pPr>
              <w:jc w:val="center"/>
              <w:rPr>
                <w:rFonts w:ascii="Cambria" w:hAnsi="Cambria"/>
                <w:color w:val="000000"/>
                <w:lang w:val="id-ID" w:eastAsia="id-ID"/>
              </w:rPr>
            </w:pPr>
            <w:r>
              <w:rPr>
                <w:rFonts w:ascii="Cambria" w:hAnsi="Cambria"/>
                <w:color w:val="000000"/>
                <w:lang w:val="id-ID" w:eastAsia="id-ID"/>
              </w:rPr>
              <w:t>70</w:t>
            </w:r>
          </w:p>
        </w:tc>
        <w:tc>
          <w:tcPr>
            <w:tcW w:w="850" w:type="dxa"/>
            <w:tcBorders>
              <w:top w:val="nil"/>
              <w:left w:val="nil"/>
              <w:bottom w:val="single" w:color="auto" w:sz="4" w:space="0"/>
              <w:right w:val="single" w:color="auto" w:sz="4" w:space="0"/>
            </w:tcBorders>
            <w:noWrap/>
            <w:vAlign w:val="bottom"/>
          </w:tcPr>
          <w:p w14:paraId="6BF52990">
            <w:pPr>
              <w:jc w:val="center"/>
              <w:rPr>
                <w:rFonts w:ascii="Cambria" w:hAnsi="Cambria"/>
                <w:color w:val="000000"/>
                <w:lang w:val="id-ID" w:eastAsia="id-ID"/>
              </w:rPr>
            </w:pPr>
            <w:r>
              <w:rPr>
                <w:rFonts w:ascii="Cambria" w:hAnsi="Cambria"/>
                <w:color w:val="000000"/>
                <w:lang w:val="id-ID" w:eastAsia="id-ID"/>
              </w:rPr>
              <w:t>68</w:t>
            </w:r>
          </w:p>
        </w:tc>
        <w:tc>
          <w:tcPr>
            <w:tcW w:w="1560" w:type="dxa"/>
            <w:tcBorders>
              <w:top w:val="nil"/>
              <w:left w:val="nil"/>
              <w:bottom w:val="single" w:color="auto" w:sz="4" w:space="0"/>
              <w:right w:val="single" w:color="auto" w:sz="4" w:space="0"/>
            </w:tcBorders>
            <w:noWrap/>
            <w:vAlign w:val="bottom"/>
          </w:tcPr>
          <w:p w14:paraId="3857AF49">
            <w:pPr>
              <w:jc w:val="center"/>
              <w:rPr>
                <w:rFonts w:ascii="Cambria" w:hAnsi="Cambria"/>
                <w:b/>
                <w:bCs/>
                <w:lang w:val="id-ID" w:eastAsia="id-ID"/>
              </w:rPr>
            </w:pPr>
            <w:r>
              <w:rPr>
                <w:rFonts w:ascii="Cambria" w:hAnsi="Cambria"/>
                <w:b/>
                <w:bCs/>
                <w:lang w:val="id-ID" w:eastAsia="id-ID"/>
              </w:rPr>
              <w:t>73.3</w:t>
            </w:r>
          </w:p>
        </w:tc>
      </w:tr>
      <w:tr w14:paraId="70CA913B">
        <w:tblPrEx>
          <w:tblCellMar>
            <w:top w:w="0" w:type="dxa"/>
            <w:left w:w="108" w:type="dxa"/>
            <w:bottom w:w="0" w:type="dxa"/>
            <w:right w:w="108" w:type="dxa"/>
          </w:tblCellMar>
        </w:tblPrEx>
        <w:trPr>
          <w:trHeight w:val="300" w:hRule="atLeast"/>
        </w:trPr>
        <w:tc>
          <w:tcPr>
            <w:tcW w:w="1701" w:type="dxa"/>
            <w:tcBorders>
              <w:top w:val="nil"/>
              <w:left w:val="single" w:color="auto" w:sz="4" w:space="0"/>
              <w:bottom w:val="single" w:color="auto" w:sz="4" w:space="0"/>
              <w:right w:val="single" w:color="auto" w:sz="4" w:space="0"/>
            </w:tcBorders>
            <w:noWrap/>
            <w:vAlign w:val="bottom"/>
          </w:tcPr>
          <w:p w14:paraId="46C2EFCD">
            <w:pPr>
              <w:jc w:val="center"/>
              <w:rPr>
                <w:rFonts w:ascii="Cambria" w:hAnsi="Cambria"/>
                <w:color w:val="000000"/>
                <w:lang w:val="id-ID" w:eastAsia="id-ID"/>
              </w:rPr>
            </w:pPr>
            <w:r>
              <w:rPr>
                <w:rFonts w:ascii="Cambria" w:hAnsi="Cambria"/>
                <w:color w:val="000000"/>
                <w:lang w:val="id-ID" w:eastAsia="id-ID"/>
              </w:rPr>
              <w:t>10</w:t>
            </w:r>
          </w:p>
        </w:tc>
        <w:tc>
          <w:tcPr>
            <w:tcW w:w="993" w:type="dxa"/>
            <w:tcBorders>
              <w:top w:val="nil"/>
              <w:left w:val="nil"/>
              <w:bottom w:val="single" w:color="auto" w:sz="4" w:space="0"/>
              <w:right w:val="single" w:color="auto" w:sz="4" w:space="0"/>
            </w:tcBorders>
            <w:noWrap/>
            <w:vAlign w:val="bottom"/>
          </w:tcPr>
          <w:p w14:paraId="124A674A">
            <w:pPr>
              <w:jc w:val="center"/>
              <w:rPr>
                <w:rFonts w:ascii="Cambria" w:hAnsi="Cambria"/>
                <w:color w:val="000000"/>
                <w:lang w:val="id-ID" w:eastAsia="id-ID"/>
              </w:rPr>
            </w:pPr>
            <w:r>
              <w:rPr>
                <w:rFonts w:ascii="Cambria" w:hAnsi="Cambria"/>
                <w:color w:val="000000"/>
                <w:lang w:val="id-ID" w:eastAsia="id-ID"/>
              </w:rPr>
              <w:t>34</w:t>
            </w:r>
          </w:p>
        </w:tc>
        <w:tc>
          <w:tcPr>
            <w:tcW w:w="992" w:type="dxa"/>
            <w:tcBorders>
              <w:top w:val="nil"/>
              <w:left w:val="nil"/>
              <w:bottom w:val="single" w:color="auto" w:sz="4" w:space="0"/>
              <w:right w:val="single" w:color="auto" w:sz="4" w:space="0"/>
            </w:tcBorders>
            <w:noWrap/>
            <w:vAlign w:val="bottom"/>
          </w:tcPr>
          <w:p w14:paraId="7EB54E95">
            <w:pPr>
              <w:jc w:val="center"/>
              <w:rPr>
                <w:rFonts w:ascii="Cambria" w:hAnsi="Cambria"/>
                <w:color w:val="000000"/>
                <w:lang w:val="id-ID" w:eastAsia="id-ID"/>
              </w:rPr>
            </w:pPr>
            <w:r>
              <w:rPr>
                <w:rFonts w:ascii="Cambria" w:hAnsi="Cambria"/>
                <w:color w:val="000000"/>
                <w:lang w:val="id-ID" w:eastAsia="id-ID"/>
              </w:rPr>
              <w:t>34</w:t>
            </w:r>
          </w:p>
        </w:tc>
        <w:tc>
          <w:tcPr>
            <w:tcW w:w="850" w:type="dxa"/>
            <w:tcBorders>
              <w:top w:val="nil"/>
              <w:left w:val="nil"/>
              <w:bottom w:val="single" w:color="auto" w:sz="4" w:space="0"/>
              <w:right w:val="single" w:color="auto" w:sz="4" w:space="0"/>
            </w:tcBorders>
            <w:noWrap/>
            <w:vAlign w:val="bottom"/>
          </w:tcPr>
          <w:p w14:paraId="2AE8D0A6">
            <w:pPr>
              <w:jc w:val="center"/>
              <w:rPr>
                <w:rFonts w:ascii="Cambria" w:hAnsi="Cambria"/>
                <w:color w:val="000000"/>
                <w:lang w:val="id-ID" w:eastAsia="id-ID"/>
              </w:rPr>
            </w:pPr>
            <w:r>
              <w:rPr>
                <w:rFonts w:ascii="Cambria" w:hAnsi="Cambria"/>
                <w:color w:val="000000"/>
                <w:lang w:val="id-ID" w:eastAsia="id-ID"/>
              </w:rPr>
              <w:t>32</w:t>
            </w:r>
          </w:p>
        </w:tc>
        <w:tc>
          <w:tcPr>
            <w:tcW w:w="1560" w:type="dxa"/>
            <w:tcBorders>
              <w:top w:val="nil"/>
              <w:left w:val="nil"/>
              <w:bottom w:val="single" w:color="auto" w:sz="4" w:space="0"/>
              <w:right w:val="single" w:color="auto" w:sz="4" w:space="0"/>
            </w:tcBorders>
            <w:noWrap/>
            <w:vAlign w:val="bottom"/>
          </w:tcPr>
          <w:p w14:paraId="2B7BD1FA">
            <w:pPr>
              <w:jc w:val="center"/>
              <w:rPr>
                <w:rFonts w:ascii="Cambria" w:hAnsi="Cambria"/>
                <w:b/>
                <w:bCs/>
                <w:lang w:val="id-ID" w:eastAsia="id-ID"/>
              </w:rPr>
            </w:pPr>
            <w:r>
              <w:rPr>
                <w:rFonts w:ascii="Cambria" w:hAnsi="Cambria"/>
                <w:b/>
                <w:bCs/>
                <w:lang w:val="id-ID" w:eastAsia="id-ID"/>
              </w:rPr>
              <w:t>33.33</w:t>
            </w:r>
          </w:p>
        </w:tc>
      </w:tr>
    </w:tbl>
    <w:p w14:paraId="6385EA25">
      <w:pPr>
        <w:rPr>
          <w:rFonts w:ascii="Cambria" w:hAnsi="Cambria"/>
        </w:rPr>
      </w:pPr>
    </w:p>
    <w:p w14:paraId="678D2CB4">
      <w:pPr>
        <w:pStyle w:val="13"/>
        <w:spacing w:before="0" w:beforeAutospacing="0" w:after="0" w:afterAutospacing="0"/>
        <w:ind w:firstLine="709"/>
        <w:jc w:val="both"/>
        <w:rPr>
          <w:rStyle w:val="14"/>
          <w:rFonts w:ascii="Cambria" w:hAnsi="Cambria"/>
          <w:b w:val="0"/>
        </w:rPr>
      </w:pPr>
    </w:p>
    <w:p w14:paraId="3941F06F">
      <w:pPr>
        <w:pStyle w:val="13"/>
        <w:spacing w:before="0" w:beforeAutospacing="0" w:after="0" w:afterAutospacing="0" w:line="240" w:lineRule="auto"/>
        <w:ind w:left="540" w:leftChars="300"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rPr>
        <w:t>The results of the study show that seeds with high vigor are indicated by seeds that have high germination power, namely seeds harvested from two sample farmers, with a vigor index above 20, as shown in table 2. Seeds with a high vigor index value mean that the seeds have better seed vigor compared to seeds that have a lower vigor index value, after germinating and becoming seedlings that are more resistant to pest and disease attacks in the field, their growth is fast and even and they are able to produce normal and high-yielding adult plants.</w:t>
      </w:r>
    </w:p>
    <w:p w14:paraId="23ABB1D4">
      <w:pPr>
        <w:pStyle w:val="13"/>
        <w:spacing w:before="0" w:beforeAutospacing="0" w:after="0" w:afterAutospacing="0"/>
        <w:ind w:firstLine="709"/>
        <w:jc w:val="both"/>
        <w:rPr>
          <w:rStyle w:val="14"/>
          <w:rFonts w:ascii="Cambria" w:hAnsi="Cambria"/>
          <w:b w:val="0"/>
        </w:rPr>
      </w:pPr>
    </w:p>
    <w:p w14:paraId="4E478309">
      <w:pPr>
        <w:pStyle w:val="13"/>
        <w:spacing w:before="0" w:beforeAutospacing="0" w:after="0" w:afterAutospacing="0"/>
        <w:ind w:left="2160" w:leftChars="0" w:firstLine="720"/>
        <w:jc w:val="left"/>
        <w:rPr>
          <w:rStyle w:val="14"/>
          <w:rFonts w:ascii="Cambria" w:hAnsi="Cambria"/>
          <w:bCs w:val="0"/>
        </w:rPr>
      </w:pPr>
      <w:r>
        <w:rPr>
          <w:rStyle w:val="14"/>
          <w:rFonts w:hint="default" w:ascii="Book Antiqua" w:hAnsi="Book Antiqua" w:cs="Book Antiqua"/>
          <w:bCs w:val="0"/>
          <w:sz w:val="24"/>
          <w:szCs w:val="24"/>
        </w:rPr>
        <w:t>Table 2. Seed Vigor Index</w:t>
      </w:r>
    </w:p>
    <w:p w14:paraId="10697FE9">
      <w:pPr>
        <w:pStyle w:val="13"/>
        <w:spacing w:before="0" w:beforeAutospacing="0" w:after="0" w:afterAutospacing="0"/>
        <w:ind w:firstLine="709"/>
        <w:jc w:val="both"/>
        <w:rPr>
          <w:rStyle w:val="14"/>
          <w:rFonts w:ascii="Cambria" w:hAnsi="Cambria"/>
          <w:b w:val="0"/>
        </w:rPr>
      </w:pPr>
    </w:p>
    <w:tbl>
      <w:tblPr>
        <w:tblStyle w:val="4"/>
        <w:tblW w:w="4767" w:type="dxa"/>
        <w:tblInd w:w="1638" w:type="dxa"/>
        <w:tblLayout w:type="autofit"/>
        <w:tblCellMar>
          <w:top w:w="0" w:type="dxa"/>
          <w:left w:w="108" w:type="dxa"/>
          <w:bottom w:w="0" w:type="dxa"/>
          <w:right w:w="108" w:type="dxa"/>
        </w:tblCellMar>
      </w:tblPr>
      <w:tblGrid>
        <w:gridCol w:w="1418"/>
        <w:gridCol w:w="797"/>
        <w:gridCol w:w="797"/>
        <w:gridCol w:w="797"/>
        <w:gridCol w:w="958"/>
      </w:tblGrid>
      <w:tr w14:paraId="1D6778DD">
        <w:tblPrEx>
          <w:tblCellMar>
            <w:top w:w="0" w:type="dxa"/>
            <w:left w:w="108" w:type="dxa"/>
            <w:bottom w:w="0" w:type="dxa"/>
            <w:right w:w="108" w:type="dxa"/>
          </w:tblCellMar>
        </w:tblPrEx>
        <w:trPr>
          <w:trHeight w:val="300" w:hRule="atLeast"/>
        </w:trPr>
        <w:tc>
          <w:tcPr>
            <w:tcW w:w="1418" w:type="dxa"/>
            <w:vMerge w:val="restart"/>
            <w:tcBorders>
              <w:top w:val="single" w:color="auto" w:sz="4" w:space="0"/>
              <w:left w:val="single" w:color="auto" w:sz="4" w:space="0"/>
              <w:bottom w:val="single" w:color="000000" w:sz="4" w:space="0"/>
              <w:right w:val="single" w:color="auto" w:sz="4" w:space="0"/>
            </w:tcBorders>
            <w:noWrap/>
            <w:vAlign w:val="bottom"/>
          </w:tcPr>
          <w:p w14:paraId="044F5FFD">
            <w:pPr>
              <w:jc w:val="center"/>
              <w:rPr>
                <w:rFonts w:ascii="Cambria" w:hAnsi="Cambria"/>
                <w:color w:val="000000"/>
                <w:lang w:val="id-ID" w:eastAsia="id-ID"/>
              </w:rPr>
            </w:pPr>
            <w:r>
              <w:rPr>
                <w:rFonts w:ascii="Cambria" w:hAnsi="Cambria"/>
                <w:color w:val="000000"/>
                <w:lang w:val="id-ID" w:eastAsia="id-ID"/>
              </w:rPr>
              <w:t>Sample No.</w:t>
            </w:r>
          </w:p>
        </w:tc>
        <w:tc>
          <w:tcPr>
            <w:tcW w:w="3349" w:type="dxa"/>
            <w:gridSpan w:val="4"/>
            <w:tcBorders>
              <w:top w:val="single" w:color="auto" w:sz="4" w:space="0"/>
              <w:left w:val="nil"/>
              <w:bottom w:val="single" w:color="auto" w:sz="4" w:space="0"/>
              <w:right w:val="single" w:color="000000" w:sz="4" w:space="0"/>
            </w:tcBorders>
            <w:noWrap/>
            <w:vAlign w:val="bottom"/>
          </w:tcPr>
          <w:p w14:paraId="0943B979">
            <w:pPr>
              <w:jc w:val="center"/>
              <w:rPr>
                <w:rFonts w:ascii="Cambria" w:hAnsi="Cambria"/>
                <w:b/>
                <w:bCs/>
                <w:color w:val="000000"/>
                <w:lang w:val="id-ID" w:eastAsia="id-ID"/>
              </w:rPr>
            </w:pPr>
            <w:r>
              <w:rPr>
                <w:rFonts w:ascii="Cambria" w:hAnsi="Cambria"/>
                <w:b/>
                <w:bCs/>
                <w:color w:val="000000"/>
                <w:lang w:val="id-ID" w:eastAsia="id-ID"/>
              </w:rPr>
              <w:t>Test</w:t>
            </w:r>
          </w:p>
        </w:tc>
      </w:tr>
      <w:tr w14:paraId="7018E7F7">
        <w:tblPrEx>
          <w:tblCellMar>
            <w:top w:w="0" w:type="dxa"/>
            <w:left w:w="108" w:type="dxa"/>
            <w:bottom w:w="0" w:type="dxa"/>
            <w:right w:w="108" w:type="dxa"/>
          </w:tblCellMar>
        </w:tblPrEx>
        <w:trPr>
          <w:trHeight w:val="300" w:hRule="atLeast"/>
        </w:trPr>
        <w:tc>
          <w:tcPr>
            <w:tcW w:w="1418" w:type="dxa"/>
            <w:vMerge w:val="continue"/>
            <w:tcBorders>
              <w:top w:val="single" w:color="auto" w:sz="4" w:space="0"/>
              <w:left w:val="single" w:color="auto" w:sz="4" w:space="0"/>
              <w:bottom w:val="single" w:color="000000" w:sz="4" w:space="0"/>
              <w:right w:val="single" w:color="auto" w:sz="4" w:space="0"/>
            </w:tcBorders>
            <w:noWrap w:val="0"/>
            <w:vAlign w:val="center"/>
          </w:tcPr>
          <w:p w14:paraId="0F625D2A">
            <w:pPr>
              <w:rPr>
                <w:rFonts w:ascii="Cambria" w:hAnsi="Cambria"/>
                <w:color w:val="000000"/>
                <w:lang w:val="id-ID" w:eastAsia="id-ID"/>
              </w:rPr>
            </w:pPr>
          </w:p>
        </w:tc>
        <w:tc>
          <w:tcPr>
            <w:tcW w:w="797" w:type="dxa"/>
            <w:tcBorders>
              <w:top w:val="nil"/>
              <w:left w:val="nil"/>
              <w:bottom w:val="single" w:color="auto" w:sz="4" w:space="0"/>
              <w:right w:val="single" w:color="auto" w:sz="4" w:space="0"/>
            </w:tcBorders>
            <w:noWrap/>
            <w:vAlign w:val="bottom"/>
          </w:tcPr>
          <w:p w14:paraId="389A12E8">
            <w:pPr>
              <w:jc w:val="center"/>
              <w:rPr>
                <w:rFonts w:ascii="Cambria" w:hAnsi="Cambria"/>
                <w:b/>
                <w:bCs/>
                <w:color w:val="000000"/>
                <w:lang w:val="id-ID" w:eastAsia="id-ID"/>
              </w:rPr>
            </w:pPr>
            <w:r>
              <w:rPr>
                <w:rFonts w:ascii="Cambria" w:hAnsi="Cambria"/>
                <w:b/>
                <w:bCs/>
                <w:color w:val="000000"/>
                <w:lang w:val="id-ID" w:eastAsia="id-ID"/>
              </w:rPr>
              <w:t>1</w:t>
            </w:r>
          </w:p>
        </w:tc>
        <w:tc>
          <w:tcPr>
            <w:tcW w:w="797" w:type="dxa"/>
            <w:tcBorders>
              <w:top w:val="nil"/>
              <w:left w:val="nil"/>
              <w:bottom w:val="single" w:color="auto" w:sz="4" w:space="0"/>
              <w:right w:val="single" w:color="auto" w:sz="4" w:space="0"/>
            </w:tcBorders>
            <w:noWrap/>
            <w:vAlign w:val="bottom"/>
          </w:tcPr>
          <w:p w14:paraId="5F474E12">
            <w:pPr>
              <w:jc w:val="center"/>
              <w:rPr>
                <w:rFonts w:ascii="Cambria" w:hAnsi="Cambria"/>
                <w:b/>
                <w:bCs/>
                <w:color w:val="000000"/>
                <w:lang w:val="id-ID" w:eastAsia="id-ID"/>
              </w:rPr>
            </w:pPr>
            <w:r>
              <w:rPr>
                <w:rFonts w:ascii="Cambria" w:hAnsi="Cambria"/>
                <w:b/>
                <w:bCs/>
                <w:color w:val="000000"/>
                <w:lang w:val="id-ID" w:eastAsia="id-ID"/>
              </w:rPr>
              <w:t>2</w:t>
            </w:r>
          </w:p>
        </w:tc>
        <w:tc>
          <w:tcPr>
            <w:tcW w:w="797" w:type="dxa"/>
            <w:tcBorders>
              <w:top w:val="nil"/>
              <w:left w:val="nil"/>
              <w:bottom w:val="single" w:color="auto" w:sz="4" w:space="0"/>
              <w:right w:val="single" w:color="auto" w:sz="4" w:space="0"/>
            </w:tcBorders>
            <w:noWrap/>
            <w:vAlign w:val="bottom"/>
          </w:tcPr>
          <w:p w14:paraId="4DCF4C5B">
            <w:pPr>
              <w:jc w:val="center"/>
              <w:rPr>
                <w:rFonts w:ascii="Cambria" w:hAnsi="Cambria"/>
                <w:b/>
                <w:bCs/>
                <w:color w:val="000000"/>
                <w:lang w:val="id-ID" w:eastAsia="id-ID"/>
              </w:rPr>
            </w:pPr>
            <w:r>
              <w:rPr>
                <w:rFonts w:ascii="Cambria" w:hAnsi="Cambria"/>
                <w:b/>
                <w:bCs/>
                <w:color w:val="000000"/>
                <w:lang w:val="id-ID" w:eastAsia="id-ID"/>
              </w:rPr>
              <w:t>3</w:t>
            </w:r>
          </w:p>
        </w:tc>
        <w:tc>
          <w:tcPr>
            <w:tcW w:w="958" w:type="dxa"/>
            <w:tcBorders>
              <w:top w:val="nil"/>
              <w:left w:val="nil"/>
              <w:bottom w:val="single" w:color="auto" w:sz="4" w:space="0"/>
              <w:right w:val="single" w:color="auto" w:sz="4" w:space="0"/>
            </w:tcBorders>
            <w:noWrap/>
            <w:vAlign w:val="bottom"/>
          </w:tcPr>
          <w:p w14:paraId="1EDEFF59">
            <w:pPr>
              <w:jc w:val="center"/>
              <w:rPr>
                <w:rFonts w:ascii="Cambria" w:hAnsi="Cambria"/>
                <w:b/>
                <w:bCs/>
                <w:color w:val="000000"/>
                <w:lang w:val="id-ID" w:eastAsia="id-ID"/>
              </w:rPr>
            </w:pPr>
            <w:r>
              <w:rPr>
                <w:rFonts w:ascii="Cambria" w:hAnsi="Cambria"/>
                <w:b/>
                <w:bCs/>
                <w:color w:val="000000"/>
                <w:lang w:val="id-ID" w:eastAsia="id-ID"/>
              </w:rPr>
              <w:t>Average</w:t>
            </w:r>
          </w:p>
        </w:tc>
      </w:tr>
      <w:tr w14:paraId="258C81DA">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107BBB96">
            <w:pPr>
              <w:jc w:val="center"/>
              <w:rPr>
                <w:rFonts w:ascii="Cambria" w:hAnsi="Cambria"/>
                <w:color w:val="000000"/>
                <w:lang w:val="id-ID" w:eastAsia="id-ID"/>
              </w:rPr>
            </w:pPr>
            <w:r>
              <w:rPr>
                <w:rFonts w:ascii="Cambria" w:hAnsi="Cambria"/>
                <w:color w:val="000000"/>
                <w:lang w:val="id-ID" w:eastAsia="id-ID"/>
              </w:rPr>
              <w:t>1</w:t>
            </w:r>
          </w:p>
        </w:tc>
        <w:tc>
          <w:tcPr>
            <w:tcW w:w="797" w:type="dxa"/>
            <w:tcBorders>
              <w:top w:val="nil"/>
              <w:left w:val="nil"/>
              <w:bottom w:val="single" w:color="auto" w:sz="4" w:space="0"/>
              <w:right w:val="single" w:color="auto" w:sz="4" w:space="0"/>
            </w:tcBorders>
            <w:noWrap/>
            <w:vAlign w:val="bottom"/>
          </w:tcPr>
          <w:p w14:paraId="4E171940">
            <w:pPr>
              <w:jc w:val="center"/>
              <w:rPr>
                <w:rFonts w:ascii="Cambria" w:hAnsi="Cambria"/>
                <w:color w:val="000000"/>
                <w:lang w:val="id-ID" w:eastAsia="id-ID"/>
              </w:rPr>
            </w:pPr>
            <w:r>
              <w:rPr>
                <w:rFonts w:ascii="Cambria" w:hAnsi="Cambria"/>
                <w:color w:val="000000"/>
                <w:lang w:val="id-ID" w:eastAsia="id-ID"/>
              </w:rPr>
              <w:t>14.50</w:t>
            </w:r>
          </w:p>
        </w:tc>
        <w:tc>
          <w:tcPr>
            <w:tcW w:w="797" w:type="dxa"/>
            <w:tcBorders>
              <w:top w:val="nil"/>
              <w:left w:val="nil"/>
              <w:bottom w:val="single" w:color="auto" w:sz="4" w:space="0"/>
              <w:right w:val="single" w:color="auto" w:sz="4" w:space="0"/>
            </w:tcBorders>
            <w:noWrap/>
            <w:vAlign w:val="bottom"/>
          </w:tcPr>
          <w:p w14:paraId="6C07A713">
            <w:pPr>
              <w:jc w:val="center"/>
              <w:rPr>
                <w:rFonts w:ascii="Cambria" w:hAnsi="Cambria"/>
                <w:color w:val="000000"/>
                <w:lang w:val="id-ID" w:eastAsia="id-ID"/>
              </w:rPr>
            </w:pPr>
            <w:r>
              <w:rPr>
                <w:rFonts w:ascii="Cambria" w:hAnsi="Cambria"/>
                <w:color w:val="000000"/>
                <w:lang w:val="id-ID" w:eastAsia="id-ID"/>
              </w:rPr>
              <w:t>16.54</w:t>
            </w:r>
          </w:p>
        </w:tc>
        <w:tc>
          <w:tcPr>
            <w:tcW w:w="797" w:type="dxa"/>
            <w:tcBorders>
              <w:top w:val="nil"/>
              <w:left w:val="nil"/>
              <w:bottom w:val="single" w:color="auto" w:sz="4" w:space="0"/>
              <w:right w:val="single" w:color="auto" w:sz="4" w:space="0"/>
            </w:tcBorders>
            <w:noWrap/>
            <w:vAlign w:val="bottom"/>
          </w:tcPr>
          <w:p w14:paraId="5CAC26C2">
            <w:pPr>
              <w:jc w:val="center"/>
              <w:rPr>
                <w:rFonts w:ascii="Cambria" w:hAnsi="Cambria"/>
                <w:color w:val="000000"/>
                <w:lang w:val="id-ID" w:eastAsia="id-ID"/>
              </w:rPr>
            </w:pPr>
            <w:r>
              <w:rPr>
                <w:rFonts w:ascii="Cambria" w:hAnsi="Cambria"/>
                <w:color w:val="000000"/>
                <w:lang w:val="id-ID" w:eastAsia="id-ID"/>
              </w:rPr>
              <w:t>16.89</w:t>
            </w:r>
          </w:p>
        </w:tc>
        <w:tc>
          <w:tcPr>
            <w:tcW w:w="958" w:type="dxa"/>
            <w:tcBorders>
              <w:top w:val="nil"/>
              <w:left w:val="nil"/>
              <w:bottom w:val="single" w:color="auto" w:sz="4" w:space="0"/>
              <w:right w:val="single" w:color="auto" w:sz="4" w:space="0"/>
            </w:tcBorders>
            <w:noWrap/>
            <w:vAlign w:val="bottom"/>
          </w:tcPr>
          <w:p w14:paraId="05971B2B">
            <w:pPr>
              <w:jc w:val="center"/>
              <w:rPr>
                <w:rFonts w:ascii="Cambria" w:hAnsi="Cambria"/>
                <w:lang w:val="id-ID" w:eastAsia="id-ID"/>
              </w:rPr>
            </w:pPr>
            <w:r>
              <w:rPr>
                <w:rFonts w:ascii="Cambria" w:hAnsi="Cambria"/>
                <w:lang w:val="id-ID" w:eastAsia="id-ID"/>
              </w:rPr>
              <w:t>15.98</w:t>
            </w:r>
          </w:p>
        </w:tc>
      </w:tr>
      <w:tr w14:paraId="37007EF9">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416BE96A">
            <w:pPr>
              <w:jc w:val="center"/>
              <w:rPr>
                <w:rFonts w:ascii="Cambria" w:hAnsi="Cambria"/>
                <w:color w:val="000000"/>
                <w:lang w:val="id-ID" w:eastAsia="id-ID"/>
              </w:rPr>
            </w:pPr>
            <w:r>
              <w:rPr>
                <w:rFonts w:ascii="Cambria" w:hAnsi="Cambria"/>
                <w:color w:val="000000"/>
                <w:lang w:val="id-ID" w:eastAsia="id-ID"/>
              </w:rPr>
              <w:t>2</w:t>
            </w:r>
          </w:p>
        </w:tc>
        <w:tc>
          <w:tcPr>
            <w:tcW w:w="797" w:type="dxa"/>
            <w:tcBorders>
              <w:top w:val="nil"/>
              <w:left w:val="nil"/>
              <w:bottom w:val="single" w:color="auto" w:sz="4" w:space="0"/>
              <w:right w:val="single" w:color="auto" w:sz="4" w:space="0"/>
            </w:tcBorders>
            <w:noWrap/>
            <w:vAlign w:val="bottom"/>
          </w:tcPr>
          <w:p w14:paraId="2001B3F7">
            <w:pPr>
              <w:jc w:val="center"/>
              <w:rPr>
                <w:rFonts w:ascii="Cambria" w:hAnsi="Cambria"/>
                <w:color w:val="000000"/>
                <w:lang w:val="id-ID" w:eastAsia="id-ID"/>
              </w:rPr>
            </w:pPr>
            <w:r>
              <w:rPr>
                <w:rFonts w:ascii="Cambria" w:hAnsi="Cambria"/>
                <w:color w:val="000000"/>
                <w:lang w:val="id-ID" w:eastAsia="id-ID"/>
              </w:rPr>
              <w:t>24.07</w:t>
            </w:r>
          </w:p>
        </w:tc>
        <w:tc>
          <w:tcPr>
            <w:tcW w:w="797" w:type="dxa"/>
            <w:tcBorders>
              <w:top w:val="nil"/>
              <w:left w:val="nil"/>
              <w:bottom w:val="single" w:color="auto" w:sz="4" w:space="0"/>
              <w:right w:val="single" w:color="auto" w:sz="4" w:space="0"/>
            </w:tcBorders>
            <w:noWrap/>
            <w:vAlign w:val="bottom"/>
          </w:tcPr>
          <w:p w14:paraId="50A5AC4E">
            <w:pPr>
              <w:jc w:val="center"/>
              <w:rPr>
                <w:rFonts w:ascii="Cambria" w:hAnsi="Cambria"/>
                <w:color w:val="000000"/>
                <w:lang w:val="id-ID" w:eastAsia="id-ID"/>
              </w:rPr>
            </w:pPr>
            <w:r>
              <w:rPr>
                <w:rFonts w:ascii="Cambria" w:hAnsi="Cambria"/>
                <w:color w:val="000000"/>
                <w:lang w:val="id-ID" w:eastAsia="id-ID"/>
              </w:rPr>
              <w:t>21.07</w:t>
            </w:r>
          </w:p>
        </w:tc>
        <w:tc>
          <w:tcPr>
            <w:tcW w:w="797" w:type="dxa"/>
            <w:tcBorders>
              <w:top w:val="nil"/>
              <w:left w:val="nil"/>
              <w:bottom w:val="single" w:color="auto" w:sz="4" w:space="0"/>
              <w:right w:val="single" w:color="auto" w:sz="4" w:space="0"/>
            </w:tcBorders>
            <w:noWrap/>
            <w:vAlign w:val="bottom"/>
          </w:tcPr>
          <w:p w14:paraId="3B565DE4">
            <w:pPr>
              <w:jc w:val="center"/>
              <w:rPr>
                <w:rFonts w:ascii="Cambria" w:hAnsi="Cambria"/>
                <w:color w:val="000000"/>
                <w:lang w:val="id-ID" w:eastAsia="id-ID"/>
              </w:rPr>
            </w:pPr>
            <w:r>
              <w:rPr>
                <w:rFonts w:ascii="Cambria" w:hAnsi="Cambria"/>
                <w:color w:val="000000"/>
                <w:lang w:val="id-ID" w:eastAsia="id-ID"/>
              </w:rPr>
              <w:t>23.17</w:t>
            </w:r>
          </w:p>
        </w:tc>
        <w:tc>
          <w:tcPr>
            <w:tcW w:w="958" w:type="dxa"/>
            <w:tcBorders>
              <w:top w:val="nil"/>
              <w:left w:val="nil"/>
              <w:bottom w:val="single" w:color="auto" w:sz="4" w:space="0"/>
              <w:right w:val="single" w:color="auto" w:sz="4" w:space="0"/>
            </w:tcBorders>
            <w:noWrap/>
            <w:vAlign w:val="bottom"/>
          </w:tcPr>
          <w:p w14:paraId="16CD6E15">
            <w:pPr>
              <w:jc w:val="center"/>
              <w:rPr>
                <w:rFonts w:ascii="Cambria" w:hAnsi="Cambria"/>
                <w:lang w:val="id-ID" w:eastAsia="id-ID"/>
              </w:rPr>
            </w:pPr>
            <w:r>
              <w:rPr>
                <w:rFonts w:ascii="Cambria" w:hAnsi="Cambria"/>
                <w:lang w:val="id-ID" w:eastAsia="id-ID"/>
              </w:rPr>
              <w:t>22.8</w:t>
            </w:r>
          </w:p>
        </w:tc>
      </w:tr>
      <w:tr w14:paraId="12093BA0">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338D1356">
            <w:pPr>
              <w:jc w:val="center"/>
              <w:rPr>
                <w:rFonts w:ascii="Cambria" w:hAnsi="Cambria"/>
                <w:color w:val="000000"/>
                <w:lang w:val="id-ID" w:eastAsia="id-ID"/>
              </w:rPr>
            </w:pPr>
            <w:r>
              <w:rPr>
                <w:rFonts w:ascii="Cambria" w:hAnsi="Cambria"/>
                <w:color w:val="000000"/>
                <w:lang w:val="id-ID" w:eastAsia="id-ID"/>
              </w:rPr>
              <w:t>3</w:t>
            </w:r>
          </w:p>
        </w:tc>
        <w:tc>
          <w:tcPr>
            <w:tcW w:w="797" w:type="dxa"/>
            <w:tcBorders>
              <w:top w:val="nil"/>
              <w:left w:val="nil"/>
              <w:bottom w:val="single" w:color="auto" w:sz="4" w:space="0"/>
              <w:right w:val="single" w:color="auto" w:sz="4" w:space="0"/>
            </w:tcBorders>
            <w:noWrap/>
            <w:vAlign w:val="bottom"/>
          </w:tcPr>
          <w:p w14:paraId="5B5C478A">
            <w:pPr>
              <w:jc w:val="center"/>
              <w:rPr>
                <w:rFonts w:ascii="Cambria" w:hAnsi="Cambria"/>
                <w:color w:val="000000"/>
                <w:lang w:val="id-ID" w:eastAsia="id-ID"/>
              </w:rPr>
            </w:pPr>
            <w:r>
              <w:rPr>
                <w:rFonts w:ascii="Cambria" w:hAnsi="Cambria"/>
                <w:color w:val="000000"/>
                <w:lang w:val="id-ID" w:eastAsia="id-ID"/>
              </w:rPr>
              <w:t>22.90</w:t>
            </w:r>
          </w:p>
        </w:tc>
        <w:tc>
          <w:tcPr>
            <w:tcW w:w="797" w:type="dxa"/>
            <w:tcBorders>
              <w:top w:val="nil"/>
              <w:left w:val="nil"/>
              <w:bottom w:val="single" w:color="auto" w:sz="4" w:space="0"/>
              <w:right w:val="single" w:color="auto" w:sz="4" w:space="0"/>
            </w:tcBorders>
            <w:noWrap/>
            <w:vAlign w:val="bottom"/>
          </w:tcPr>
          <w:p w14:paraId="4E1ADDF7">
            <w:pPr>
              <w:jc w:val="center"/>
              <w:rPr>
                <w:rFonts w:ascii="Cambria" w:hAnsi="Cambria"/>
                <w:color w:val="000000"/>
                <w:lang w:val="id-ID" w:eastAsia="id-ID"/>
              </w:rPr>
            </w:pPr>
            <w:r>
              <w:rPr>
                <w:rFonts w:ascii="Cambria" w:hAnsi="Cambria"/>
                <w:color w:val="000000"/>
                <w:lang w:val="id-ID" w:eastAsia="id-ID"/>
              </w:rPr>
              <w:t>21.95</w:t>
            </w:r>
          </w:p>
        </w:tc>
        <w:tc>
          <w:tcPr>
            <w:tcW w:w="797" w:type="dxa"/>
            <w:tcBorders>
              <w:top w:val="nil"/>
              <w:left w:val="nil"/>
              <w:bottom w:val="single" w:color="auto" w:sz="4" w:space="0"/>
              <w:right w:val="single" w:color="auto" w:sz="4" w:space="0"/>
            </w:tcBorders>
            <w:noWrap/>
            <w:vAlign w:val="bottom"/>
          </w:tcPr>
          <w:p w14:paraId="16EC6652">
            <w:pPr>
              <w:jc w:val="center"/>
              <w:rPr>
                <w:rFonts w:ascii="Cambria" w:hAnsi="Cambria"/>
                <w:color w:val="000000"/>
                <w:lang w:val="id-ID" w:eastAsia="id-ID"/>
              </w:rPr>
            </w:pPr>
            <w:r>
              <w:rPr>
                <w:rFonts w:ascii="Cambria" w:hAnsi="Cambria"/>
                <w:color w:val="000000"/>
                <w:lang w:val="id-ID" w:eastAsia="id-ID"/>
              </w:rPr>
              <w:t>22.02</w:t>
            </w:r>
          </w:p>
        </w:tc>
        <w:tc>
          <w:tcPr>
            <w:tcW w:w="958" w:type="dxa"/>
            <w:tcBorders>
              <w:top w:val="nil"/>
              <w:left w:val="nil"/>
              <w:bottom w:val="single" w:color="auto" w:sz="4" w:space="0"/>
              <w:right w:val="single" w:color="auto" w:sz="4" w:space="0"/>
            </w:tcBorders>
            <w:noWrap/>
            <w:vAlign w:val="bottom"/>
          </w:tcPr>
          <w:p w14:paraId="339C85D6">
            <w:pPr>
              <w:jc w:val="center"/>
              <w:rPr>
                <w:rFonts w:ascii="Cambria" w:hAnsi="Cambria"/>
                <w:lang w:val="id-ID" w:eastAsia="id-ID"/>
              </w:rPr>
            </w:pPr>
            <w:r>
              <w:rPr>
                <w:rFonts w:ascii="Cambria" w:hAnsi="Cambria"/>
                <w:lang w:val="id-ID" w:eastAsia="id-ID"/>
              </w:rPr>
              <w:t>22.29</w:t>
            </w:r>
          </w:p>
        </w:tc>
      </w:tr>
      <w:tr w14:paraId="5D749F01">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368DCCBC">
            <w:pPr>
              <w:jc w:val="center"/>
              <w:rPr>
                <w:rFonts w:ascii="Cambria" w:hAnsi="Cambria"/>
                <w:color w:val="000000"/>
                <w:lang w:val="id-ID" w:eastAsia="id-ID"/>
              </w:rPr>
            </w:pPr>
            <w:r>
              <w:rPr>
                <w:rFonts w:ascii="Cambria" w:hAnsi="Cambria"/>
                <w:color w:val="000000"/>
                <w:lang w:val="id-ID" w:eastAsia="id-ID"/>
              </w:rPr>
              <w:t>4</w:t>
            </w:r>
          </w:p>
        </w:tc>
        <w:tc>
          <w:tcPr>
            <w:tcW w:w="797" w:type="dxa"/>
            <w:tcBorders>
              <w:top w:val="nil"/>
              <w:left w:val="nil"/>
              <w:bottom w:val="single" w:color="auto" w:sz="4" w:space="0"/>
              <w:right w:val="single" w:color="auto" w:sz="4" w:space="0"/>
            </w:tcBorders>
            <w:noWrap/>
            <w:vAlign w:val="bottom"/>
          </w:tcPr>
          <w:p w14:paraId="5BCD0516">
            <w:pPr>
              <w:jc w:val="center"/>
              <w:rPr>
                <w:rFonts w:ascii="Cambria" w:hAnsi="Cambria"/>
                <w:color w:val="000000"/>
                <w:lang w:val="id-ID" w:eastAsia="id-ID"/>
              </w:rPr>
            </w:pPr>
            <w:r>
              <w:rPr>
                <w:rFonts w:ascii="Cambria" w:hAnsi="Cambria"/>
                <w:color w:val="000000"/>
                <w:lang w:val="id-ID" w:eastAsia="id-ID"/>
              </w:rPr>
              <w:t>4.63</w:t>
            </w:r>
          </w:p>
        </w:tc>
        <w:tc>
          <w:tcPr>
            <w:tcW w:w="797" w:type="dxa"/>
            <w:tcBorders>
              <w:top w:val="nil"/>
              <w:left w:val="nil"/>
              <w:bottom w:val="single" w:color="auto" w:sz="4" w:space="0"/>
              <w:right w:val="single" w:color="auto" w:sz="4" w:space="0"/>
            </w:tcBorders>
            <w:noWrap/>
            <w:vAlign w:val="bottom"/>
          </w:tcPr>
          <w:p w14:paraId="4BFDAFD0">
            <w:pPr>
              <w:jc w:val="center"/>
              <w:rPr>
                <w:rFonts w:ascii="Cambria" w:hAnsi="Cambria"/>
                <w:color w:val="000000"/>
                <w:lang w:val="id-ID" w:eastAsia="id-ID"/>
              </w:rPr>
            </w:pPr>
            <w:r>
              <w:rPr>
                <w:rFonts w:ascii="Cambria" w:hAnsi="Cambria"/>
                <w:color w:val="000000"/>
                <w:lang w:val="id-ID" w:eastAsia="id-ID"/>
              </w:rPr>
              <w:t>5.50</w:t>
            </w:r>
          </w:p>
        </w:tc>
        <w:tc>
          <w:tcPr>
            <w:tcW w:w="797" w:type="dxa"/>
            <w:tcBorders>
              <w:top w:val="nil"/>
              <w:left w:val="nil"/>
              <w:bottom w:val="single" w:color="auto" w:sz="4" w:space="0"/>
              <w:right w:val="single" w:color="auto" w:sz="4" w:space="0"/>
            </w:tcBorders>
            <w:noWrap/>
            <w:vAlign w:val="bottom"/>
          </w:tcPr>
          <w:p w14:paraId="279AE226">
            <w:pPr>
              <w:jc w:val="center"/>
              <w:rPr>
                <w:rFonts w:ascii="Cambria" w:hAnsi="Cambria"/>
                <w:color w:val="000000"/>
                <w:lang w:val="id-ID" w:eastAsia="id-ID"/>
              </w:rPr>
            </w:pPr>
            <w:r>
              <w:rPr>
                <w:rFonts w:ascii="Cambria" w:hAnsi="Cambria"/>
                <w:color w:val="000000"/>
                <w:lang w:val="id-ID" w:eastAsia="id-ID"/>
              </w:rPr>
              <w:t>6.86</w:t>
            </w:r>
          </w:p>
        </w:tc>
        <w:tc>
          <w:tcPr>
            <w:tcW w:w="958" w:type="dxa"/>
            <w:tcBorders>
              <w:top w:val="nil"/>
              <w:left w:val="nil"/>
              <w:bottom w:val="single" w:color="auto" w:sz="4" w:space="0"/>
              <w:right w:val="single" w:color="auto" w:sz="4" w:space="0"/>
            </w:tcBorders>
            <w:noWrap/>
            <w:vAlign w:val="bottom"/>
          </w:tcPr>
          <w:p w14:paraId="417271A9">
            <w:pPr>
              <w:jc w:val="center"/>
              <w:rPr>
                <w:rFonts w:ascii="Cambria" w:hAnsi="Cambria"/>
                <w:lang w:val="id-ID" w:eastAsia="id-ID"/>
              </w:rPr>
            </w:pPr>
            <w:r>
              <w:rPr>
                <w:rFonts w:ascii="Cambria" w:hAnsi="Cambria"/>
                <w:lang w:val="id-ID" w:eastAsia="id-ID"/>
              </w:rPr>
              <w:t>5.7</w:t>
            </w:r>
          </w:p>
        </w:tc>
      </w:tr>
      <w:tr w14:paraId="25869D12">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51671DF3">
            <w:pPr>
              <w:jc w:val="center"/>
              <w:rPr>
                <w:rFonts w:ascii="Cambria" w:hAnsi="Cambria"/>
                <w:color w:val="000000"/>
                <w:lang w:val="id-ID" w:eastAsia="id-ID"/>
              </w:rPr>
            </w:pPr>
            <w:r>
              <w:rPr>
                <w:rFonts w:ascii="Cambria" w:hAnsi="Cambria"/>
                <w:color w:val="000000"/>
                <w:lang w:val="id-ID" w:eastAsia="id-ID"/>
              </w:rPr>
              <w:t>5</w:t>
            </w:r>
          </w:p>
        </w:tc>
        <w:tc>
          <w:tcPr>
            <w:tcW w:w="797" w:type="dxa"/>
            <w:tcBorders>
              <w:top w:val="nil"/>
              <w:left w:val="nil"/>
              <w:bottom w:val="single" w:color="auto" w:sz="4" w:space="0"/>
              <w:right w:val="single" w:color="auto" w:sz="4" w:space="0"/>
            </w:tcBorders>
            <w:noWrap/>
            <w:vAlign w:val="bottom"/>
          </w:tcPr>
          <w:p w14:paraId="77247E67">
            <w:pPr>
              <w:jc w:val="center"/>
              <w:rPr>
                <w:rFonts w:ascii="Cambria" w:hAnsi="Cambria"/>
                <w:color w:val="000000"/>
                <w:lang w:val="id-ID" w:eastAsia="id-ID"/>
              </w:rPr>
            </w:pPr>
            <w:r>
              <w:rPr>
                <w:rFonts w:ascii="Cambria" w:hAnsi="Cambria"/>
                <w:color w:val="000000"/>
                <w:lang w:val="id-ID" w:eastAsia="id-ID"/>
              </w:rPr>
              <w:t>15.98</w:t>
            </w:r>
          </w:p>
        </w:tc>
        <w:tc>
          <w:tcPr>
            <w:tcW w:w="797" w:type="dxa"/>
            <w:tcBorders>
              <w:top w:val="nil"/>
              <w:left w:val="nil"/>
              <w:bottom w:val="single" w:color="auto" w:sz="4" w:space="0"/>
              <w:right w:val="single" w:color="auto" w:sz="4" w:space="0"/>
            </w:tcBorders>
            <w:noWrap/>
            <w:vAlign w:val="bottom"/>
          </w:tcPr>
          <w:p w14:paraId="3607EF17">
            <w:pPr>
              <w:jc w:val="center"/>
              <w:rPr>
                <w:rFonts w:ascii="Cambria" w:hAnsi="Cambria"/>
                <w:color w:val="000000"/>
                <w:lang w:val="id-ID" w:eastAsia="id-ID"/>
              </w:rPr>
            </w:pPr>
            <w:r>
              <w:rPr>
                <w:rFonts w:ascii="Cambria" w:hAnsi="Cambria"/>
                <w:color w:val="000000"/>
                <w:lang w:val="id-ID" w:eastAsia="id-ID"/>
              </w:rPr>
              <w:t>14.81</w:t>
            </w:r>
          </w:p>
        </w:tc>
        <w:tc>
          <w:tcPr>
            <w:tcW w:w="797" w:type="dxa"/>
            <w:tcBorders>
              <w:top w:val="nil"/>
              <w:left w:val="nil"/>
              <w:bottom w:val="single" w:color="auto" w:sz="4" w:space="0"/>
              <w:right w:val="single" w:color="auto" w:sz="4" w:space="0"/>
            </w:tcBorders>
            <w:noWrap/>
            <w:vAlign w:val="bottom"/>
          </w:tcPr>
          <w:p w14:paraId="2DF60FAE">
            <w:pPr>
              <w:jc w:val="center"/>
              <w:rPr>
                <w:rFonts w:ascii="Cambria" w:hAnsi="Cambria"/>
                <w:color w:val="000000"/>
                <w:lang w:val="id-ID" w:eastAsia="id-ID"/>
              </w:rPr>
            </w:pPr>
            <w:r>
              <w:rPr>
                <w:rFonts w:ascii="Cambria" w:hAnsi="Cambria"/>
                <w:color w:val="000000"/>
                <w:lang w:val="id-ID" w:eastAsia="id-ID"/>
              </w:rPr>
              <w:t>14.81</w:t>
            </w:r>
          </w:p>
        </w:tc>
        <w:tc>
          <w:tcPr>
            <w:tcW w:w="958" w:type="dxa"/>
            <w:tcBorders>
              <w:top w:val="nil"/>
              <w:left w:val="nil"/>
              <w:bottom w:val="single" w:color="auto" w:sz="4" w:space="0"/>
              <w:right w:val="single" w:color="auto" w:sz="4" w:space="0"/>
            </w:tcBorders>
            <w:noWrap/>
            <w:vAlign w:val="bottom"/>
          </w:tcPr>
          <w:p w14:paraId="6D483B7F">
            <w:pPr>
              <w:jc w:val="center"/>
              <w:rPr>
                <w:rFonts w:ascii="Cambria" w:hAnsi="Cambria"/>
                <w:lang w:val="id-ID" w:eastAsia="id-ID"/>
              </w:rPr>
            </w:pPr>
            <w:r>
              <w:rPr>
                <w:rFonts w:ascii="Cambria" w:hAnsi="Cambria"/>
                <w:lang w:val="id-ID" w:eastAsia="id-ID"/>
              </w:rPr>
              <w:t>15.20</w:t>
            </w:r>
          </w:p>
        </w:tc>
      </w:tr>
      <w:tr w14:paraId="5E08099E">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06BE02F4">
            <w:pPr>
              <w:jc w:val="center"/>
              <w:rPr>
                <w:rFonts w:ascii="Cambria" w:hAnsi="Cambria"/>
                <w:color w:val="000000"/>
                <w:lang w:val="id-ID" w:eastAsia="id-ID"/>
              </w:rPr>
            </w:pPr>
            <w:r>
              <w:rPr>
                <w:rFonts w:ascii="Cambria" w:hAnsi="Cambria"/>
                <w:color w:val="000000"/>
                <w:lang w:val="id-ID" w:eastAsia="id-ID"/>
              </w:rPr>
              <w:t>6</w:t>
            </w:r>
          </w:p>
        </w:tc>
        <w:tc>
          <w:tcPr>
            <w:tcW w:w="797" w:type="dxa"/>
            <w:tcBorders>
              <w:top w:val="nil"/>
              <w:left w:val="nil"/>
              <w:bottom w:val="single" w:color="auto" w:sz="4" w:space="0"/>
              <w:right w:val="single" w:color="auto" w:sz="4" w:space="0"/>
            </w:tcBorders>
            <w:noWrap/>
            <w:vAlign w:val="bottom"/>
          </w:tcPr>
          <w:p w14:paraId="7A44CE0D">
            <w:pPr>
              <w:jc w:val="center"/>
              <w:rPr>
                <w:rFonts w:ascii="Cambria" w:hAnsi="Cambria"/>
                <w:color w:val="000000"/>
                <w:lang w:val="id-ID" w:eastAsia="id-ID"/>
              </w:rPr>
            </w:pPr>
            <w:r>
              <w:rPr>
                <w:rFonts w:ascii="Cambria" w:hAnsi="Cambria"/>
                <w:color w:val="000000"/>
                <w:lang w:val="id-ID" w:eastAsia="id-ID"/>
              </w:rPr>
              <w:t>22.44</w:t>
            </w:r>
          </w:p>
        </w:tc>
        <w:tc>
          <w:tcPr>
            <w:tcW w:w="797" w:type="dxa"/>
            <w:tcBorders>
              <w:top w:val="nil"/>
              <w:left w:val="nil"/>
              <w:bottom w:val="single" w:color="auto" w:sz="4" w:space="0"/>
              <w:right w:val="single" w:color="auto" w:sz="4" w:space="0"/>
            </w:tcBorders>
            <w:noWrap/>
            <w:vAlign w:val="bottom"/>
          </w:tcPr>
          <w:p w14:paraId="2720C85D">
            <w:pPr>
              <w:jc w:val="center"/>
              <w:rPr>
                <w:rFonts w:ascii="Cambria" w:hAnsi="Cambria"/>
                <w:color w:val="000000"/>
                <w:lang w:val="id-ID" w:eastAsia="id-ID"/>
              </w:rPr>
            </w:pPr>
            <w:r>
              <w:rPr>
                <w:rFonts w:ascii="Cambria" w:hAnsi="Cambria"/>
                <w:color w:val="000000"/>
                <w:lang w:val="id-ID" w:eastAsia="id-ID"/>
              </w:rPr>
              <w:t>21.60</w:t>
            </w:r>
          </w:p>
        </w:tc>
        <w:tc>
          <w:tcPr>
            <w:tcW w:w="797" w:type="dxa"/>
            <w:tcBorders>
              <w:top w:val="nil"/>
              <w:left w:val="nil"/>
              <w:bottom w:val="single" w:color="auto" w:sz="4" w:space="0"/>
              <w:right w:val="single" w:color="auto" w:sz="4" w:space="0"/>
            </w:tcBorders>
            <w:noWrap/>
            <w:vAlign w:val="bottom"/>
          </w:tcPr>
          <w:p w14:paraId="47A80B9A">
            <w:pPr>
              <w:jc w:val="center"/>
              <w:rPr>
                <w:rFonts w:ascii="Cambria" w:hAnsi="Cambria"/>
                <w:color w:val="000000"/>
                <w:lang w:val="id-ID" w:eastAsia="id-ID"/>
              </w:rPr>
            </w:pPr>
            <w:r>
              <w:rPr>
                <w:rFonts w:ascii="Cambria" w:hAnsi="Cambria"/>
                <w:color w:val="000000"/>
                <w:lang w:val="id-ID" w:eastAsia="id-ID"/>
              </w:rPr>
              <w:t>20.28</w:t>
            </w:r>
          </w:p>
        </w:tc>
        <w:tc>
          <w:tcPr>
            <w:tcW w:w="958" w:type="dxa"/>
            <w:tcBorders>
              <w:top w:val="nil"/>
              <w:left w:val="nil"/>
              <w:bottom w:val="single" w:color="auto" w:sz="4" w:space="0"/>
              <w:right w:val="single" w:color="auto" w:sz="4" w:space="0"/>
            </w:tcBorders>
            <w:noWrap/>
            <w:vAlign w:val="bottom"/>
          </w:tcPr>
          <w:p w14:paraId="44ACABEC">
            <w:pPr>
              <w:jc w:val="center"/>
              <w:rPr>
                <w:rFonts w:ascii="Cambria" w:hAnsi="Cambria"/>
                <w:lang w:val="id-ID" w:eastAsia="id-ID"/>
              </w:rPr>
            </w:pPr>
            <w:r>
              <w:rPr>
                <w:rFonts w:ascii="Cambria" w:hAnsi="Cambria"/>
                <w:lang w:val="id-ID" w:eastAsia="id-ID"/>
              </w:rPr>
              <w:t>21.4</w:t>
            </w:r>
          </w:p>
        </w:tc>
      </w:tr>
      <w:tr w14:paraId="7FECE3B4">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2ADDC62D">
            <w:pPr>
              <w:jc w:val="center"/>
              <w:rPr>
                <w:rFonts w:ascii="Cambria" w:hAnsi="Cambria"/>
                <w:color w:val="000000"/>
                <w:lang w:val="id-ID" w:eastAsia="id-ID"/>
              </w:rPr>
            </w:pPr>
            <w:r>
              <w:rPr>
                <w:rFonts w:ascii="Cambria" w:hAnsi="Cambria"/>
                <w:color w:val="000000"/>
                <w:lang w:val="id-ID" w:eastAsia="id-ID"/>
              </w:rPr>
              <w:t>7</w:t>
            </w:r>
          </w:p>
        </w:tc>
        <w:tc>
          <w:tcPr>
            <w:tcW w:w="797" w:type="dxa"/>
            <w:tcBorders>
              <w:top w:val="nil"/>
              <w:left w:val="nil"/>
              <w:bottom w:val="single" w:color="auto" w:sz="4" w:space="0"/>
              <w:right w:val="single" w:color="auto" w:sz="4" w:space="0"/>
            </w:tcBorders>
            <w:noWrap/>
            <w:vAlign w:val="bottom"/>
          </w:tcPr>
          <w:p w14:paraId="238928F2">
            <w:pPr>
              <w:jc w:val="center"/>
              <w:rPr>
                <w:rFonts w:ascii="Cambria" w:hAnsi="Cambria"/>
                <w:color w:val="000000"/>
                <w:lang w:val="id-ID" w:eastAsia="id-ID"/>
              </w:rPr>
            </w:pPr>
            <w:r>
              <w:rPr>
                <w:rFonts w:ascii="Cambria" w:hAnsi="Cambria"/>
                <w:color w:val="000000"/>
                <w:lang w:val="id-ID" w:eastAsia="id-ID"/>
              </w:rPr>
              <w:t>21.18</w:t>
            </w:r>
          </w:p>
        </w:tc>
        <w:tc>
          <w:tcPr>
            <w:tcW w:w="797" w:type="dxa"/>
            <w:tcBorders>
              <w:top w:val="nil"/>
              <w:left w:val="nil"/>
              <w:bottom w:val="single" w:color="auto" w:sz="4" w:space="0"/>
              <w:right w:val="single" w:color="auto" w:sz="4" w:space="0"/>
            </w:tcBorders>
            <w:noWrap/>
            <w:vAlign w:val="bottom"/>
          </w:tcPr>
          <w:p w14:paraId="15BBDF85">
            <w:pPr>
              <w:jc w:val="center"/>
              <w:rPr>
                <w:rFonts w:ascii="Cambria" w:hAnsi="Cambria"/>
                <w:color w:val="000000"/>
                <w:lang w:val="id-ID" w:eastAsia="id-ID"/>
              </w:rPr>
            </w:pPr>
            <w:r>
              <w:rPr>
                <w:rFonts w:ascii="Cambria" w:hAnsi="Cambria"/>
                <w:color w:val="000000"/>
                <w:lang w:val="id-ID" w:eastAsia="id-ID"/>
              </w:rPr>
              <w:t>20.95</w:t>
            </w:r>
          </w:p>
        </w:tc>
        <w:tc>
          <w:tcPr>
            <w:tcW w:w="797" w:type="dxa"/>
            <w:tcBorders>
              <w:top w:val="nil"/>
              <w:left w:val="nil"/>
              <w:bottom w:val="single" w:color="auto" w:sz="4" w:space="0"/>
              <w:right w:val="single" w:color="auto" w:sz="4" w:space="0"/>
            </w:tcBorders>
            <w:noWrap/>
            <w:vAlign w:val="bottom"/>
          </w:tcPr>
          <w:p w14:paraId="6A155993">
            <w:pPr>
              <w:jc w:val="center"/>
              <w:rPr>
                <w:rFonts w:ascii="Cambria" w:hAnsi="Cambria"/>
                <w:color w:val="000000"/>
                <w:lang w:val="id-ID" w:eastAsia="id-ID"/>
              </w:rPr>
            </w:pPr>
            <w:r>
              <w:rPr>
                <w:rFonts w:ascii="Cambria" w:hAnsi="Cambria"/>
                <w:color w:val="000000"/>
                <w:lang w:val="id-ID" w:eastAsia="id-ID"/>
              </w:rPr>
              <w:t>20.57</w:t>
            </w:r>
          </w:p>
        </w:tc>
        <w:tc>
          <w:tcPr>
            <w:tcW w:w="958" w:type="dxa"/>
            <w:tcBorders>
              <w:top w:val="nil"/>
              <w:left w:val="nil"/>
              <w:bottom w:val="single" w:color="auto" w:sz="4" w:space="0"/>
              <w:right w:val="single" w:color="auto" w:sz="4" w:space="0"/>
            </w:tcBorders>
            <w:noWrap/>
            <w:vAlign w:val="bottom"/>
          </w:tcPr>
          <w:p w14:paraId="29899232">
            <w:pPr>
              <w:jc w:val="center"/>
              <w:rPr>
                <w:rFonts w:ascii="Cambria" w:hAnsi="Cambria"/>
                <w:lang w:val="id-ID" w:eastAsia="id-ID"/>
              </w:rPr>
            </w:pPr>
            <w:r>
              <w:rPr>
                <w:rFonts w:ascii="Cambria" w:hAnsi="Cambria"/>
                <w:lang w:val="id-ID" w:eastAsia="id-ID"/>
              </w:rPr>
              <w:t>20.90</w:t>
            </w:r>
          </w:p>
        </w:tc>
      </w:tr>
      <w:tr w14:paraId="4B2B25E5">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4CED9F62">
            <w:pPr>
              <w:jc w:val="center"/>
              <w:rPr>
                <w:rFonts w:ascii="Cambria" w:hAnsi="Cambria"/>
                <w:color w:val="000000"/>
                <w:lang w:val="id-ID" w:eastAsia="id-ID"/>
              </w:rPr>
            </w:pPr>
            <w:r>
              <w:rPr>
                <w:rFonts w:ascii="Cambria" w:hAnsi="Cambria"/>
                <w:color w:val="000000"/>
                <w:lang w:val="id-ID" w:eastAsia="id-ID"/>
              </w:rPr>
              <w:t>8</w:t>
            </w:r>
          </w:p>
        </w:tc>
        <w:tc>
          <w:tcPr>
            <w:tcW w:w="797" w:type="dxa"/>
            <w:tcBorders>
              <w:top w:val="nil"/>
              <w:left w:val="nil"/>
              <w:bottom w:val="single" w:color="auto" w:sz="4" w:space="0"/>
              <w:right w:val="single" w:color="auto" w:sz="4" w:space="0"/>
            </w:tcBorders>
            <w:noWrap/>
            <w:vAlign w:val="bottom"/>
          </w:tcPr>
          <w:p w14:paraId="691B68F3">
            <w:pPr>
              <w:jc w:val="center"/>
              <w:rPr>
                <w:rFonts w:ascii="Cambria" w:hAnsi="Cambria"/>
                <w:color w:val="000000"/>
                <w:lang w:val="id-ID" w:eastAsia="id-ID"/>
              </w:rPr>
            </w:pPr>
            <w:r>
              <w:rPr>
                <w:rFonts w:ascii="Cambria" w:hAnsi="Cambria"/>
                <w:color w:val="000000"/>
                <w:lang w:val="id-ID" w:eastAsia="id-ID"/>
              </w:rPr>
              <w:t>11.31</w:t>
            </w:r>
          </w:p>
        </w:tc>
        <w:tc>
          <w:tcPr>
            <w:tcW w:w="797" w:type="dxa"/>
            <w:tcBorders>
              <w:top w:val="nil"/>
              <w:left w:val="nil"/>
              <w:bottom w:val="single" w:color="auto" w:sz="4" w:space="0"/>
              <w:right w:val="single" w:color="auto" w:sz="4" w:space="0"/>
            </w:tcBorders>
            <w:noWrap/>
            <w:vAlign w:val="bottom"/>
          </w:tcPr>
          <w:p w14:paraId="0EBC6DA7">
            <w:pPr>
              <w:jc w:val="center"/>
              <w:rPr>
                <w:rFonts w:ascii="Cambria" w:hAnsi="Cambria"/>
                <w:color w:val="000000"/>
                <w:lang w:val="id-ID" w:eastAsia="id-ID"/>
              </w:rPr>
            </w:pPr>
            <w:r>
              <w:rPr>
                <w:rFonts w:ascii="Cambria" w:hAnsi="Cambria"/>
                <w:color w:val="000000"/>
                <w:lang w:val="id-ID" w:eastAsia="id-ID"/>
              </w:rPr>
              <w:t>13.42</w:t>
            </w:r>
          </w:p>
        </w:tc>
        <w:tc>
          <w:tcPr>
            <w:tcW w:w="797" w:type="dxa"/>
            <w:tcBorders>
              <w:top w:val="nil"/>
              <w:left w:val="nil"/>
              <w:bottom w:val="single" w:color="auto" w:sz="4" w:space="0"/>
              <w:right w:val="single" w:color="auto" w:sz="4" w:space="0"/>
            </w:tcBorders>
            <w:noWrap/>
            <w:vAlign w:val="bottom"/>
          </w:tcPr>
          <w:p w14:paraId="3A86BD71">
            <w:pPr>
              <w:jc w:val="center"/>
              <w:rPr>
                <w:rFonts w:ascii="Cambria" w:hAnsi="Cambria"/>
                <w:color w:val="000000"/>
                <w:lang w:val="id-ID" w:eastAsia="id-ID"/>
              </w:rPr>
            </w:pPr>
            <w:r>
              <w:rPr>
                <w:rFonts w:ascii="Cambria" w:hAnsi="Cambria"/>
                <w:color w:val="000000"/>
                <w:lang w:val="id-ID" w:eastAsia="id-ID"/>
              </w:rPr>
              <w:t>11.82</w:t>
            </w:r>
          </w:p>
        </w:tc>
        <w:tc>
          <w:tcPr>
            <w:tcW w:w="958" w:type="dxa"/>
            <w:tcBorders>
              <w:top w:val="nil"/>
              <w:left w:val="nil"/>
              <w:bottom w:val="single" w:color="auto" w:sz="4" w:space="0"/>
              <w:right w:val="single" w:color="auto" w:sz="4" w:space="0"/>
            </w:tcBorders>
            <w:noWrap/>
            <w:vAlign w:val="bottom"/>
          </w:tcPr>
          <w:p w14:paraId="6B1E0DDF">
            <w:pPr>
              <w:jc w:val="center"/>
              <w:rPr>
                <w:rFonts w:ascii="Cambria" w:hAnsi="Cambria"/>
                <w:lang w:val="id-ID" w:eastAsia="id-ID"/>
              </w:rPr>
            </w:pPr>
            <w:r>
              <w:rPr>
                <w:rFonts w:ascii="Cambria" w:hAnsi="Cambria"/>
                <w:lang w:val="id-ID" w:eastAsia="id-ID"/>
              </w:rPr>
              <w:t>12.18</w:t>
            </w:r>
          </w:p>
        </w:tc>
      </w:tr>
      <w:tr w14:paraId="26ED45ED">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76A31578">
            <w:pPr>
              <w:jc w:val="center"/>
              <w:rPr>
                <w:rFonts w:ascii="Cambria" w:hAnsi="Cambria"/>
                <w:color w:val="000000"/>
                <w:lang w:val="id-ID" w:eastAsia="id-ID"/>
              </w:rPr>
            </w:pPr>
            <w:r>
              <w:rPr>
                <w:rFonts w:ascii="Cambria" w:hAnsi="Cambria"/>
                <w:color w:val="000000"/>
                <w:lang w:val="id-ID" w:eastAsia="id-ID"/>
              </w:rPr>
              <w:t>9</w:t>
            </w:r>
          </w:p>
        </w:tc>
        <w:tc>
          <w:tcPr>
            <w:tcW w:w="797" w:type="dxa"/>
            <w:tcBorders>
              <w:top w:val="nil"/>
              <w:left w:val="nil"/>
              <w:bottom w:val="single" w:color="auto" w:sz="4" w:space="0"/>
              <w:right w:val="single" w:color="auto" w:sz="4" w:space="0"/>
            </w:tcBorders>
            <w:noWrap/>
            <w:vAlign w:val="bottom"/>
          </w:tcPr>
          <w:p w14:paraId="17F58A85">
            <w:pPr>
              <w:jc w:val="center"/>
              <w:rPr>
                <w:rFonts w:ascii="Cambria" w:hAnsi="Cambria"/>
                <w:color w:val="000000"/>
                <w:lang w:val="id-ID" w:eastAsia="id-ID"/>
              </w:rPr>
            </w:pPr>
            <w:r>
              <w:rPr>
                <w:rFonts w:ascii="Cambria" w:hAnsi="Cambria"/>
                <w:color w:val="000000"/>
                <w:lang w:val="id-ID" w:eastAsia="id-ID"/>
              </w:rPr>
              <w:t>18.23</w:t>
            </w:r>
          </w:p>
        </w:tc>
        <w:tc>
          <w:tcPr>
            <w:tcW w:w="797" w:type="dxa"/>
            <w:tcBorders>
              <w:top w:val="nil"/>
              <w:left w:val="nil"/>
              <w:bottom w:val="single" w:color="auto" w:sz="4" w:space="0"/>
              <w:right w:val="single" w:color="auto" w:sz="4" w:space="0"/>
            </w:tcBorders>
            <w:noWrap/>
            <w:vAlign w:val="bottom"/>
          </w:tcPr>
          <w:p w14:paraId="03B573F4">
            <w:pPr>
              <w:jc w:val="center"/>
              <w:rPr>
                <w:rFonts w:ascii="Cambria" w:hAnsi="Cambria"/>
                <w:color w:val="000000"/>
                <w:lang w:val="id-ID" w:eastAsia="id-ID"/>
              </w:rPr>
            </w:pPr>
            <w:r>
              <w:rPr>
                <w:rFonts w:ascii="Cambria" w:hAnsi="Cambria"/>
                <w:color w:val="000000"/>
                <w:lang w:val="id-ID" w:eastAsia="id-ID"/>
              </w:rPr>
              <w:t>15.92</w:t>
            </w:r>
          </w:p>
        </w:tc>
        <w:tc>
          <w:tcPr>
            <w:tcW w:w="797" w:type="dxa"/>
            <w:tcBorders>
              <w:top w:val="nil"/>
              <w:left w:val="nil"/>
              <w:bottom w:val="single" w:color="auto" w:sz="4" w:space="0"/>
              <w:right w:val="single" w:color="auto" w:sz="4" w:space="0"/>
            </w:tcBorders>
            <w:noWrap/>
            <w:vAlign w:val="bottom"/>
          </w:tcPr>
          <w:p w14:paraId="229A11A6">
            <w:pPr>
              <w:jc w:val="center"/>
              <w:rPr>
                <w:rFonts w:ascii="Cambria" w:hAnsi="Cambria"/>
                <w:color w:val="000000"/>
                <w:lang w:val="id-ID" w:eastAsia="id-ID"/>
              </w:rPr>
            </w:pPr>
            <w:r>
              <w:rPr>
                <w:rFonts w:ascii="Cambria" w:hAnsi="Cambria"/>
                <w:color w:val="000000"/>
                <w:lang w:val="id-ID" w:eastAsia="id-ID"/>
              </w:rPr>
              <w:t>15.37</w:t>
            </w:r>
          </w:p>
        </w:tc>
        <w:tc>
          <w:tcPr>
            <w:tcW w:w="958" w:type="dxa"/>
            <w:tcBorders>
              <w:top w:val="nil"/>
              <w:left w:val="nil"/>
              <w:bottom w:val="single" w:color="auto" w:sz="4" w:space="0"/>
              <w:right w:val="single" w:color="auto" w:sz="4" w:space="0"/>
            </w:tcBorders>
            <w:noWrap/>
            <w:vAlign w:val="bottom"/>
          </w:tcPr>
          <w:p w14:paraId="4F2758A9">
            <w:pPr>
              <w:jc w:val="center"/>
              <w:rPr>
                <w:rFonts w:ascii="Cambria" w:hAnsi="Cambria"/>
                <w:lang w:val="id-ID" w:eastAsia="id-ID"/>
              </w:rPr>
            </w:pPr>
            <w:r>
              <w:rPr>
                <w:rFonts w:ascii="Cambria" w:hAnsi="Cambria"/>
                <w:lang w:val="id-ID" w:eastAsia="id-ID"/>
              </w:rPr>
              <w:t>16.5</w:t>
            </w:r>
          </w:p>
        </w:tc>
      </w:tr>
      <w:tr w14:paraId="3157BF58">
        <w:tblPrEx>
          <w:tblCellMar>
            <w:top w:w="0" w:type="dxa"/>
            <w:left w:w="108" w:type="dxa"/>
            <w:bottom w:w="0" w:type="dxa"/>
            <w:right w:w="108" w:type="dxa"/>
          </w:tblCellMar>
        </w:tblPrEx>
        <w:trPr>
          <w:trHeight w:val="300" w:hRule="atLeast"/>
        </w:trPr>
        <w:tc>
          <w:tcPr>
            <w:tcW w:w="1418" w:type="dxa"/>
            <w:tcBorders>
              <w:top w:val="nil"/>
              <w:left w:val="single" w:color="auto" w:sz="4" w:space="0"/>
              <w:bottom w:val="single" w:color="auto" w:sz="4" w:space="0"/>
              <w:right w:val="single" w:color="auto" w:sz="4" w:space="0"/>
            </w:tcBorders>
            <w:noWrap/>
            <w:vAlign w:val="bottom"/>
          </w:tcPr>
          <w:p w14:paraId="3FFDCAB9">
            <w:pPr>
              <w:jc w:val="center"/>
              <w:rPr>
                <w:rFonts w:ascii="Cambria" w:hAnsi="Cambria"/>
                <w:color w:val="000000"/>
                <w:lang w:val="id-ID" w:eastAsia="id-ID"/>
              </w:rPr>
            </w:pPr>
            <w:r>
              <w:rPr>
                <w:rFonts w:ascii="Cambria" w:hAnsi="Cambria"/>
                <w:color w:val="000000"/>
                <w:lang w:val="id-ID" w:eastAsia="id-ID"/>
              </w:rPr>
              <w:t>10</w:t>
            </w:r>
          </w:p>
        </w:tc>
        <w:tc>
          <w:tcPr>
            <w:tcW w:w="797" w:type="dxa"/>
            <w:tcBorders>
              <w:top w:val="nil"/>
              <w:left w:val="nil"/>
              <w:bottom w:val="single" w:color="auto" w:sz="4" w:space="0"/>
              <w:right w:val="single" w:color="auto" w:sz="4" w:space="0"/>
            </w:tcBorders>
            <w:noWrap/>
            <w:vAlign w:val="bottom"/>
          </w:tcPr>
          <w:p w14:paraId="4BA5C897">
            <w:pPr>
              <w:jc w:val="center"/>
              <w:rPr>
                <w:rFonts w:ascii="Cambria" w:hAnsi="Cambria"/>
                <w:color w:val="000000"/>
                <w:lang w:val="id-ID" w:eastAsia="id-ID"/>
              </w:rPr>
            </w:pPr>
            <w:r>
              <w:rPr>
                <w:rFonts w:ascii="Cambria" w:hAnsi="Cambria"/>
                <w:color w:val="000000"/>
                <w:lang w:val="id-ID" w:eastAsia="id-ID"/>
              </w:rPr>
              <w:t>11.32</w:t>
            </w:r>
          </w:p>
        </w:tc>
        <w:tc>
          <w:tcPr>
            <w:tcW w:w="797" w:type="dxa"/>
            <w:tcBorders>
              <w:top w:val="nil"/>
              <w:left w:val="nil"/>
              <w:bottom w:val="single" w:color="auto" w:sz="4" w:space="0"/>
              <w:right w:val="single" w:color="auto" w:sz="4" w:space="0"/>
            </w:tcBorders>
            <w:noWrap/>
            <w:vAlign w:val="bottom"/>
          </w:tcPr>
          <w:p w14:paraId="690A90EB">
            <w:pPr>
              <w:jc w:val="center"/>
              <w:rPr>
                <w:rFonts w:ascii="Cambria" w:hAnsi="Cambria"/>
                <w:color w:val="000000"/>
                <w:lang w:val="id-ID" w:eastAsia="id-ID"/>
              </w:rPr>
            </w:pPr>
            <w:r>
              <w:rPr>
                <w:rFonts w:ascii="Cambria" w:hAnsi="Cambria"/>
                <w:color w:val="000000"/>
                <w:lang w:val="id-ID" w:eastAsia="id-ID"/>
              </w:rPr>
              <w:t>10.53</w:t>
            </w:r>
          </w:p>
        </w:tc>
        <w:tc>
          <w:tcPr>
            <w:tcW w:w="797" w:type="dxa"/>
            <w:tcBorders>
              <w:top w:val="nil"/>
              <w:left w:val="nil"/>
              <w:bottom w:val="single" w:color="auto" w:sz="4" w:space="0"/>
              <w:right w:val="single" w:color="auto" w:sz="4" w:space="0"/>
            </w:tcBorders>
            <w:noWrap/>
            <w:vAlign w:val="bottom"/>
          </w:tcPr>
          <w:p w14:paraId="7C6136F4">
            <w:pPr>
              <w:jc w:val="center"/>
              <w:rPr>
                <w:rFonts w:ascii="Cambria" w:hAnsi="Cambria"/>
                <w:color w:val="000000"/>
                <w:lang w:val="id-ID" w:eastAsia="id-ID"/>
              </w:rPr>
            </w:pPr>
            <w:r>
              <w:rPr>
                <w:rFonts w:ascii="Cambria" w:hAnsi="Cambria"/>
                <w:color w:val="000000"/>
                <w:lang w:val="id-ID" w:eastAsia="id-ID"/>
              </w:rPr>
              <w:t>10.80</w:t>
            </w:r>
          </w:p>
        </w:tc>
        <w:tc>
          <w:tcPr>
            <w:tcW w:w="958" w:type="dxa"/>
            <w:tcBorders>
              <w:top w:val="nil"/>
              <w:left w:val="nil"/>
              <w:bottom w:val="single" w:color="auto" w:sz="4" w:space="0"/>
              <w:right w:val="single" w:color="auto" w:sz="4" w:space="0"/>
            </w:tcBorders>
            <w:noWrap/>
            <w:vAlign w:val="bottom"/>
          </w:tcPr>
          <w:p w14:paraId="679108EB">
            <w:pPr>
              <w:jc w:val="center"/>
              <w:rPr>
                <w:rFonts w:ascii="Cambria" w:hAnsi="Cambria"/>
                <w:lang w:val="id-ID" w:eastAsia="id-ID"/>
              </w:rPr>
            </w:pPr>
            <w:r>
              <w:rPr>
                <w:rFonts w:ascii="Cambria" w:hAnsi="Cambria"/>
                <w:lang w:val="id-ID" w:eastAsia="id-ID"/>
              </w:rPr>
              <w:t>10.89</w:t>
            </w:r>
          </w:p>
        </w:tc>
      </w:tr>
    </w:tbl>
    <w:p w14:paraId="75A2863F">
      <w:pPr>
        <w:pStyle w:val="13"/>
        <w:spacing w:before="0" w:beforeAutospacing="0" w:after="0" w:afterAutospacing="0"/>
        <w:ind w:firstLine="709"/>
        <w:jc w:val="both"/>
        <w:rPr>
          <w:rStyle w:val="14"/>
          <w:rFonts w:ascii="Cambria" w:hAnsi="Cambria"/>
          <w:b w:val="0"/>
        </w:rPr>
      </w:pPr>
    </w:p>
    <w:p w14:paraId="470D3E5D">
      <w:pPr>
        <w:spacing w:after="160" w:line="259" w:lineRule="auto"/>
        <w:ind w:left="540" w:leftChars="300" w:firstLine="715" w:firstLineChars="0"/>
        <w:contextualSpacing/>
        <w:jc w:val="both"/>
        <w:rPr>
          <w:rStyle w:val="14"/>
          <w:rFonts w:hint="default" w:ascii="Times New Roman" w:hAnsi="Times New Roman" w:cs="Times New Roman"/>
          <w:b w:val="0"/>
          <w:sz w:val="24"/>
          <w:szCs w:val="24"/>
        </w:rPr>
      </w:pPr>
      <w:r>
        <w:rPr>
          <w:rStyle w:val="14"/>
          <w:rFonts w:hint="default" w:ascii="Times New Roman" w:hAnsi="Times New Roman" w:cs="Times New Roman"/>
          <w:b w:val="0"/>
          <w:sz w:val="24"/>
          <w:szCs w:val="24"/>
        </w:rPr>
        <w:t>Observations indicate that the embryos of the seeds are still incomplete (not yet physiologically mature), resulting in suboptimal seed viability and vigor. This significantly impacts seed quality. The seed vigor index declines more rapidly than the seed viability index. To ensure the harvest can be used as seed or for subsequent planting, harvesting should be done when the rice is physiologically ripe. The farmers in the sample generally harvest rice before physiological maturity, resulting in low seed viability and vigor index.</w:t>
      </w:r>
    </w:p>
    <w:p w14:paraId="79A80ACB">
      <w:pPr>
        <w:spacing w:after="160" w:line="259" w:lineRule="auto"/>
        <w:ind w:left="540" w:leftChars="300" w:firstLine="715" w:firstLineChars="0"/>
        <w:contextualSpacing/>
        <w:jc w:val="both"/>
        <w:rPr>
          <w:rStyle w:val="14"/>
          <w:rFonts w:hint="default" w:ascii="Times New Roman" w:hAnsi="Times New Roman" w:cs="Times New Roman"/>
          <w:b w:val="0"/>
          <w:sz w:val="24"/>
          <w:szCs w:val="24"/>
        </w:rPr>
      </w:pPr>
    </w:p>
    <w:p w14:paraId="76510E41">
      <w:pPr>
        <w:ind w:left="0" w:leftChars="0" w:firstLine="567" w:firstLineChars="0"/>
        <w:rPr>
          <w:rFonts w:ascii="Times New Roman" w:hAnsi="Times New Roman"/>
          <w:b/>
          <w:bCs/>
          <w:sz w:val="28"/>
          <w:szCs w:val="28"/>
        </w:rPr>
      </w:pPr>
      <w:r>
        <w:rPr>
          <w:rFonts w:hint="default" w:ascii="Book Antiqua" w:hAnsi="Book Antiqua" w:cs="Book Antiqua"/>
          <w:b/>
          <w:bCs/>
          <w:sz w:val="24"/>
          <w:szCs w:val="24"/>
        </w:rPr>
        <w:t>V. CONCLUSION</w:t>
      </w:r>
      <w:r>
        <w:rPr>
          <w:rFonts w:ascii="Times New Roman" w:hAnsi="Times New Roman"/>
          <w:b/>
          <w:bCs/>
          <w:sz w:val="28"/>
          <w:szCs w:val="28"/>
        </w:rPr>
        <w:t xml:space="preserve"> </w:t>
      </w:r>
    </w:p>
    <w:p w14:paraId="436085E7">
      <w:pPr>
        <w:ind w:left="540" w:leftChars="300" w:firstLine="715" w:firstLineChars="0"/>
        <w:rPr>
          <w:rFonts w:hint="default" w:ascii="Times New Roman" w:hAnsi="Times New Roman"/>
          <w:b w:val="0"/>
          <w:bCs w:val="0"/>
          <w:sz w:val="24"/>
        </w:rPr>
      </w:pPr>
      <w:r>
        <w:rPr>
          <w:rFonts w:hint="default" w:ascii="Times New Roman" w:hAnsi="Times New Roman"/>
          <w:b w:val="0"/>
          <w:bCs w:val="0"/>
          <w:sz w:val="24"/>
        </w:rPr>
        <w:t>The research results concluded that the rice seeds harvested by the sample farmers were unsuitable for use as planting material for the next season due to their poor vigor, meaning they had low germination and viability. Of the 10 samples taken, only seeds from two sample farmers had a viability above 85% (seeds suitable for use as planting material for the next season). Seed viability significantly influences the seed vigor index, with seeds with high viability also having a high vigor index.</w:t>
      </w:r>
    </w:p>
    <w:p w14:paraId="64F44358">
      <w:pPr>
        <w:ind w:left="540" w:leftChars="300" w:firstLine="715" w:firstLineChars="0"/>
        <w:rPr>
          <w:rFonts w:hint="default" w:ascii="Times New Roman" w:hAnsi="Times New Roman"/>
          <w:b w:val="0"/>
          <w:bCs w:val="0"/>
          <w:sz w:val="24"/>
        </w:rPr>
      </w:pPr>
    </w:p>
    <w:p w14:paraId="18C9E6F8">
      <w:pPr>
        <w:ind w:left="540" w:leftChars="300" w:firstLine="715" w:firstLineChars="0"/>
        <w:rPr>
          <w:rFonts w:hint="default" w:ascii="Times New Roman" w:hAnsi="Times New Roman"/>
          <w:b w:val="0"/>
          <w:bCs w:val="0"/>
          <w:sz w:val="24"/>
        </w:rPr>
      </w:pPr>
    </w:p>
    <w:p w14:paraId="1D946BD2">
      <w:pPr>
        <w:ind w:firstLine="567"/>
        <w:rPr>
          <w:rFonts w:hint="default" w:ascii="Book Antiqua" w:hAnsi="Book Antiqua" w:cs="Book Antiqua"/>
          <w:b/>
          <w:bCs/>
          <w:sz w:val="24"/>
        </w:rPr>
      </w:pPr>
      <w:bookmarkStart w:id="0" w:name="_Hlk199156077"/>
      <w:bookmarkStart w:id="1" w:name="_Hlk199158388"/>
      <w:r>
        <w:rPr>
          <w:rFonts w:hint="default" w:ascii="Book Antiqua" w:hAnsi="Book Antiqua" w:cs="Book Antiqua"/>
          <w:b/>
          <w:bCs/>
          <w:sz w:val="24"/>
        </w:rPr>
        <w:t>REFERENCES</w:t>
      </w:r>
      <w:bookmarkEnd w:id="0"/>
      <w:bookmarkEnd w:id="1"/>
    </w:p>
    <w:p w14:paraId="464FE008">
      <w:pPr>
        <w:spacing w:line="240" w:lineRule="auto"/>
        <w:ind w:left="540" w:leftChars="0" w:firstLine="0" w:firstLineChars="0"/>
        <w:jc w:val="both"/>
        <w:rPr>
          <w:rFonts w:hint="default" w:ascii="Times New Roman" w:hAnsi="Times New Roman" w:cs="Times New Roman"/>
          <w:color w:val="1F497D"/>
          <w:sz w:val="24"/>
          <w:szCs w:val="24"/>
          <w:lang w:eastAsia="en-CA"/>
        </w:rPr>
      </w:pPr>
      <w:r>
        <w:rPr>
          <w:rFonts w:hint="default" w:ascii="Times New Roman" w:hAnsi="Times New Roman" w:cs="Times New Roman"/>
          <w:sz w:val="24"/>
          <w:szCs w:val="24"/>
        </w:rPr>
        <w:t>Hendarto, K. 2005. Basics of Seed Technology and Certification. Andi Offset. Yogyakarta.</w:t>
      </w:r>
    </w:p>
    <w:p w14:paraId="0DD78489">
      <w:pPr>
        <w:spacing w:line="240" w:lineRule="auto"/>
        <w:ind w:left="540" w:leftChars="0" w:firstLine="0" w:firstLineChars="0"/>
        <w:jc w:val="both"/>
        <w:rPr>
          <w:rFonts w:hint="default" w:ascii="Times New Roman" w:hAnsi="Times New Roman" w:cs="Times New Roman"/>
          <w:color w:val="1F497D"/>
          <w:sz w:val="24"/>
          <w:szCs w:val="24"/>
          <w:lang w:eastAsia="en-CA"/>
        </w:rPr>
      </w:pPr>
      <w:r>
        <w:rPr>
          <w:rFonts w:hint="default" w:ascii="Times New Roman" w:hAnsi="Times New Roman" w:cs="Times New Roman"/>
          <w:sz w:val="24"/>
          <w:szCs w:val="24"/>
        </w:rPr>
        <w:t>Iftitah, SN, and MTA Nugraha. 2023. Seed and Seedling Production Technology. State Education Partners. Yogyakarta. 214h.</w:t>
      </w:r>
    </w:p>
    <w:p w14:paraId="3F192040">
      <w:pPr>
        <w:spacing w:line="240" w:lineRule="auto"/>
        <w:ind w:left="540" w:leftChars="0" w:firstLine="0" w:firstLineChars="0"/>
        <w:jc w:val="both"/>
        <w:rPr>
          <w:rFonts w:hint="default" w:ascii="Times New Roman" w:hAnsi="Times New Roman" w:cs="Times New Roman"/>
          <w:color w:val="1F497D"/>
          <w:sz w:val="24"/>
          <w:szCs w:val="24"/>
          <w:lang w:eastAsia="en-CA"/>
        </w:rPr>
      </w:pPr>
      <w:r>
        <w:rPr>
          <w:rFonts w:hint="default" w:ascii="Times New Roman" w:hAnsi="Times New Roman" w:cs="Times New Roman"/>
          <w:sz w:val="24"/>
          <w:szCs w:val="24"/>
          <w:lang w:val="id-ID"/>
        </w:rPr>
        <w:t>Kartasapoetra.</w:t>
      </w:r>
      <w:r>
        <w:rPr>
          <w:rFonts w:hint="default" w:ascii="Times New Roman" w:hAnsi="Times New Roman" w:cs="Times New Roman"/>
          <w:color w:val="FF0000"/>
          <w:sz w:val="24"/>
          <w:szCs w:val="24"/>
          <w:lang w:val="id-ID"/>
        </w:rPr>
        <w:t xml:space="preserve"> </w:t>
      </w:r>
      <w:r>
        <w:rPr>
          <w:rFonts w:hint="default" w:ascii="Times New Roman" w:hAnsi="Times New Roman" w:cs="Times New Roman"/>
          <w:sz w:val="24"/>
          <w:szCs w:val="24"/>
          <w:lang w:val="id-ID"/>
        </w:rPr>
        <w:t>AG 2003. Seed Technology: Seed Processing and Practical Guidelines. Rineka Cipta. Jakarta. 188 pages.</w:t>
      </w:r>
    </w:p>
    <w:p w14:paraId="109AFCF0">
      <w:pPr>
        <w:spacing w:line="240" w:lineRule="auto"/>
        <w:ind w:left="540" w:leftChars="0" w:firstLine="0" w:firstLineChars="0"/>
        <w:jc w:val="both"/>
        <w:rPr>
          <w:rFonts w:hint="default" w:ascii="Times New Roman" w:hAnsi="Times New Roman" w:cs="Times New Roman"/>
          <w:color w:val="1F497D"/>
          <w:sz w:val="24"/>
          <w:szCs w:val="24"/>
          <w:lang w:eastAsia="en-CA"/>
        </w:rPr>
      </w:pPr>
      <w:r>
        <w:rPr>
          <w:rFonts w:hint="default" w:ascii="Times New Roman" w:hAnsi="Times New Roman" w:cs="Times New Roman"/>
          <w:sz w:val="24"/>
          <w:szCs w:val="24"/>
        </w:rPr>
        <w:t>Vergara, BS 1990. Rice Cultivation. Bappenas Physical Infrastructure Project, Jakarta. 221 p.</w:t>
      </w:r>
    </w:p>
    <w:p w14:paraId="7FEB224D">
      <w:pPr>
        <w:spacing w:line="240" w:lineRule="auto"/>
        <w:ind w:left="540" w:leftChars="0" w:firstLine="0" w:firstLineChars="0"/>
        <w:jc w:val="both"/>
        <w:rPr>
          <w:rFonts w:hint="default" w:ascii="Times New Roman" w:hAnsi="Times New Roman" w:cs="Times New Roman"/>
          <w:color w:val="1F497D"/>
          <w:sz w:val="24"/>
          <w:szCs w:val="24"/>
          <w:lang w:eastAsia="en-CA"/>
        </w:rPr>
      </w:pPr>
      <w:r>
        <w:rPr>
          <w:rFonts w:hint="default" w:ascii="Times New Roman" w:hAnsi="Times New Roman" w:cs="Times New Roman"/>
          <w:sz w:val="24"/>
          <w:szCs w:val="24"/>
        </w:rPr>
        <w:t>Sutopo, Lita. 2002. Seed Technology. Revised Edition. Raja Grafindo Persada. Jakarta. 237 pp.</w:t>
      </w:r>
    </w:p>
    <w:p w14:paraId="3823AD54">
      <w:pPr>
        <w:spacing w:line="240" w:lineRule="auto"/>
        <w:ind w:left="54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Damardjati. D., and Purwani. E. 1991. In Rice Book 3. Agricultural Research and Development Agency. Center for Food Crops Research and Development. Bogor. 997 p.</w:t>
      </w:r>
    </w:p>
    <w:p w14:paraId="4F7F2F7B">
      <w:pPr>
        <w:ind w:left="540" w:hanging="540"/>
        <w:jc w:val="both"/>
        <w:rPr>
          <w:rFonts w:ascii="Cambria" w:hAnsi="Cambria"/>
          <w:szCs w:val="24"/>
          <w:lang w:val="id-ID"/>
        </w:rPr>
      </w:pPr>
    </w:p>
    <w:p w14:paraId="2B035A0B">
      <w:pPr>
        <w:ind w:left="540" w:leftChars="300" w:firstLine="567" w:firstLineChars="0"/>
        <w:rPr>
          <w:rFonts w:hint="default" w:ascii="Book Antiqua" w:hAnsi="Book Antiqua" w:cs="Book Antiqua"/>
          <w:b/>
          <w:bCs/>
          <w:sz w:val="24"/>
        </w:rPr>
      </w:pPr>
    </w:p>
    <w:sectPr>
      <w:type w:val="continuous"/>
      <w:pgSz w:w="11906" w:h="16838"/>
      <w:pgMar w:top="1418" w:right="1134" w:bottom="1134" w:left="1418" w:header="720" w:footer="0"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Lohit Devanagari">
    <w:altName w:val="Times New Roman"/>
    <w:panose1 w:val="00000000000000000000"/>
    <w:charset w:val="00"/>
    <w:family w:val="roman"/>
    <w:pitch w:val="default"/>
    <w:sig w:usb0="00000000" w:usb1="00000000" w:usb2="00000000" w:usb3="00000000" w:csb0="00000000" w:csb1="00000000"/>
  </w:font>
  <w:font w:name="Liberation Sans">
    <w:altName w:val="Arial"/>
    <w:panose1 w:val="00000000000000000000"/>
    <w:charset w:val="01"/>
    <w:family w:val="roman"/>
    <w:pitch w:val="default"/>
    <w:sig w:usb0="00000000" w:usb1="00000000" w:usb2="00000000" w:usb3="00000000" w:csb0="00000000" w:csb1="00000000"/>
  </w:font>
  <w:font w:name="Noto Sans CJK SC Regular">
    <w:altName w:val="Segoe Print"/>
    <w:panose1 w:val="00000000000000000000"/>
    <w:charset w:val="00"/>
    <w:family w:val="roman"/>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Cambria Math">
    <w:panose1 w:val="02040503050406030204"/>
    <w:charset w:val="00"/>
    <w:family w:val="auto"/>
    <w:pitch w:val="default"/>
    <w:sig w:usb0="E00006FF" w:usb1="420024FF" w:usb2="02000000" w:usb3="00000000" w:csb0="2000019F"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43C9">
    <w:pPr>
      <w:pStyle w:val="10"/>
      <w:rPr>
        <w:rFonts w:ascii="Book Antiqua" w:hAnsi="Book Antiqua" w:cs="Calibri"/>
        <w:sz w:val="24"/>
      </w:rPr>
    </w:pPr>
    <w:r>
      <w:rPr>
        <w:rFonts w:ascii="Book Antiqua" w:hAnsi="Book Antiqua"/>
        <w:sz w:val="24"/>
      </w:rPr>
      <w:t>Dharmawangsa: International Journal of Social Sciences, Education and Humanities ISSN: 2716-5132 (pages) Vol. 1, No. 2, 2020 Pages: 1 - 18</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F43711"/>
    <w:multiLevelType w:val="multilevel"/>
    <w:tmpl w:val="7EF43711"/>
    <w:lvl w:ilvl="0" w:tentative="0">
      <w:start w:val="1"/>
      <w:numFmt w:val="decimal"/>
      <w:lvlText w:val="%1."/>
      <w:lvlJc w:val="left"/>
      <w:pPr>
        <w:ind w:left="786" w:hanging="360"/>
      </w:pPr>
      <w:rPr>
        <w:rFonts w:hint="default" w:ascii="Times New Roman" w:hAnsi="Times New Roman" w:cs="Times New Roman"/>
        <w:sz w:val="24"/>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04591"/>
    <w:rsid w:val="00046E8A"/>
    <w:rsid w:val="00054842"/>
    <w:rsid w:val="000548D9"/>
    <w:rsid w:val="000A39E7"/>
    <w:rsid w:val="00132612"/>
    <w:rsid w:val="001619EA"/>
    <w:rsid w:val="00171836"/>
    <w:rsid w:val="002573AC"/>
    <w:rsid w:val="00291ECF"/>
    <w:rsid w:val="002B4A0C"/>
    <w:rsid w:val="002B6D26"/>
    <w:rsid w:val="002F5318"/>
    <w:rsid w:val="0030796C"/>
    <w:rsid w:val="00311CCE"/>
    <w:rsid w:val="003A3395"/>
    <w:rsid w:val="005C005B"/>
    <w:rsid w:val="00673309"/>
    <w:rsid w:val="006E5054"/>
    <w:rsid w:val="006F7968"/>
    <w:rsid w:val="007862B0"/>
    <w:rsid w:val="007E7D3B"/>
    <w:rsid w:val="007F0001"/>
    <w:rsid w:val="00A01C86"/>
    <w:rsid w:val="00C878E4"/>
    <w:rsid w:val="00D27753"/>
    <w:rsid w:val="00DD4F5D"/>
    <w:rsid w:val="00DE09B0"/>
    <w:rsid w:val="00E33224"/>
    <w:rsid w:val="00E355CC"/>
    <w:rsid w:val="00E66049"/>
    <w:rsid w:val="00FA4C23"/>
    <w:rsid w:val="0390094B"/>
    <w:rsid w:val="2D103C28"/>
    <w:rsid w:val="2FAC1AEA"/>
    <w:rsid w:val="31F53290"/>
    <w:rsid w:val="46830F18"/>
    <w:rsid w:val="48C85874"/>
    <w:rsid w:val="4F36134B"/>
    <w:rsid w:val="7EAE615B"/>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jc w:val="both"/>
    </w:pPr>
    <w:rPr>
      <w:rFonts w:ascii="Arial" w:hAnsi="Arial" w:eastAsia="Times New Roman" w:cs="Times New Roman"/>
      <w:sz w:val="18"/>
      <w:szCs w:val="24"/>
      <w:lang w:val="en-GB" w:eastAsia="en-GB" w:bidi="ar-SA"/>
    </w:rPr>
  </w:style>
  <w:style w:type="paragraph" w:styleId="2">
    <w:name w:val="heading 1"/>
    <w:basedOn w:val="1"/>
    <w:next w:val="1"/>
    <w:qFormat/>
    <w:uiPriority w:val="0"/>
    <w:pPr>
      <w:keepNext/>
      <w:outlineLvl w:val="0"/>
    </w:pPr>
    <w:rPr>
      <w:rFonts w:cs="Arial"/>
      <w:b/>
      <w:kern w:val="2"/>
      <w:sz w:val="20"/>
      <w:szCs w:val="32"/>
      <w:lang w:eastAsia="en-US"/>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qFormat/>
    <w:uiPriority w:val="0"/>
    <w:rPr>
      <w:rFonts w:ascii="Tahoma" w:hAnsi="Tahoma" w:cs="Tahoma"/>
      <w:sz w:val="16"/>
      <w:szCs w:val="16"/>
    </w:rPr>
  </w:style>
  <w:style w:type="paragraph" w:styleId="6">
    <w:name w:val="Body Text"/>
    <w:basedOn w:val="1"/>
    <w:qFormat/>
    <w:uiPriority w:val="0"/>
    <w:pPr>
      <w:spacing w:after="140" w:line="276" w:lineRule="auto"/>
    </w:pPr>
  </w:style>
  <w:style w:type="paragraph" w:styleId="7">
    <w:name w:val="caption"/>
    <w:basedOn w:val="1"/>
    <w:qFormat/>
    <w:uiPriority w:val="0"/>
    <w:pPr>
      <w:suppressLineNumbers/>
      <w:spacing w:before="120" w:after="120"/>
    </w:pPr>
    <w:rPr>
      <w:rFonts w:cs="Lohit Devanagari"/>
      <w:i/>
      <w:iCs/>
      <w:sz w:val="24"/>
    </w:rPr>
  </w:style>
  <w:style w:type="character" w:styleId="8">
    <w:name w:val="Emphasis"/>
    <w:qFormat/>
    <w:uiPriority w:val="0"/>
    <w:rPr>
      <w:i/>
      <w:iCs/>
    </w:rPr>
  </w:style>
  <w:style w:type="paragraph" w:styleId="9">
    <w:name w:val="footer"/>
    <w:basedOn w:val="1"/>
    <w:qFormat/>
    <w:uiPriority w:val="0"/>
    <w:pPr>
      <w:tabs>
        <w:tab w:val="center" w:pos="4680"/>
        <w:tab w:val="right" w:pos="9360"/>
      </w:tabs>
    </w:pPr>
  </w:style>
  <w:style w:type="paragraph" w:styleId="10">
    <w:name w:val="header"/>
    <w:basedOn w:val="1"/>
    <w:qFormat/>
    <w:uiPriority w:val="0"/>
    <w:pPr>
      <w:tabs>
        <w:tab w:val="center" w:pos="4680"/>
        <w:tab w:val="right" w:pos="9360"/>
      </w:tabs>
    </w:pPr>
  </w:style>
  <w:style w:type="character" w:styleId="11">
    <w:name w:val="Hyperlink"/>
    <w:basedOn w:val="3"/>
    <w:unhideWhenUsed/>
    <w:qFormat/>
    <w:uiPriority w:val="99"/>
    <w:rPr>
      <w:color w:val="0000FF" w:themeColor="hyperlink"/>
      <w:u w:val="single"/>
      <w14:textFill>
        <w14:solidFill>
          <w14:schemeClr w14:val="hlink"/>
        </w14:solidFill>
      </w14:textFill>
    </w:rPr>
  </w:style>
  <w:style w:type="paragraph" w:styleId="12">
    <w:name w:val="List"/>
    <w:basedOn w:val="6"/>
    <w:qFormat/>
    <w:uiPriority w:val="0"/>
    <w:rPr>
      <w:rFonts w:cs="Lohit Devanagari"/>
    </w:rPr>
  </w:style>
  <w:style w:type="paragraph" w:styleId="13">
    <w:name w:val="Normal (Web)"/>
    <w:basedOn w:val="1"/>
    <w:unhideWhenUsed/>
    <w:qFormat/>
    <w:uiPriority w:val="99"/>
    <w:pPr>
      <w:spacing w:before="100" w:beforeAutospacing="1" w:after="100" w:afterAutospacing="1"/>
    </w:pPr>
    <w:rPr>
      <w:szCs w:val="24"/>
      <w:lang w:val="id-ID" w:eastAsia="id-ID"/>
    </w:rPr>
  </w:style>
  <w:style w:type="character" w:styleId="14">
    <w:name w:val="Strong"/>
    <w:qFormat/>
    <w:uiPriority w:val="22"/>
    <w:rPr>
      <w:b/>
      <w:bCs/>
    </w:rPr>
  </w:style>
  <w:style w:type="paragraph" w:styleId="15">
    <w:name w:val="Title"/>
    <w:basedOn w:val="1"/>
    <w:qFormat/>
    <w:uiPriority w:val="0"/>
    <w:pPr>
      <w:jc w:val="center"/>
    </w:pPr>
    <w:rPr>
      <w:b/>
      <w:sz w:val="20"/>
      <w:szCs w:val="24"/>
    </w:rPr>
  </w:style>
  <w:style w:type="character" w:customStyle="1" w:styleId="16">
    <w:name w:val="Header Char"/>
    <w:basedOn w:val="3"/>
    <w:qFormat/>
    <w:uiPriority w:val="0"/>
  </w:style>
  <w:style w:type="character" w:customStyle="1" w:styleId="17">
    <w:name w:val="Footer Char"/>
    <w:basedOn w:val="3"/>
    <w:qFormat/>
    <w:uiPriority w:val="0"/>
  </w:style>
  <w:style w:type="character" w:customStyle="1" w:styleId="18">
    <w:name w:val="Balloon Text Char"/>
    <w:basedOn w:val="3"/>
    <w:qFormat/>
    <w:uiPriority w:val="0"/>
    <w:rPr>
      <w:rFonts w:ascii="Tahoma" w:hAnsi="Tahoma" w:cs="Tahoma"/>
      <w:sz w:val="16"/>
      <w:szCs w:val="16"/>
    </w:rPr>
  </w:style>
  <w:style w:type="character" w:customStyle="1" w:styleId="19">
    <w:name w:val="Heading 1 Char"/>
    <w:basedOn w:val="3"/>
    <w:qFormat/>
    <w:uiPriority w:val="0"/>
    <w:rPr>
      <w:rFonts w:ascii="Arial" w:hAnsi="Arial" w:eastAsia="Times New Roman" w:cs="Arial"/>
      <w:b/>
      <w:kern w:val="2"/>
      <w:sz w:val="20"/>
      <w:szCs w:val="32"/>
      <w:lang w:val="en-GB"/>
    </w:rPr>
  </w:style>
  <w:style w:type="character" w:customStyle="1" w:styleId="20">
    <w:name w:val="List Paragraph Char"/>
    <w:qFormat/>
    <w:uiPriority w:val="0"/>
    <w:rPr>
      <w:rFonts w:ascii="Calibri" w:hAnsi="Calibri" w:eastAsia="Times New Roman" w:cs="Times New Roman"/>
    </w:rPr>
  </w:style>
  <w:style w:type="character" w:customStyle="1" w:styleId="21">
    <w:name w:val="citation"/>
    <w:basedOn w:val="3"/>
    <w:qFormat/>
    <w:uiPriority w:val="0"/>
  </w:style>
  <w:style w:type="character" w:customStyle="1" w:styleId="22">
    <w:name w:val="ListLabel 1"/>
    <w:qFormat/>
    <w:uiPriority w:val="0"/>
    <w:rPr>
      <w:rFonts w:ascii="Times New Roman" w:hAnsi="Times New Roman" w:cs="Times New Roman"/>
      <w:sz w:val="24"/>
      <w:szCs w:val="24"/>
    </w:rPr>
  </w:style>
  <w:style w:type="character" w:customStyle="1" w:styleId="23">
    <w:name w:val="ListLabel 2"/>
    <w:qFormat/>
    <w:uiPriority w:val="0"/>
    <w:rPr>
      <w:rFonts w:ascii="Times New Roman" w:hAnsi="Times New Roman"/>
      <w:sz w:val="24"/>
    </w:rPr>
  </w:style>
  <w:style w:type="character" w:customStyle="1" w:styleId="24">
    <w:name w:val="ListLabel 3"/>
    <w:qFormat/>
    <w:uiPriority w:val="0"/>
    <w:rPr>
      <w:rFonts w:ascii="Times New Roman" w:hAnsi="Times New Roman"/>
      <w:sz w:val="24"/>
    </w:rPr>
  </w:style>
  <w:style w:type="character" w:customStyle="1" w:styleId="25">
    <w:name w:val="Internet Link"/>
    <w:qFormat/>
    <w:uiPriority w:val="0"/>
    <w:rPr>
      <w:color w:val="000080"/>
      <w:u w:val="single"/>
    </w:rPr>
  </w:style>
  <w:style w:type="character" w:customStyle="1" w:styleId="26">
    <w:name w:val="ListLabel 4"/>
    <w:qFormat/>
    <w:uiPriority w:val="0"/>
    <w:rPr>
      <w:rFonts w:cs="Times New Roman"/>
      <w:sz w:val="24"/>
      <w:szCs w:val="24"/>
    </w:rPr>
  </w:style>
  <w:style w:type="character" w:customStyle="1" w:styleId="27">
    <w:name w:val="ListLabel 5"/>
    <w:qFormat/>
    <w:uiPriority w:val="0"/>
    <w:rPr>
      <w:sz w:val="24"/>
    </w:rPr>
  </w:style>
  <w:style w:type="character" w:customStyle="1" w:styleId="28">
    <w:name w:val="ListLabel 6"/>
    <w:qFormat/>
    <w:uiPriority w:val="0"/>
    <w:rPr>
      <w:sz w:val="24"/>
    </w:rPr>
  </w:style>
  <w:style w:type="character" w:customStyle="1" w:styleId="29">
    <w:name w:val="ListLabel 7"/>
    <w:qFormat/>
    <w:uiPriority w:val="0"/>
    <w:rPr>
      <w:rFonts w:cs="Times New Roman"/>
      <w:sz w:val="24"/>
      <w:szCs w:val="24"/>
    </w:rPr>
  </w:style>
  <w:style w:type="character" w:customStyle="1" w:styleId="30">
    <w:name w:val="ListLabel 8"/>
    <w:qFormat/>
    <w:uiPriority w:val="0"/>
    <w:rPr>
      <w:sz w:val="24"/>
    </w:rPr>
  </w:style>
  <w:style w:type="character" w:customStyle="1" w:styleId="31">
    <w:name w:val="ListLabel 9"/>
    <w:qFormat/>
    <w:uiPriority w:val="0"/>
    <w:rPr>
      <w:sz w:val="24"/>
    </w:rPr>
  </w:style>
  <w:style w:type="character" w:customStyle="1" w:styleId="32">
    <w:name w:val="ListLabel 10"/>
    <w:qFormat/>
    <w:uiPriority w:val="0"/>
    <w:rPr>
      <w:rFonts w:cs="Times New Roman"/>
      <w:sz w:val="24"/>
      <w:szCs w:val="24"/>
    </w:rPr>
  </w:style>
  <w:style w:type="character" w:customStyle="1" w:styleId="33">
    <w:name w:val="ListLabel 11"/>
    <w:qFormat/>
    <w:uiPriority w:val="0"/>
    <w:rPr>
      <w:sz w:val="24"/>
    </w:rPr>
  </w:style>
  <w:style w:type="character" w:customStyle="1" w:styleId="34">
    <w:name w:val="ListLabel 12"/>
    <w:qFormat/>
    <w:uiPriority w:val="0"/>
    <w:rPr>
      <w:sz w:val="24"/>
    </w:rPr>
  </w:style>
  <w:style w:type="character" w:customStyle="1" w:styleId="35">
    <w:name w:val="ListLabel 13"/>
    <w:qFormat/>
    <w:uiPriority w:val="0"/>
    <w:rPr>
      <w:rFonts w:cs="Times New Roman"/>
      <w:sz w:val="24"/>
      <w:szCs w:val="24"/>
    </w:rPr>
  </w:style>
  <w:style w:type="character" w:customStyle="1" w:styleId="36">
    <w:name w:val="ListLabel 14"/>
    <w:qFormat/>
    <w:uiPriority w:val="0"/>
    <w:rPr>
      <w:sz w:val="24"/>
    </w:rPr>
  </w:style>
  <w:style w:type="character" w:customStyle="1" w:styleId="37">
    <w:name w:val="ListLabel 15"/>
    <w:qFormat/>
    <w:uiPriority w:val="0"/>
    <w:rPr>
      <w:sz w:val="24"/>
    </w:rPr>
  </w:style>
  <w:style w:type="character" w:customStyle="1" w:styleId="38">
    <w:name w:val="ListLabel 16"/>
    <w:qFormat/>
    <w:uiPriority w:val="0"/>
    <w:rPr>
      <w:rFonts w:cs="Times New Roman"/>
      <w:sz w:val="24"/>
      <w:szCs w:val="24"/>
    </w:rPr>
  </w:style>
  <w:style w:type="character" w:customStyle="1" w:styleId="39">
    <w:name w:val="ListLabel 17"/>
    <w:qFormat/>
    <w:uiPriority w:val="0"/>
    <w:rPr>
      <w:sz w:val="24"/>
    </w:rPr>
  </w:style>
  <w:style w:type="character" w:customStyle="1" w:styleId="40">
    <w:name w:val="ListLabel 18"/>
    <w:qFormat/>
    <w:uiPriority w:val="0"/>
    <w:rPr>
      <w:sz w:val="24"/>
    </w:rPr>
  </w:style>
  <w:style w:type="character" w:customStyle="1" w:styleId="41">
    <w:name w:val="ListLabel 19"/>
    <w:qFormat/>
    <w:uiPriority w:val="0"/>
    <w:rPr>
      <w:rFonts w:cs="Times New Roman"/>
      <w:sz w:val="24"/>
      <w:szCs w:val="24"/>
    </w:rPr>
  </w:style>
  <w:style w:type="character" w:customStyle="1" w:styleId="42">
    <w:name w:val="ListLabel 20"/>
    <w:qFormat/>
    <w:uiPriority w:val="0"/>
    <w:rPr>
      <w:sz w:val="24"/>
    </w:rPr>
  </w:style>
  <w:style w:type="character" w:customStyle="1" w:styleId="43">
    <w:name w:val="ListLabel 21"/>
    <w:qFormat/>
    <w:uiPriority w:val="0"/>
    <w:rPr>
      <w:sz w:val="24"/>
    </w:rPr>
  </w:style>
  <w:style w:type="character" w:customStyle="1" w:styleId="44">
    <w:name w:val="ListLabel 22"/>
    <w:qFormat/>
    <w:uiPriority w:val="0"/>
    <w:rPr>
      <w:rFonts w:cs="Times New Roman"/>
      <w:sz w:val="24"/>
      <w:szCs w:val="24"/>
    </w:rPr>
  </w:style>
  <w:style w:type="character" w:customStyle="1" w:styleId="45">
    <w:name w:val="ListLabel 23"/>
    <w:qFormat/>
    <w:uiPriority w:val="0"/>
    <w:rPr>
      <w:sz w:val="24"/>
    </w:rPr>
  </w:style>
  <w:style w:type="character" w:customStyle="1" w:styleId="46">
    <w:name w:val="ListLabel 24"/>
    <w:qFormat/>
    <w:uiPriority w:val="0"/>
    <w:rPr>
      <w:sz w:val="24"/>
    </w:rPr>
  </w:style>
  <w:style w:type="paragraph" w:customStyle="1" w:styleId="47">
    <w:name w:val="Heading"/>
    <w:basedOn w:val="1"/>
    <w:next w:val="6"/>
    <w:qFormat/>
    <w:uiPriority w:val="0"/>
    <w:pPr>
      <w:keepNext/>
      <w:spacing w:before="240" w:after="120"/>
    </w:pPr>
    <w:rPr>
      <w:rFonts w:ascii="Liberation Sans" w:hAnsi="Liberation Sans" w:eastAsia="Noto Sans CJK SC Regular" w:cs="Lohit Devanagari"/>
      <w:sz w:val="28"/>
      <w:szCs w:val="28"/>
    </w:rPr>
  </w:style>
  <w:style w:type="paragraph" w:customStyle="1" w:styleId="48">
    <w:name w:val="Index"/>
    <w:basedOn w:val="1"/>
    <w:qFormat/>
    <w:uiPriority w:val="0"/>
    <w:pPr>
      <w:suppressLineNumbers/>
    </w:pPr>
    <w:rPr>
      <w:rFonts w:cs="Lohit Devanagari"/>
    </w:rPr>
  </w:style>
  <w:style w:type="paragraph" w:customStyle="1" w:styleId="49">
    <w:name w:val="Author(s)"/>
    <w:basedOn w:val="1"/>
    <w:qFormat/>
    <w:uiPriority w:val="0"/>
    <w:pPr>
      <w:jc w:val="center"/>
    </w:pPr>
    <w:rPr>
      <w:b/>
      <w:sz w:val="20"/>
    </w:rPr>
  </w:style>
  <w:style w:type="paragraph" w:customStyle="1" w:styleId="50">
    <w:name w:val="Author(s) Affiliation(s)"/>
    <w:basedOn w:val="1"/>
    <w:qFormat/>
    <w:uiPriority w:val="0"/>
    <w:pPr>
      <w:jc w:val="center"/>
    </w:pPr>
    <w:rPr>
      <w:i/>
    </w:rPr>
  </w:style>
  <w:style w:type="paragraph" w:customStyle="1" w:styleId="51">
    <w:name w:val="Abstract Title"/>
    <w:basedOn w:val="1"/>
    <w:qFormat/>
    <w:uiPriority w:val="0"/>
    <w:pPr>
      <w:ind w:left="567" w:right="567"/>
      <w:jc w:val="center"/>
    </w:pPr>
    <w:rPr>
      <w:b/>
      <w:szCs w:val="20"/>
    </w:rPr>
  </w:style>
  <w:style w:type="paragraph" w:styleId="52">
    <w:name w:val="List Paragraph"/>
    <w:basedOn w:val="1"/>
    <w:qFormat/>
    <w:uiPriority w:val="34"/>
    <w:pPr>
      <w:spacing w:after="200" w:line="276" w:lineRule="auto"/>
      <w:ind w:left="720"/>
      <w:jc w:val="left"/>
    </w:pPr>
    <w:rPr>
      <w:rFonts w:ascii="Calibri" w:hAnsi="Calibri"/>
      <w:sz w:val="22"/>
      <w:szCs w:val="22"/>
      <w:lang w:val="en-US" w:eastAsia="en-US"/>
    </w:rPr>
  </w:style>
  <w:style w:type="paragraph" w:customStyle="1" w:styleId="53">
    <w:name w:val="Text"/>
    <w:basedOn w:val="1"/>
    <w:qFormat/>
    <w:uiPriority w:val="0"/>
    <w:pPr>
      <w:widowControl w:val="0"/>
      <w:spacing w:line="252" w:lineRule="auto"/>
      <w:ind w:firstLine="202"/>
    </w:pPr>
    <w:rPr>
      <w:rFonts w:ascii="Times New Roman" w:hAnsi="Times New Roman"/>
      <w:sz w:val="20"/>
      <w:szCs w:val="20"/>
      <w:lang w:val="en-US" w:eastAsia="en-US"/>
    </w:rPr>
  </w:style>
  <w:style w:type="character" w:styleId="54">
    <w:name w:val="Placeholder Text"/>
    <w:basedOn w:val="3"/>
    <w:unhideWhenUsed/>
    <w:qFormat/>
    <w:uiPriority w:val="99"/>
    <w:rPr>
      <w:color w:val="666666"/>
    </w:rPr>
  </w:style>
  <w:style w:type="character" w:customStyle="1" w:styleId="55">
    <w:name w:val="Unresolved Mention"/>
    <w:basedOn w:val="3"/>
    <w:semiHidden/>
    <w:unhideWhenUsed/>
    <w:qFormat/>
    <w:uiPriority w:val="99"/>
    <w:rPr>
      <w:color w:val="605E5C"/>
      <w:shd w:val="clear" w:color="auto" w:fill="E1DFDD"/>
    </w:rPr>
  </w:style>
  <w:style w:type="table" w:customStyle="1" w:styleId="56">
    <w:name w:val="_Style 33"/>
    <w:basedOn w:val="4"/>
    <w:qFormat/>
    <w:uiPriority w:val="0"/>
    <w:tblPr>
      <w:tblCellMar>
        <w:left w:w="115" w:type="dxa"/>
        <w:right w:w="115" w:type="dxa"/>
      </w:tblCellMar>
    </w:tblPr>
  </w:style>
  <w:style w:type="character" w:customStyle="1" w:styleId="57">
    <w:name w:val="style7"/>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12412</Words>
  <Characters>70751</Characters>
  <Lines>589</Lines>
  <Paragraphs>165</Paragraphs>
  <TotalTime>1</TotalTime>
  <ScaleCrop>false</ScaleCrop>
  <LinksUpToDate>false</LinksUpToDate>
  <CharactersWithSpaces>82998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2019-07-27T00:51:00Z</dcterms:created>
  <dc:creator>Society</dc:creator>
  <cp:keywords>Society, 7(2) 2019</cp:keywords>
  <cp:lastModifiedBy>WPS_1682615617</cp:lastModifiedBy>
  <cp:lastPrinted>2018-11-25T05:52:00Z</cp:lastPrinted>
  <dcterms:modified xsi:type="dcterms:W3CDTF">2025-07-24T03:36:16Z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1033-12.2.0.21931</vt:lpwstr>
  </property>
  <property fmtid="{D5CDD505-2E9C-101B-9397-08002B2CF9AE}" pid="9" name="ICV">
    <vt:lpwstr>0E664F5F23FB450D89E8427700CE6A08_13</vt:lpwstr>
  </property>
</Properties>
</file>