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193EE2" w14:textId="4F1E751B" w:rsidR="002F5318" w:rsidRDefault="002E32E7">
      <w:pPr>
        <w:jc w:val="center"/>
      </w:pPr>
      <w:r w:rsidRPr="002E32E7">
        <w:rPr>
          <w:rFonts w:ascii="Times New Roman" w:hAnsi="Times New Roman"/>
          <w:b/>
          <w:sz w:val="28"/>
          <w:lang w:val="id-ID"/>
        </w:rPr>
        <w:t>The Influence of Return on Assets (ROA) and Return on Equity (ROE) on Stock Prices of Transportation and Logistics Companies Listed on the Indonesia Stock Exchange</w:t>
      </w:r>
      <w:r>
        <w:rPr>
          <w:rFonts w:ascii="Times New Roman" w:hAnsi="Times New Roman"/>
          <w:b/>
          <w:sz w:val="28"/>
          <w:lang w:val="id-ID"/>
        </w:rPr>
        <w:t xml:space="preserve"> </w:t>
      </w:r>
    </w:p>
    <w:p w14:paraId="5C8E413C" w14:textId="77777777" w:rsidR="002F5318" w:rsidRDefault="002F5318">
      <w:pPr>
        <w:pStyle w:val="Authors"/>
        <w:rPr>
          <w:rFonts w:ascii="Times New Roman" w:hAnsi="Times New Roman"/>
          <w:b w:val="0"/>
          <w:sz w:val="24"/>
          <w:lang w:val="id-ID"/>
        </w:rPr>
      </w:pPr>
    </w:p>
    <w:p w14:paraId="58699288" w14:textId="59E38EEF" w:rsidR="002F5318" w:rsidRDefault="00517445">
      <w:pPr>
        <w:pStyle w:val="Authors"/>
      </w:pPr>
      <w:r>
        <w:rPr>
          <w:rFonts w:ascii="Times New Roman" w:hAnsi="Times New Roman"/>
          <w:b w:val="0"/>
          <w:sz w:val="24"/>
          <w:lang w:val="id-ID"/>
        </w:rPr>
        <w:t>M.Reza Septriawan</w:t>
      </w:r>
      <w:r>
        <w:rPr>
          <w:rFonts w:ascii="Times New Roman" w:hAnsi="Times New Roman"/>
          <w:b w:val="0"/>
          <w:sz w:val="24"/>
          <w:vertAlign w:val="superscript"/>
          <w:lang w:val="id-ID"/>
        </w:rPr>
        <w:t>1</w:t>
      </w:r>
      <w:r>
        <w:rPr>
          <w:rFonts w:ascii="Times New Roman" w:hAnsi="Times New Roman"/>
          <w:b w:val="0"/>
          <w:sz w:val="24"/>
          <w:lang w:val="id-ID"/>
        </w:rPr>
        <w:t>, Fachrul Rozi</w:t>
      </w:r>
      <w:r>
        <w:rPr>
          <w:rFonts w:ascii="Times New Roman" w:hAnsi="Times New Roman"/>
          <w:b w:val="0"/>
          <w:sz w:val="24"/>
          <w:vertAlign w:val="superscript"/>
          <w:lang w:val="id-ID"/>
        </w:rPr>
        <w:t>2</w:t>
      </w:r>
      <w:r>
        <w:rPr>
          <w:rFonts w:ascii="Times New Roman" w:hAnsi="Times New Roman"/>
          <w:b w:val="0"/>
          <w:sz w:val="24"/>
          <w:lang w:val="id-ID"/>
        </w:rPr>
        <w:t>, Syaharman</w:t>
      </w:r>
      <w:r>
        <w:rPr>
          <w:rFonts w:ascii="Times New Roman" w:hAnsi="Times New Roman"/>
          <w:b w:val="0"/>
          <w:sz w:val="24"/>
          <w:vertAlign w:val="superscript"/>
          <w:lang w:val="id-ID"/>
        </w:rPr>
        <w:t>3</w:t>
      </w:r>
      <w:r>
        <w:rPr>
          <w:rFonts w:ascii="Times New Roman" w:hAnsi="Times New Roman"/>
          <w:b w:val="0"/>
          <w:sz w:val="24"/>
          <w:lang w:val="id-ID"/>
        </w:rPr>
        <w:t xml:space="preserve"> </w:t>
      </w:r>
    </w:p>
    <w:p w14:paraId="65274F49" w14:textId="03EF99C1" w:rsidR="002F5318" w:rsidRDefault="00517445">
      <w:pPr>
        <w:pStyle w:val="AuthorsAffiliations"/>
      </w:pPr>
      <w:r w:rsidRPr="00517445">
        <w:rPr>
          <w:rFonts w:ascii="Times New Roman" w:hAnsi="Times New Roman"/>
          <w:i w:val="0"/>
          <w:sz w:val="20"/>
          <w:szCs w:val="20"/>
          <w:lang w:val="id-ID"/>
        </w:rPr>
        <w:t>Accounting Study Program</w:t>
      </w:r>
      <w:r w:rsidR="00DD4F5D">
        <w:rPr>
          <w:rFonts w:ascii="Times New Roman" w:hAnsi="Times New Roman"/>
          <w:i w:val="0"/>
          <w:sz w:val="20"/>
          <w:szCs w:val="20"/>
          <w:lang w:val="id-ID"/>
        </w:rPr>
        <w:t>¹</w:t>
      </w:r>
      <w:r w:rsidRPr="00517445">
        <w:rPr>
          <w:rFonts w:ascii="Times New Roman" w:hAnsi="Times New Roman"/>
          <w:i w:val="0"/>
          <w:sz w:val="20"/>
          <w:szCs w:val="20"/>
          <w:vertAlign w:val="superscript"/>
          <w:lang w:val="id-ID"/>
        </w:rPr>
        <w:t>,2,3</w:t>
      </w:r>
      <w:r w:rsidR="00DD4F5D">
        <w:rPr>
          <w:rFonts w:ascii="Times New Roman" w:hAnsi="Times New Roman"/>
          <w:i w:val="0"/>
          <w:sz w:val="20"/>
          <w:szCs w:val="20"/>
          <w:lang w:val="id-ID"/>
        </w:rPr>
        <w:t xml:space="preserve">, </w:t>
      </w:r>
      <w:r>
        <w:rPr>
          <w:rFonts w:ascii="Times New Roman" w:hAnsi="Times New Roman"/>
          <w:i w:val="0"/>
          <w:sz w:val="20"/>
          <w:szCs w:val="20"/>
          <w:lang w:val="id-ID"/>
        </w:rPr>
        <w:t xml:space="preserve">Universitas Dharmawangsa </w:t>
      </w:r>
    </w:p>
    <w:p w14:paraId="3019823B" w14:textId="1E73B354" w:rsidR="002F5318" w:rsidRPr="008218FB" w:rsidRDefault="00517445">
      <w:pPr>
        <w:pStyle w:val="AuthorsAffiliations"/>
        <w:rPr>
          <w:vertAlign w:val="superscript"/>
        </w:rPr>
      </w:pPr>
      <w:hyperlink r:id="rId8" w:history="1">
        <w:r w:rsidRPr="005C2F64">
          <w:rPr>
            <w:rStyle w:val="Hyperlink"/>
            <w:rFonts w:ascii="Times New Roman" w:hAnsi="Times New Roman"/>
            <w:i w:val="0"/>
            <w:sz w:val="20"/>
            <w:szCs w:val="20"/>
            <w:lang w:val="id-ID"/>
          </w:rPr>
          <w:t>r3z4@dharmawangsa.ac.id</w:t>
        </w:r>
      </w:hyperlink>
      <w:r>
        <w:rPr>
          <w:rFonts w:ascii="Times New Roman" w:hAnsi="Times New Roman"/>
          <w:i w:val="0"/>
          <w:sz w:val="20"/>
          <w:szCs w:val="20"/>
          <w:lang w:val="id-ID"/>
        </w:rPr>
        <w:t xml:space="preserve"> </w:t>
      </w:r>
      <w:r w:rsidR="00DD4F5D">
        <w:rPr>
          <w:rFonts w:ascii="Times New Roman" w:hAnsi="Times New Roman"/>
          <w:i w:val="0"/>
          <w:sz w:val="20"/>
          <w:szCs w:val="20"/>
          <w:lang w:val="id-ID"/>
        </w:rPr>
        <w:t xml:space="preserve">¹, </w:t>
      </w:r>
      <w:r>
        <w:rPr>
          <w:rFonts w:ascii="Times New Roman" w:hAnsi="Times New Roman"/>
          <w:i w:val="0"/>
          <w:sz w:val="20"/>
          <w:szCs w:val="20"/>
          <w:lang w:val="id-ID"/>
        </w:rPr>
        <w:fldChar w:fldCharType="begin"/>
      </w:r>
      <w:r>
        <w:rPr>
          <w:rFonts w:ascii="Times New Roman" w:hAnsi="Times New Roman"/>
          <w:i w:val="0"/>
          <w:sz w:val="20"/>
          <w:szCs w:val="20"/>
          <w:lang w:val="id-ID"/>
        </w:rPr>
        <w:instrText xml:space="preserve"> HYPERLINK "mailto:</w:instrText>
      </w:r>
      <w:r w:rsidRPr="00517445">
        <w:rPr>
          <w:rFonts w:ascii="Times New Roman" w:hAnsi="Times New Roman"/>
          <w:i w:val="0"/>
          <w:sz w:val="20"/>
          <w:szCs w:val="20"/>
          <w:lang w:val="id-ID"/>
        </w:rPr>
        <w:instrText>facrulrozi@dharmawangsa.ac.id</w:instrText>
      </w:r>
      <w:r>
        <w:rPr>
          <w:rFonts w:ascii="Times New Roman" w:hAnsi="Times New Roman"/>
          <w:i w:val="0"/>
          <w:sz w:val="20"/>
          <w:szCs w:val="20"/>
          <w:lang w:val="id-ID"/>
        </w:rPr>
        <w:instrText xml:space="preserve">" </w:instrText>
      </w:r>
      <w:r>
        <w:rPr>
          <w:rFonts w:ascii="Times New Roman" w:hAnsi="Times New Roman"/>
          <w:i w:val="0"/>
          <w:sz w:val="20"/>
          <w:szCs w:val="20"/>
          <w:lang w:val="id-ID"/>
        </w:rPr>
        <w:fldChar w:fldCharType="separate"/>
      </w:r>
      <w:r w:rsidRPr="005C2F64">
        <w:rPr>
          <w:rStyle w:val="Hyperlink"/>
          <w:rFonts w:ascii="Times New Roman" w:hAnsi="Times New Roman"/>
          <w:i w:val="0"/>
          <w:sz w:val="20"/>
          <w:szCs w:val="20"/>
          <w:lang w:val="id-ID"/>
        </w:rPr>
        <w:t>facrulrozi@dharmawangsa.ac.id</w:t>
      </w:r>
      <w:r>
        <w:rPr>
          <w:rFonts w:ascii="Times New Roman" w:hAnsi="Times New Roman"/>
          <w:i w:val="0"/>
          <w:sz w:val="20"/>
          <w:szCs w:val="20"/>
          <w:lang w:val="id-ID"/>
        </w:rPr>
        <w:fldChar w:fldCharType="end"/>
      </w:r>
      <w:r>
        <w:rPr>
          <w:rFonts w:ascii="Times New Roman" w:hAnsi="Times New Roman"/>
          <w:i w:val="0"/>
          <w:sz w:val="20"/>
          <w:szCs w:val="20"/>
          <w:lang w:val="id-ID"/>
        </w:rPr>
        <w:t xml:space="preserve"> </w:t>
      </w:r>
      <w:r w:rsidR="00DD4F5D">
        <w:rPr>
          <w:rFonts w:ascii="Times New Roman" w:hAnsi="Times New Roman"/>
          <w:i w:val="0"/>
          <w:sz w:val="20"/>
          <w:szCs w:val="20"/>
          <w:lang w:val="id-ID"/>
        </w:rPr>
        <w:t xml:space="preserve">² </w:t>
      </w:r>
      <w:r w:rsidR="008218FB">
        <w:rPr>
          <w:rFonts w:ascii="Times New Roman" w:hAnsi="Times New Roman"/>
          <w:i w:val="0"/>
          <w:sz w:val="20"/>
          <w:szCs w:val="20"/>
          <w:lang w:val="id-ID"/>
        </w:rPr>
        <w:t xml:space="preserve">, </w:t>
      </w:r>
      <w:hyperlink r:id="rId9" w:history="1">
        <w:r w:rsidR="008218FB" w:rsidRPr="005C2F64">
          <w:rPr>
            <w:rStyle w:val="Hyperlink"/>
            <w:rFonts w:ascii="Times New Roman" w:hAnsi="Times New Roman"/>
            <w:i w:val="0"/>
            <w:sz w:val="20"/>
            <w:szCs w:val="20"/>
            <w:lang w:val="id-ID"/>
          </w:rPr>
          <w:t>syaharman@dharmawangsa.ac.id</w:t>
        </w:r>
      </w:hyperlink>
      <w:r w:rsidR="008218FB">
        <w:rPr>
          <w:rFonts w:ascii="Times New Roman" w:hAnsi="Times New Roman"/>
          <w:i w:val="0"/>
          <w:sz w:val="20"/>
          <w:szCs w:val="20"/>
          <w:lang w:val="id-ID"/>
        </w:rPr>
        <w:t xml:space="preserve"> </w:t>
      </w:r>
      <w:r w:rsidR="008218FB">
        <w:rPr>
          <w:rFonts w:ascii="Times New Roman" w:hAnsi="Times New Roman"/>
          <w:i w:val="0"/>
          <w:sz w:val="20"/>
          <w:szCs w:val="20"/>
          <w:vertAlign w:val="superscript"/>
          <w:lang w:val="id-ID"/>
        </w:rPr>
        <w:t>3</w:t>
      </w:r>
    </w:p>
    <w:p w14:paraId="5DA5DBB0" w14:textId="77777777" w:rsidR="002F5318" w:rsidRDefault="002F5318">
      <w:pPr>
        <w:pStyle w:val="AbstractTitle"/>
        <w:ind w:left="0"/>
        <w:jc w:val="both"/>
        <w:rPr>
          <w:rFonts w:ascii="Times New Roman" w:hAnsi="Times New Roman"/>
          <w:b w:val="0"/>
          <w:sz w:val="24"/>
          <w:szCs w:val="24"/>
          <w:lang w:val="id-ID"/>
        </w:rPr>
      </w:pPr>
    </w:p>
    <w:p w14:paraId="3EE9C900" w14:textId="77777777" w:rsidR="002F5318" w:rsidRPr="00DE09B0" w:rsidRDefault="002F5318">
      <w:pPr>
        <w:pStyle w:val="AbstractTitle"/>
        <w:ind w:left="0"/>
        <w:jc w:val="both"/>
        <w:rPr>
          <w:rFonts w:ascii="Times New Roman" w:hAnsi="Times New Roman"/>
          <w:b w:val="0"/>
          <w:sz w:val="8"/>
          <w:szCs w:val="24"/>
          <w:lang w:val="id-ID"/>
        </w:rPr>
      </w:pPr>
    </w:p>
    <w:p w14:paraId="29D0EB94" w14:textId="0A68DA85" w:rsidR="002F5318" w:rsidRDefault="00DD4F5D">
      <w:pPr>
        <w:pStyle w:val="AbstractTitle"/>
        <w:ind w:left="0"/>
      </w:pPr>
      <w:r>
        <w:rPr>
          <w:rFonts w:ascii="Times New Roman" w:hAnsi="Times New Roman"/>
          <w:i/>
          <w:sz w:val="20"/>
          <w:lang w:val="id-ID"/>
        </w:rPr>
        <w:t xml:space="preserve">ABSTRACT </w:t>
      </w:r>
    </w:p>
    <w:p w14:paraId="4EEA59CB" w14:textId="017BEE12" w:rsidR="002F5318" w:rsidRPr="00517445" w:rsidRDefault="00517445" w:rsidP="00517445">
      <w:pPr>
        <w:rPr>
          <w:rFonts w:ascii="Times New Roman" w:hAnsi="Times New Roman"/>
          <w:b/>
          <w:i/>
          <w:iCs/>
          <w:color w:val="000000"/>
          <w:sz w:val="20"/>
          <w:szCs w:val="20"/>
          <w:lang w:val="id-ID"/>
        </w:rPr>
      </w:pPr>
      <w:r w:rsidRPr="00517445">
        <w:rPr>
          <w:rFonts w:ascii="Times New Roman" w:hAnsi="Times New Roman"/>
          <w:b/>
          <w:i/>
          <w:iCs/>
          <w:color w:val="000000"/>
          <w:sz w:val="20"/>
          <w:szCs w:val="20"/>
          <w:lang w:val="id-ID"/>
        </w:rPr>
        <w:t xml:space="preserve">This study investigates the influence of Return on Assets (ROA) and Return on Equity (ROE) on stock prices of transportation and logistics companies listed on the Indonesia Stock Exchange (IDX) during the 2018–2022 period. A quantitative research method was employed using secondary data derived from audited financial statements. Eight companies were selected using purposive sampling, and data analysis was conducted through multiple </w:t>
      </w:r>
      <w:r>
        <w:rPr>
          <w:rFonts w:ascii="Times New Roman" w:hAnsi="Times New Roman"/>
          <w:b/>
          <w:i/>
          <w:iCs/>
          <w:color w:val="000000"/>
          <w:sz w:val="20"/>
          <w:szCs w:val="20"/>
          <w:lang w:val="id-ID"/>
        </w:rPr>
        <w:t xml:space="preserve">linear regression with SPSS 25. </w:t>
      </w:r>
      <w:r w:rsidRPr="00517445">
        <w:rPr>
          <w:rFonts w:ascii="Times New Roman" w:hAnsi="Times New Roman"/>
          <w:b/>
          <w:i/>
          <w:iCs/>
          <w:color w:val="000000"/>
          <w:sz w:val="20"/>
          <w:szCs w:val="20"/>
          <w:lang w:val="id-ID"/>
        </w:rPr>
        <w:t>The findings indicate that ROA has a significant negative effect on stock prices, while ROE has no significant impact. However, both variables jointly influence stock prices significantly, with an adjusted R² of 0.820, suggesting that 82% of stock price variation can be explained by ROA and ROE. The results highlight the need for investors to consider sector-specific dynamics and for companies to align financial performance with market exp</w:t>
      </w:r>
      <w:r>
        <w:rPr>
          <w:rFonts w:ascii="Times New Roman" w:hAnsi="Times New Roman"/>
          <w:b/>
          <w:i/>
          <w:iCs/>
          <w:color w:val="000000"/>
          <w:sz w:val="20"/>
          <w:szCs w:val="20"/>
          <w:lang w:val="id-ID"/>
        </w:rPr>
        <w:t xml:space="preserve">ectations. </w:t>
      </w:r>
      <w:r w:rsidRPr="00517445">
        <w:rPr>
          <w:rFonts w:ascii="Times New Roman" w:hAnsi="Times New Roman"/>
          <w:b/>
          <w:i/>
          <w:iCs/>
          <w:color w:val="000000"/>
          <w:sz w:val="20"/>
          <w:szCs w:val="20"/>
          <w:lang w:val="id-ID"/>
        </w:rPr>
        <w:t>This study contributes to the financial literature by providing insights into the stock valuation process in asset-intensive industries and</w:t>
      </w:r>
      <w:bookmarkStart w:id="0" w:name="_GoBack"/>
      <w:bookmarkEnd w:id="0"/>
      <w:r w:rsidRPr="00517445">
        <w:rPr>
          <w:rFonts w:ascii="Times New Roman" w:hAnsi="Times New Roman"/>
          <w:b/>
          <w:i/>
          <w:iCs/>
          <w:color w:val="000000"/>
          <w:sz w:val="20"/>
          <w:szCs w:val="20"/>
          <w:lang w:val="id-ID"/>
        </w:rPr>
        <w:t xml:space="preserve"> offers practical recommendations for investors, managers, and regulators.</w:t>
      </w:r>
      <w:r w:rsidRPr="00517445">
        <w:rPr>
          <w:rFonts w:ascii="Times New Roman" w:hAnsi="Times New Roman"/>
          <w:b/>
          <w:i/>
          <w:iCs/>
          <w:color w:val="000000"/>
          <w:sz w:val="20"/>
          <w:szCs w:val="20"/>
          <w:lang w:val="id-ID"/>
        </w:rPr>
        <w:t xml:space="preserve"> </w:t>
      </w:r>
      <w:r>
        <w:rPr>
          <w:rFonts w:ascii="Times New Roman" w:hAnsi="Times New Roman"/>
          <w:b/>
          <w:i/>
          <w:iCs/>
          <w:color w:val="000000"/>
          <w:sz w:val="20"/>
          <w:szCs w:val="20"/>
          <w:lang w:val="id-ID"/>
        </w:rPr>
        <w:t xml:space="preserve"> </w:t>
      </w:r>
    </w:p>
    <w:p w14:paraId="0F839019" w14:textId="2E130FFD" w:rsidR="002F5318" w:rsidRDefault="00DD4F5D">
      <w:r>
        <w:rPr>
          <w:rFonts w:ascii="Times New Roman" w:hAnsi="Times New Roman"/>
          <w:b/>
          <w:i/>
          <w:color w:val="0070C0"/>
          <w:sz w:val="20"/>
          <w:szCs w:val="20"/>
          <w:lang w:eastAsia="en-US"/>
        </w:rPr>
        <w:br/>
      </w:r>
      <w:r>
        <w:rPr>
          <w:rFonts w:ascii="Times New Roman" w:hAnsi="Times New Roman"/>
          <w:b/>
          <w:i/>
          <w:sz w:val="20"/>
          <w:szCs w:val="20"/>
          <w:lang w:eastAsia="en-US"/>
        </w:rPr>
        <w:t xml:space="preserve">Keywords: </w:t>
      </w:r>
      <w:r w:rsidR="00517445" w:rsidRPr="00517445">
        <w:rPr>
          <w:rFonts w:ascii="Times New Roman" w:hAnsi="Times New Roman"/>
          <w:b/>
          <w:i/>
          <w:sz w:val="20"/>
          <w:szCs w:val="20"/>
          <w:lang w:eastAsia="en-US"/>
        </w:rPr>
        <w:t xml:space="preserve">Return on Assets, Return on Equity, Stock Price, Financial Performance, Transportation and Logistics </w:t>
      </w:r>
      <w:r w:rsidR="00517445">
        <w:rPr>
          <w:rFonts w:ascii="Times New Roman" w:hAnsi="Times New Roman"/>
          <w:b/>
          <w:i/>
          <w:sz w:val="20"/>
          <w:szCs w:val="20"/>
          <w:lang w:val="id-ID" w:eastAsia="en-US"/>
        </w:rPr>
        <w:t xml:space="preserve"> </w:t>
      </w:r>
    </w:p>
    <w:p w14:paraId="453BD045" w14:textId="77777777" w:rsidR="002F5318" w:rsidRDefault="002F5318">
      <w:pPr>
        <w:pStyle w:val="AbstractTitle"/>
        <w:rPr>
          <w:sz w:val="24"/>
          <w:szCs w:val="24"/>
        </w:rPr>
      </w:pPr>
    </w:p>
    <w:p w14:paraId="22B1C1F5" w14:textId="77777777" w:rsidR="002F5318" w:rsidRDefault="002F5318">
      <w:pPr>
        <w:pStyle w:val="AbstractTitle"/>
        <w:ind w:left="0"/>
        <w:jc w:val="both"/>
        <w:rPr>
          <w:rFonts w:ascii="Times New Roman" w:hAnsi="Times New Roman"/>
          <w:b w:val="0"/>
          <w:color w:val="0000FF"/>
          <w:sz w:val="24"/>
          <w:szCs w:val="24"/>
          <w:lang w:val="fi-FI"/>
        </w:rPr>
      </w:pPr>
    </w:p>
    <w:p w14:paraId="186A9425" w14:textId="77777777" w:rsidR="002F5318" w:rsidRDefault="002F5318">
      <w:pPr>
        <w:sectPr w:rsidR="002F5318" w:rsidSect="00132612">
          <w:headerReference w:type="default" r:id="rId10"/>
          <w:pgSz w:w="11906" w:h="16838"/>
          <w:pgMar w:top="1418" w:right="1134" w:bottom="1134" w:left="1418" w:header="720" w:footer="0" w:gutter="0"/>
          <w:cols w:space="720"/>
          <w:formProt w:val="0"/>
          <w:docGrid w:linePitch="360"/>
        </w:sectPr>
      </w:pPr>
    </w:p>
    <w:p w14:paraId="4BC21580" w14:textId="67D90C1A" w:rsidR="002F5318" w:rsidRDefault="00DD4F5D">
      <w:pPr>
        <w:pStyle w:val="Heading1"/>
        <w:numPr>
          <w:ilvl w:val="0"/>
          <w:numId w:val="4"/>
        </w:numPr>
        <w:ind w:left="426" w:hanging="426"/>
      </w:pPr>
      <w:r>
        <w:rPr>
          <w:rFonts w:ascii="Times New Roman" w:hAnsi="Times New Roman" w:cs="Times New Roman"/>
          <w:bCs/>
          <w:sz w:val="24"/>
          <w:szCs w:val="24"/>
          <w:lang w:val="id-ID"/>
        </w:rPr>
        <w:t>INTRODUCTION</w:t>
      </w:r>
      <w:r w:rsidR="00517445">
        <w:rPr>
          <w:rFonts w:ascii="Times New Roman" w:hAnsi="Times New Roman" w:cs="Times New Roman"/>
          <w:bCs/>
          <w:sz w:val="24"/>
          <w:szCs w:val="24"/>
          <w:lang w:val="id-ID"/>
        </w:rPr>
        <w:t xml:space="preserve"> </w:t>
      </w:r>
    </w:p>
    <w:p w14:paraId="3B92E097" w14:textId="640AAC3F" w:rsidR="002E32E7" w:rsidRPr="002E32E7" w:rsidRDefault="002E32E7" w:rsidP="002E32E7">
      <w:pPr>
        <w:pStyle w:val="ListParagraph"/>
        <w:ind w:left="0" w:firstLine="567"/>
        <w:jc w:val="both"/>
        <w:rPr>
          <w:rFonts w:ascii="Times New Roman" w:hAnsi="Times New Roman"/>
          <w:color w:val="000000"/>
          <w:sz w:val="24"/>
          <w:lang w:val="id-ID"/>
        </w:rPr>
      </w:pPr>
      <w:r w:rsidRPr="002E32E7">
        <w:rPr>
          <w:rFonts w:ascii="Times New Roman" w:hAnsi="Times New Roman"/>
          <w:color w:val="000000"/>
          <w:sz w:val="24"/>
          <w:lang w:val="id-ID"/>
        </w:rPr>
        <w:t>In the era of globalization and digital transformation, the transportation and logistics sector has become one of the most dynamic industries globally, including in Indonesia. This sector plays a vital role in connecting markets, facilitating trade, and sustaining the economic growth of a nation (World Bank, 2020). As companies in this sector expand, so does the competition, urging management to demonstrate superior financial performance to attract investment and maintain market credibility.</w:t>
      </w:r>
    </w:p>
    <w:p w14:paraId="0F37E317" w14:textId="6D11532C" w:rsidR="002E32E7" w:rsidRPr="002E32E7" w:rsidRDefault="002E32E7" w:rsidP="002E32E7">
      <w:pPr>
        <w:pStyle w:val="ListParagraph"/>
        <w:ind w:left="0" w:firstLine="567"/>
        <w:jc w:val="both"/>
        <w:rPr>
          <w:rFonts w:ascii="Times New Roman" w:hAnsi="Times New Roman"/>
          <w:color w:val="000000"/>
          <w:sz w:val="24"/>
          <w:lang w:val="id-ID"/>
        </w:rPr>
      </w:pPr>
      <w:r w:rsidRPr="002E32E7">
        <w:rPr>
          <w:rFonts w:ascii="Times New Roman" w:hAnsi="Times New Roman"/>
          <w:color w:val="000000"/>
          <w:sz w:val="24"/>
          <w:lang w:val="id-ID"/>
        </w:rPr>
        <w:t>One critical aspect for investors in evaluating companies is the stock price, which reflects both actual and perceived value. Stock prices in the capital market are highly volatile, often changing within seconds due to variations in demand and supply. This volatility is influenced not only by macroeconomic factors but also by firm-specific fundamentals such as profitability, liquidity, and operational effici</w:t>
      </w:r>
      <w:r>
        <w:rPr>
          <w:rFonts w:ascii="Times New Roman" w:hAnsi="Times New Roman"/>
          <w:color w:val="000000"/>
          <w:sz w:val="24"/>
          <w:lang w:val="id-ID"/>
        </w:rPr>
        <w:t>ency (Brigham &amp; Houston, 2019).</w:t>
      </w:r>
    </w:p>
    <w:p w14:paraId="6B3F23AC" w14:textId="7110772D" w:rsidR="002E32E7" w:rsidRPr="002E32E7" w:rsidRDefault="002E32E7" w:rsidP="002E32E7">
      <w:pPr>
        <w:pStyle w:val="ListParagraph"/>
        <w:ind w:left="0" w:firstLine="567"/>
        <w:jc w:val="both"/>
        <w:rPr>
          <w:rFonts w:ascii="Times New Roman" w:hAnsi="Times New Roman"/>
          <w:color w:val="000000"/>
          <w:sz w:val="24"/>
          <w:lang w:val="id-ID"/>
        </w:rPr>
      </w:pPr>
      <w:r w:rsidRPr="002E32E7">
        <w:rPr>
          <w:rFonts w:ascii="Times New Roman" w:hAnsi="Times New Roman"/>
          <w:color w:val="000000"/>
          <w:sz w:val="24"/>
          <w:lang w:val="id-ID"/>
        </w:rPr>
        <w:t>Among the various financial indicators, Return on Assets (ROA) and Return on Equity (ROE) are widely used by investors and analysts to assess the performance and efficiency of a company's capital usage. ROA indicates the company’s efficiency in utilizing its total assets to generate profits, whereas ROE measures how well a firm uses shareholders' equity to produce net inco</w:t>
      </w:r>
      <w:r>
        <w:rPr>
          <w:rFonts w:ascii="Times New Roman" w:hAnsi="Times New Roman"/>
          <w:color w:val="000000"/>
          <w:sz w:val="24"/>
          <w:lang w:val="id-ID"/>
        </w:rPr>
        <w:t>me (Kasmir, 2019; Fahmi, 2018).</w:t>
      </w:r>
    </w:p>
    <w:p w14:paraId="27BA1E4F" w14:textId="000A7C74" w:rsidR="002E32E7" w:rsidRPr="002E32E7" w:rsidRDefault="002E32E7" w:rsidP="002E32E7">
      <w:pPr>
        <w:pStyle w:val="ListParagraph"/>
        <w:ind w:left="0" w:firstLine="567"/>
        <w:jc w:val="both"/>
        <w:rPr>
          <w:rFonts w:ascii="Times New Roman" w:hAnsi="Times New Roman"/>
          <w:color w:val="000000"/>
          <w:sz w:val="24"/>
          <w:lang w:val="id-ID"/>
        </w:rPr>
      </w:pPr>
      <w:r w:rsidRPr="002E32E7">
        <w:rPr>
          <w:rFonts w:ascii="Times New Roman" w:hAnsi="Times New Roman"/>
          <w:color w:val="000000"/>
          <w:sz w:val="24"/>
          <w:lang w:val="id-ID"/>
        </w:rPr>
        <w:t>Previous research indicates mixed findings on the influence of ROA and ROE on stock prices. For instance, Sunaryo (2022) and Arifiani (2019) found that both ROA and ROE significantly affect stock prices in various sectors. However, Utami (2018) argued that these variables do not always show consistent effects across different industries. This inconsistency reveals the need for sector-specific studies to draw more accur</w:t>
      </w:r>
      <w:r>
        <w:rPr>
          <w:rFonts w:ascii="Times New Roman" w:hAnsi="Times New Roman"/>
          <w:color w:val="000000"/>
          <w:sz w:val="24"/>
          <w:lang w:val="id-ID"/>
        </w:rPr>
        <w:t>ate and applicable conclusions.</w:t>
      </w:r>
    </w:p>
    <w:p w14:paraId="13C9B420" w14:textId="6CB3AD16" w:rsidR="002E32E7" w:rsidRPr="002E32E7" w:rsidRDefault="002E32E7" w:rsidP="002E32E7">
      <w:pPr>
        <w:pStyle w:val="ListParagraph"/>
        <w:ind w:left="0" w:firstLine="567"/>
        <w:jc w:val="both"/>
        <w:rPr>
          <w:rFonts w:ascii="Times New Roman" w:hAnsi="Times New Roman"/>
          <w:color w:val="000000"/>
          <w:sz w:val="24"/>
          <w:lang w:val="id-ID"/>
        </w:rPr>
      </w:pPr>
      <w:r w:rsidRPr="002E32E7">
        <w:rPr>
          <w:rFonts w:ascii="Times New Roman" w:hAnsi="Times New Roman"/>
          <w:color w:val="000000"/>
          <w:sz w:val="24"/>
          <w:lang w:val="id-ID"/>
        </w:rPr>
        <w:lastRenderedPageBreak/>
        <w:t>In the context of the Indonesian capital market, the transportation and logistics sector presents unique challenges and opportunities. The sector has faced disruptions during the COVID-19 pandemic, affecting profitability and, consequently, investor perceptions (OECD, 2021). Furthermore, data from the Indonesia Stock Exchange (IDX) shows that many firms within this sector demonstrate sub-optimal levels of ROA and ROE over the past five years, indicating inefficiencies in asset and equity management (IDX, 20</w:t>
      </w:r>
      <w:r>
        <w:rPr>
          <w:rFonts w:ascii="Times New Roman" w:hAnsi="Times New Roman"/>
          <w:color w:val="000000"/>
          <w:sz w:val="24"/>
          <w:lang w:val="id-ID"/>
        </w:rPr>
        <w:t>23).</w:t>
      </w:r>
    </w:p>
    <w:p w14:paraId="49236722" w14:textId="32D3E187" w:rsidR="002E32E7" w:rsidRPr="002E32E7" w:rsidRDefault="002E32E7" w:rsidP="002E32E7">
      <w:pPr>
        <w:pStyle w:val="ListParagraph"/>
        <w:ind w:left="0" w:firstLine="567"/>
        <w:jc w:val="both"/>
        <w:rPr>
          <w:rFonts w:ascii="Times New Roman" w:hAnsi="Times New Roman"/>
          <w:color w:val="000000"/>
          <w:sz w:val="24"/>
          <w:lang w:val="id-ID"/>
        </w:rPr>
      </w:pPr>
      <w:r w:rsidRPr="002E32E7">
        <w:rPr>
          <w:rFonts w:ascii="Times New Roman" w:hAnsi="Times New Roman"/>
          <w:color w:val="000000"/>
          <w:sz w:val="24"/>
          <w:lang w:val="id-ID"/>
        </w:rPr>
        <w:t>This research focuses on analyzing the effect of ROA and ROE on stock prices of transportation and logistics companies listed on the Indonesia Stock Exchange (IDX) during the period 2018–2022. By examining financial reports and market data, the study aims to identify whether these profitability indicators significantly influence the valuation of com</w:t>
      </w:r>
      <w:r>
        <w:rPr>
          <w:rFonts w:ascii="Times New Roman" w:hAnsi="Times New Roman"/>
          <w:color w:val="000000"/>
          <w:sz w:val="24"/>
          <w:lang w:val="id-ID"/>
        </w:rPr>
        <w:t>panies in this specific sector.</w:t>
      </w:r>
    </w:p>
    <w:p w14:paraId="046FE610" w14:textId="21FD2F8F" w:rsidR="002E32E7" w:rsidRPr="002E32E7" w:rsidRDefault="002E32E7" w:rsidP="002E32E7">
      <w:pPr>
        <w:pStyle w:val="ListParagraph"/>
        <w:ind w:left="0" w:firstLine="567"/>
        <w:jc w:val="both"/>
        <w:rPr>
          <w:rFonts w:ascii="Times New Roman" w:hAnsi="Times New Roman"/>
          <w:color w:val="000000"/>
          <w:sz w:val="24"/>
          <w:lang w:val="id-ID"/>
        </w:rPr>
      </w:pPr>
      <w:r w:rsidRPr="002E32E7">
        <w:rPr>
          <w:rFonts w:ascii="Times New Roman" w:hAnsi="Times New Roman"/>
          <w:color w:val="000000"/>
          <w:sz w:val="24"/>
          <w:lang w:val="id-ID"/>
        </w:rPr>
        <w:t>The rationale for selecting this sector lies in its critical importance to national development and its growing appeal among investors, especially with increasing e-commerce activities and government-backed infrastructure projects. However, despite its strategic position, many firms are underperforming in terms o</w:t>
      </w:r>
      <w:r>
        <w:rPr>
          <w:rFonts w:ascii="Times New Roman" w:hAnsi="Times New Roman"/>
          <w:color w:val="000000"/>
          <w:sz w:val="24"/>
          <w:lang w:val="id-ID"/>
        </w:rPr>
        <w:t>f asset and equity utilization.</w:t>
      </w:r>
    </w:p>
    <w:p w14:paraId="5E1C28C3" w14:textId="3D3CE2C2" w:rsidR="002E32E7" w:rsidRPr="002E32E7" w:rsidRDefault="002E32E7" w:rsidP="002E32E7">
      <w:pPr>
        <w:pStyle w:val="ListParagraph"/>
        <w:ind w:left="0" w:firstLine="567"/>
        <w:jc w:val="both"/>
        <w:rPr>
          <w:rFonts w:ascii="Times New Roman" w:hAnsi="Times New Roman"/>
          <w:color w:val="000000"/>
          <w:sz w:val="24"/>
          <w:lang w:val="id-ID"/>
        </w:rPr>
      </w:pPr>
      <w:r w:rsidRPr="002E32E7">
        <w:rPr>
          <w:rFonts w:ascii="Times New Roman" w:hAnsi="Times New Roman"/>
          <w:color w:val="000000"/>
          <w:sz w:val="24"/>
          <w:lang w:val="id-ID"/>
        </w:rPr>
        <w:t>Therefore, this study seeks to fill the gap in the literature by providing empirical evidence on how ROA and ROE, as internal performance metrics, influence stock price fluctuations in the transportation and logistics industry in Indonesia. The findings are expected to contribute to a better understanding for investors, financial analysts, and policymaker</w:t>
      </w:r>
      <w:r>
        <w:rPr>
          <w:rFonts w:ascii="Times New Roman" w:hAnsi="Times New Roman"/>
          <w:color w:val="000000"/>
          <w:sz w:val="24"/>
          <w:lang w:val="id-ID"/>
        </w:rPr>
        <w:t>s in making informed decisions.</w:t>
      </w:r>
    </w:p>
    <w:p w14:paraId="2EF8E65D" w14:textId="668AAF98" w:rsidR="000548D9" w:rsidRDefault="002E32E7" w:rsidP="002E32E7">
      <w:pPr>
        <w:pStyle w:val="ListParagraph"/>
        <w:spacing w:after="0" w:line="240" w:lineRule="auto"/>
        <w:ind w:left="0" w:firstLine="567"/>
        <w:jc w:val="both"/>
        <w:rPr>
          <w:rFonts w:ascii="Times New Roman" w:hAnsi="Times New Roman"/>
          <w:color w:val="CE181E"/>
          <w:sz w:val="24"/>
          <w:lang w:val="id-ID"/>
        </w:rPr>
      </w:pPr>
      <w:r w:rsidRPr="002E32E7">
        <w:rPr>
          <w:rFonts w:ascii="Times New Roman" w:hAnsi="Times New Roman"/>
          <w:color w:val="000000"/>
          <w:sz w:val="24"/>
          <w:lang w:val="id-ID"/>
        </w:rPr>
        <w:t>The objective of this research is twofold: (1) to analyze the partial effect of ROA and ROE on stock prices, and (2) to examine whether ROA and ROE simultaneously exert a significant influence. The outcomes of this research are anticipated to offer strategic insights into how financial performance can be leveraged to enhance shareholder value and overall market competitiveness.</w:t>
      </w:r>
      <w:r>
        <w:rPr>
          <w:rFonts w:ascii="Times New Roman" w:hAnsi="Times New Roman"/>
          <w:color w:val="000000"/>
          <w:sz w:val="24"/>
          <w:lang w:val="id-ID"/>
        </w:rPr>
        <w:t xml:space="preserve"> </w:t>
      </w:r>
    </w:p>
    <w:p w14:paraId="27896DFC" w14:textId="5E4D24A0" w:rsidR="000548D9" w:rsidRDefault="000548D9">
      <w:pPr>
        <w:ind w:firstLine="454"/>
        <w:rPr>
          <w:rFonts w:ascii="Times New Roman" w:hAnsi="Times New Roman"/>
          <w:color w:val="CE181E"/>
          <w:sz w:val="24"/>
          <w:lang w:val="id-ID"/>
        </w:rPr>
      </w:pPr>
    </w:p>
    <w:p w14:paraId="50830449" w14:textId="77777777" w:rsidR="000548D9" w:rsidRDefault="000548D9">
      <w:pPr>
        <w:ind w:firstLine="454"/>
        <w:rPr>
          <w:rFonts w:ascii="Times New Roman" w:hAnsi="Times New Roman"/>
          <w:color w:val="CE181E"/>
          <w:sz w:val="24"/>
          <w:lang w:val="id-ID"/>
        </w:rPr>
      </w:pPr>
    </w:p>
    <w:p w14:paraId="318D0E81" w14:textId="0F30C7EC" w:rsidR="002F5318" w:rsidRDefault="00DD4F5D">
      <w:pPr>
        <w:pStyle w:val="Heading1"/>
        <w:numPr>
          <w:ilvl w:val="0"/>
          <w:numId w:val="4"/>
        </w:numPr>
        <w:ind w:left="426" w:hanging="426"/>
      </w:pPr>
      <w:bookmarkStart w:id="1" w:name="__DdeLink__339_2724692058"/>
      <w:bookmarkEnd w:id="1"/>
      <w:r>
        <w:rPr>
          <w:rFonts w:ascii="Times New Roman" w:hAnsi="Times New Roman" w:cs="Times New Roman"/>
          <w:sz w:val="24"/>
          <w:szCs w:val="24"/>
          <w:lang w:val="id-ID"/>
        </w:rPr>
        <w:t>LITERATURE REVIEW</w:t>
      </w:r>
      <w:r>
        <w:rPr>
          <w:rFonts w:ascii="Times New Roman" w:hAnsi="Times New Roman" w:cs="Times New Roman"/>
          <w:b w:val="0"/>
          <w:sz w:val="24"/>
          <w:szCs w:val="24"/>
          <w:lang w:val="id-ID"/>
        </w:rPr>
        <w:t xml:space="preserve"> </w:t>
      </w:r>
      <w:r>
        <w:rPr>
          <w:rFonts w:ascii="Wingdings" w:eastAsia="Wingdings" w:hAnsi="Wingdings" w:cs="Wingdings"/>
          <w:b w:val="0"/>
          <w:sz w:val="24"/>
          <w:szCs w:val="24"/>
          <w:lang w:val="id-ID"/>
        </w:rPr>
        <w:t></w:t>
      </w:r>
      <w:r>
        <w:rPr>
          <w:rFonts w:ascii="Times New Roman" w:hAnsi="Times New Roman" w:cs="Times New Roman"/>
          <w:b w:val="0"/>
          <w:sz w:val="24"/>
          <w:szCs w:val="24"/>
          <w:lang w:val="id-ID"/>
        </w:rPr>
        <w:t xml:space="preserve"> </w:t>
      </w:r>
      <w:r>
        <w:rPr>
          <w:rFonts w:ascii="Times New Roman" w:hAnsi="Times New Roman" w:cs="Times New Roman"/>
          <w:b w:val="0"/>
          <w:color w:val="0070C0"/>
          <w:szCs w:val="20"/>
          <w:lang w:val="id-ID"/>
        </w:rPr>
        <w:t>[</w:t>
      </w:r>
      <w:r w:rsidR="00D27753">
        <w:rPr>
          <w:rFonts w:ascii="Times New Roman" w:hAnsi="Times New Roman" w:cs="Times New Roman"/>
          <w:b w:val="0"/>
          <w:color w:val="FFFFFF"/>
          <w:szCs w:val="20"/>
          <w:highlight w:val="darkRed"/>
          <w:lang w:val="en-US"/>
        </w:rPr>
        <w:t>BA</w:t>
      </w:r>
      <w:r>
        <w:rPr>
          <w:rFonts w:ascii="Times New Roman" w:hAnsi="Times New Roman" w:cs="Times New Roman"/>
          <w:b w:val="0"/>
          <w:color w:val="FFFFFF"/>
          <w:szCs w:val="20"/>
          <w:highlight w:val="darkRed"/>
          <w:lang w:val="id-ID"/>
        </w:rPr>
        <w:t xml:space="preserve">, 12pt, </w:t>
      </w:r>
      <w:r>
        <w:rPr>
          <w:rFonts w:ascii="Times New Roman" w:hAnsi="Times New Roman" w:cs="Times New Roman"/>
          <w:b w:val="0"/>
          <w:color w:val="FFFFFF"/>
          <w:szCs w:val="20"/>
          <w:highlight w:val="darkRed"/>
          <w:lang w:val="en-US"/>
        </w:rPr>
        <w:t>BOLD</w:t>
      </w:r>
      <w:r>
        <w:rPr>
          <w:rFonts w:ascii="Times New Roman" w:hAnsi="Times New Roman" w:cs="Times New Roman"/>
          <w:b w:val="0"/>
          <w:color w:val="0070C0"/>
          <w:szCs w:val="20"/>
          <w:lang w:val="id-ID"/>
        </w:rPr>
        <w:t>]</w:t>
      </w:r>
    </w:p>
    <w:p w14:paraId="6ECD1D76" w14:textId="77777777" w:rsidR="002E32E7" w:rsidRDefault="002E32E7" w:rsidP="002E32E7">
      <w:pPr>
        <w:pStyle w:val="ListParagraph"/>
        <w:tabs>
          <w:tab w:val="left" w:pos="0"/>
        </w:tabs>
        <w:ind w:left="0" w:right="68"/>
        <w:rPr>
          <w:rFonts w:ascii="Times New Roman" w:hAnsi="Times New Roman"/>
          <w:i/>
          <w:sz w:val="24"/>
          <w:szCs w:val="24"/>
          <w:lang w:val="id-ID"/>
        </w:rPr>
      </w:pPr>
    </w:p>
    <w:p w14:paraId="225374EE" w14:textId="57F861CF" w:rsidR="002E32E7" w:rsidRPr="002E32E7" w:rsidRDefault="002E32E7" w:rsidP="002E32E7">
      <w:pPr>
        <w:pStyle w:val="ListParagraph"/>
        <w:tabs>
          <w:tab w:val="left" w:pos="0"/>
        </w:tabs>
        <w:ind w:left="0" w:right="68"/>
        <w:rPr>
          <w:rFonts w:ascii="Times New Roman" w:hAnsi="Times New Roman"/>
          <w:b/>
          <w:color w:val="000000"/>
          <w:sz w:val="24"/>
          <w:szCs w:val="24"/>
          <w:lang w:val="id-ID"/>
        </w:rPr>
      </w:pPr>
      <w:r w:rsidRPr="002E32E7">
        <w:rPr>
          <w:rFonts w:ascii="Times New Roman" w:hAnsi="Times New Roman"/>
          <w:b/>
          <w:color w:val="000000"/>
          <w:sz w:val="24"/>
          <w:szCs w:val="24"/>
          <w:lang w:val="id-ID"/>
        </w:rPr>
        <w:t>A. Return on Assets (ROA)</w:t>
      </w:r>
    </w:p>
    <w:p w14:paraId="4B0768D1" w14:textId="6FBC84D9" w:rsidR="002E32E7" w:rsidRPr="002E32E7" w:rsidRDefault="002E32E7" w:rsidP="002E32E7">
      <w:pPr>
        <w:pStyle w:val="ListParagraph"/>
        <w:tabs>
          <w:tab w:val="left" w:pos="0"/>
        </w:tabs>
        <w:ind w:left="0" w:right="68" w:firstLine="567"/>
        <w:jc w:val="both"/>
        <w:rPr>
          <w:rFonts w:ascii="Times New Roman" w:hAnsi="Times New Roman"/>
          <w:color w:val="000000"/>
          <w:sz w:val="24"/>
          <w:szCs w:val="24"/>
          <w:lang w:val="id-ID"/>
        </w:rPr>
      </w:pPr>
      <w:r w:rsidRPr="002E32E7">
        <w:rPr>
          <w:rFonts w:ascii="Times New Roman" w:hAnsi="Times New Roman"/>
          <w:color w:val="000000"/>
          <w:sz w:val="24"/>
          <w:szCs w:val="24"/>
          <w:lang w:val="id-ID"/>
        </w:rPr>
        <w:t>Return on Assets (ROA) is a financial ratio that reflects a company’s ability to generate profit from its total assets. It serves as a measure of managerial efficiency in utilizing all available resources to produce net income. The higher the ROA, the better a firm is at converting its investments in assets into earnings (Kasmir, 2019). According to Hanafi (2019), ROA also signals how well the management uses the company’s asset base, which is critical in assessing financial performance from an operational perspective.</w:t>
      </w:r>
    </w:p>
    <w:p w14:paraId="02D9E4BD" w14:textId="5641701E" w:rsidR="002E32E7" w:rsidRPr="002E32E7" w:rsidRDefault="002E32E7" w:rsidP="002E32E7">
      <w:pPr>
        <w:pStyle w:val="ListParagraph"/>
        <w:tabs>
          <w:tab w:val="left" w:pos="0"/>
        </w:tabs>
        <w:ind w:left="0" w:right="68" w:firstLine="567"/>
        <w:jc w:val="both"/>
        <w:rPr>
          <w:rFonts w:ascii="Times New Roman" w:hAnsi="Times New Roman"/>
          <w:color w:val="000000"/>
          <w:sz w:val="24"/>
          <w:szCs w:val="24"/>
          <w:lang w:val="id-ID"/>
        </w:rPr>
      </w:pPr>
      <w:r w:rsidRPr="002E32E7">
        <w:rPr>
          <w:rFonts w:ascii="Times New Roman" w:hAnsi="Times New Roman"/>
          <w:color w:val="000000"/>
          <w:sz w:val="24"/>
          <w:szCs w:val="24"/>
          <w:lang w:val="id-ID"/>
        </w:rPr>
        <w:t xml:space="preserve">Several empirical studies highlight ROA as a significant predictor of stock prices. For example, Darmawan (2022) revealed that ROA had a positive and significant impact on stock prices in the manufacturing sector. Similarly, Arifiani (2019) found that higher ROA values were often associated with increased investor confidence, as firms with stronger asset efficiency are perceived </w:t>
      </w:r>
      <w:r>
        <w:rPr>
          <w:rFonts w:ascii="Times New Roman" w:hAnsi="Times New Roman"/>
          <w:color w:val="000000"/>
          <w:sz w:val="24"/>
          <w:szCs w:val="24"/>
          <w:lang w:val="id-ID"/>
        </w:rPr>
        <w:t>to have lower operational risk.</w:t>
      </w:r>
    </w:p>
    <w:p w14:paraId="46CF3C2E" w14:textId="4A9EC765" w:rsidR="002E32E7" w:rsidRPr="002E32E7" w:rsidRDefault="002E32E7" w:rsidP="002E32E7">
      <w:pPr>
        <w:pStyle w:val="ListParagraph"/>
        <w:tabs>
          <w:tab w:val="left" w:pos="0"/>
        </w:tabs>
        <w:ind w:left="0" w:right="68" w:firstLine="567"/>
        <w:jc w:val="both"/>
        <w:rPr>
          <w:rFonts w:ascii="Times New Roman" w:hAnsi="Times New Roman"/>
          <w:color w:val="000000"/>
          <w:sz w:val="24"/>
          <w:szCs w:val="24"/>
          <w:lang w:val="id-ID"/>
        </w:rPr>
      </w:pPr>
      <w:r w:rsidRPr="002E32E7">
        <w:rPr>
          <w:rFonts w:ascii="Times New Roman" w:hAnsi="Times New Roman"/>
          <w:color w:val="000000"/>
          <w:sz w:val="24"/>
          <w:szCs w:val="24"/>
          <w:lang w:val="id-ID"/>
        </w:rPr>
        <w:lastRenderedPageBreak/>
        <w:t>In the context of the transportation and logistics sector, where asset-heavy operations are common, ROA becomes a particularly crucial metric. The industry’s reliance on fleets, infrastructure, and logistical assets means that effective asset management is vital for sustaining profitability and investor interest</w:t>
      </w:r>
      <w:r>
        <w:rPr>
          <w:rFonts w:ascii="Times New Roman" w:hAnsi="Times New Roman"/>
          <w:color w:val="000000"/>
          <w:sz w:val="24"/>
          <w:szCs w:val="24"/>
          <w:lang w:val="id-ID"/>
        </w:rPr>
        <w:t>.</w:t>
      </w:r>
    </w:p>
    <w:p w14:paraId="17449B30" w14:textId="77777777" w:rsidR="002E32E7" w:rsidRPr="002E32E7" w:rsidRDefault="002E32E7" w:rsidP="002E32E7">
      <w:pPr>
        <w:pStyle w:val="ListParagraph"/>
        <w:tabs>
          <w:tab w:val="left" w:pos="0"/>
        </w:tabs>
        <w:ind w:left="0" w:right="68"/>
        <w:rPr>
          <w:rFonts w:ascii="Times New Roman" w:hAnsi="Times New Roman"/>
          <w:b/>
          <w:color w:val="000000"/>
          <w:sz w:val="24"/>
          <w:szCs w:val="24"/>
          <w:lang w:val="id-ID"/>
        </w:rPr>
      </w:pPr>
      <w:r w:rsidRPr="002E32E7">
        <w:rPr>
          <w:rFonts w:ascii="Times New Roman" w:hAnsi="Times New Roman"/>
          <w:b/>
          <w:color w:val="000000"/>
          <w:sz w:val="24"/>
          <w:szCs w:val="24"/>
          <w:lang w:val="id-ID"/>
        </w:rPr>
        <w:t>B. Return on Equity (ROE)</w:t>
      </w:r>
    </w:p>
    <w:p w14:paraId="7632424E" w14:textId="792C2927" w:rsidR="002E32E7" w:rsidRPr="002E32E7" w:rsidRDefault="002E32E7" w:rsidP="002E32E7">
      <w:pPr>
        <w:pStyle w:val="ListParagraph"/>
        <w:tabs>
          <w:tab w:val="left" w:pos="0"/>
        </w:tabs>
        <w:ind w:left="0" w:right="68" w:firstLine="567"/>
        <w:jc w:val="both"/>
        <w:rPr>
          <w:rFonts w:ascii="Times New Roman" w:hAnsi="Times New Roman"/>
          <w:color w:val="000000"/>
          <w:sz w:val="24"/>
          <w:szCs w:val="24"/>
          <w:lang w:val="id-ID"/>
        </w:rPr>
      </w:pPr>
      <w:r w:rsidRPr="002E32E7">
        <w:rPr>
          <w:rFonts w:ascii="Times New Roman" w:hAnsi="Times New Roman"/>
          <w:color w:val="000000"/>
          <w:sz w:val="24"/>
          <w:szCs w:val="24"/>
          <w:lang w:val="id-ID"/>
        </w:rPr>
        <w:t>Return on Equity (ROE) represents the profitability relative to shareholders’ equity and indicates how efficiently a firm uses the equity capital invested by its owners to generate earnings. It is often viewed as a core indicator for shareholders since it reflects the return they receive on their investment (Fahmi, 2018).</w:t>
      </w:r>
    </w:p>
    <w:p w14:paraId="42A2EAE1" w14:textId="51E0DF7B" w:rsidR="002E32E7" w:rsidRPr="002E32E7" w:rsidRDefault="002E32E7" w:rsidP="002E32E7">
      <w:pPr>
        <w:pStyle w:val="ListParagraph"/>
        <w:tabs>
          <w:tab w:val="left" w:pos="0"/>
        </w:tabs>
        <w:ind w:left="0" w:right="68" w:firstLine="567"/>
        <w:jc w:val="both"/>
        <w:rPr>
          <w:rFonts w:ascii="Times New Roman" w:hAnsi="Times New Roman"/>
          <w:color w:val="000000"/>
          <w:sz w:val="24"/>
          <w:szCs w:val="24"/>
          <w:lang w:val="id-ID"/>
        </w:rPr>
      </w:pPr>
      <w:r w:rsidRPr="002E32E7">
        <w:rPr>
          <w:rFonts w:ascii="Times New Roman" w:hAnsi="Times New Roman"/>
          <w:color w:val="000000"/>
          <w:sz w:val="24"/>
          <w:szCs w:val="24"/>
          <w:lang w:val="id-ID"/>
        </w:rPr>
        <w:t>According to Sutrisno (2019), ROE is not only a measure of profitability but also a tool to compare the financial health of firms within the same industry. Companies with higher ROE are considered more attractive for equity investors, as they demonstrate better profit generation p</w:t>
      </w:r>
      <w:r>
        <w:rPr>
          <w:rFonts w:ascii="Times New Roman" w:hAnsi="Times New Roman"/>
          <w:color w:val="000000"/>
          <w:sz w:val="24"/>
          <w:szCs w:val="24"/>
          <w:lang w:val="id-ID"/>
        </w:rPr>
        <w:t>er unit of shareholder capital.</w:t>
      </w:r>
    </w:p>
    <w:p w14:paraId="11E3A18E" w14:textId="36C727A7" w:rsidR="002E32E7" w:rsidRPr="002E32E7" w:rsidRDefault="002E32E7" w:rsidP="002E32E7">
      <w:pPr>
        <w:pStyle w:val="ListParagraph"/>
        <w:tabs>
          <w:tab w:val="left" w:pos="0"/>
        </w:tabs>
        <w:ind w:left="0" w:right="68" w:firstLine="567"/>
        <w:jc w:val="both"/>
        <w:rPr>
          <w:rFonts w:ascii="Times New Roman" w:hAnsi="Times New Roman"/>
          <w:color w:val="000000"/>
          <w:sz w:val="24"/>
          <w:szCs w:val="24"/>
          <w:lang w:val="id-ID"/>
        </w:rPr>
      </w:pPr>
      <w:r w:rsidRPr="002E32E7">
        <w:rPr>
          <w:rFonts w:ascii="Times New Roman" w:hAnsi="Times New Roman"/>
          <w:color w:val="000000"/>
          <w:sz w:val="24"/>
          <w:szCs w:val="24"/>
          <w:lang w:val="id-ID"/>
        </w:rPr>
        <w:t>Previous studies offer mixed evidence regarding the relationship between ROE and stock prices. While Sunaryo (2022) found a strong positive correlation in the cement industry, Utami (2018) reported that ROE had no significant effect in the Indonesian Sharia Stock Index. These conflicting findings suggest that ROE’s influence may vary across industries, underlining the nee</w:t>
      </w:r>
      <w:r>
        <w:rPr>
          <w:rFonts w:ascii="Times New Roman" w:hAnsi="Times New Roman"/>
          <w:color w:val="000000"/>
          <w:sz w:val="24"/>
          <w:szCs w:val="24"/>
          <w:lang w:val="id-ID"/>
        </w:rPr>
        <w:t>d for sector-specific analyses</w:t>
      </w:r>
    </w:p>
    <w:p w14:paraId="64B96FAB" w14:textId="77777777" w:rsidR="002E32E7" w:rsidRPr="002E32E7" w:rsidRDefault="002E32E7" w:rsidP="002E32E7">
      <w:pPr>
        <w:pStyle w:val="ListParagraph"/>
        <w:tabs>
          <w:tab w:val="left" w:pos="0"/>
        </w:tabs>
        <w:ind w:left="0" w:right="68"/>
        <w:rPr>
          <w:rFonts w:ascii="Times New Roman" w:hAnsi="Times New Roman"/>
          <w:b/>
          <w:color w:val="000000"/>
          <w:sz w:val="24"/>
          <w:szCs w:val="24"/>
          <w:lang w:val="id-ID"/>
        </w:rPr>
      </w:pPr>
      <w:r w:rsidRPr="002E32E7">
        <w:rPr>
          <w:rFonts w:ascii="Times New Roman" w:hAnsi="Times New Roman"/>
          <w:b/>
          <w:color w:val="000000"/>
          <w:sz w:val="24"/>
          <w:szCs w:val="24"/>
          <w:lang w:val="id-ID"/>
        </w:rPr>
        <w:t>C. Stock Prices</w:t>
      </w:r>
    </w:p>
    <w:p w14:paraId="7E394DAE" w14:textId="1BC6A116" w:rsidR="002E32E7" w:rsidRPr="002E32E7" w:rsidRDefault="002E32E7" w:rsidP="002E32E7">
      <w:pPr>
        <w:pStyle w:val="ListParagraph"/>
        <w:tabs>
          <w:tab w:val="left" w:pos="0"/>
        </w:tabs>
        <w:ind w:left="0" w:right="68" w:firstLine="567"/>
        <w:jc w:val="both"/>
        <w:rPr>
          <w:rFonts w:ascii="Times New Roman" w:hAnsi="Times New Roman"/>
          <w:color w:val="000000"/>
          <w:sz w:val="24"/>
          <w:szCs w:val="24"/>
          <w:lang w:val="id-ID"/>
        </w:rPr>
      </w:pPr>
      <w:r w:rsidRPr="002E32E7">
        <w:rPr>
          <w:rFonts w:ascii="Times New Roman" w:hAnsi="Times New Roman"/>
          <w:color w:val="000000"/>
          <w:sz w:val="24"/>
          <w:szCs w:val="24"/>
          <w:lang w:val="id-ID"/>
        </w:rPr>
        <w:t>Stock price is the monetary value assigned to a share of a company as traded in the capital market. It represents the market's perception of a company’s value, reflecting both internal financial performance and external economic influences (Brigham &amp; Houston, 2019). According to Hermuningsih (2018), stock prices are determined by the interaction of supply and demand in the capital market, which is in turn influenced by firm performance, investor expectations, and macroeconomic factors.</w:t>
      </w:r>
    </w:p>
    <w:p w14:paraId="1EAF8A6F" w14:textId="5FC8970A" w:rsidR="002E32E7" w:rsidRPr="002E32E7" w:rsidRDefault="002E32E7" w:rsidP="002E32E7">
      <w:pPr>
        <w:pStyle w:val="ListParagraph"/>
        <w:tabs>
          <w:tab w:val="left" w:pos="0"/>
        </w:tabs>
        <w:ind w:left="0" w:right="68" w:firstLine="567"/>
        <w:jc w:val="both"/>
        <w:rPr>
          <w:rFonts w:ascii="Times New Roman" w:hAnsi="Times New Roman"/>
          <w:color w:val="000000"/>
          <w:sz w:val="24"/>
          <w:szCs w:val="24"/>
          <w:lang w:val="id-ID"/>
        </w:rPr>
      </w:pPr>
      <w:r w:rsidRPr="002E32E7">
        <w:rPr>
          <w:rFonts w:ascii="Times New Roman" w:hAnsi="Times New Roman"/>
          <w:color w:val="000000"/>
          <w:sz w:val="24"/>
          <w:szCs w:val="24"/>
          <w:lang w:val="id-ID"/>
        </w:rPr>
        <w:t xml:space="preserve">Tandelilin (2019) emphasizes that stock prices respond to financial indicators such as profitability, solvency, and liquidity. Investors rely on these metrics to evaluate the intrinsic value of a firm and decide whether to buy, hold, or sell shares. Thus, financial ratios like ROA and ROE are often used as leading </w:t>
      </w:r>
      <w:r>
        <w:rPr>
          <w:rFonts w:ascii="Times New Roman" w:hAnsi="Times New Roman"/>
          <w:color w:val="000000"/>
          <w:sz w:val="24"/>
          <w:szCs w:val="24"/>
          <w:lang w:val="id-ID"/>
        </w:rPr>
        <w:t>indicators for stock valuation.</w:t>
      </w:r>
    </w:p>
    <w:p w14:paraId="7ABB9060" w14:textId="09C366BF" w:rsidR="002E32E7" w:rsidRPr="002E32E7" w:rsidRDefault="002E32E7" w:rsidP="002E32E7">
      <w:pPr>
        <w:pStyle w:val="ListParagraph"/>
        <w:tabs>
          <w:tab w:val="left" w:pos="0"/>
        </w:tabs>
        <w:ind w:left="0" w:right="68" w:firstLine="567"/>
        <w:jc w:val="both"/>
        <w:rPr>
          <w:rFonts w:ascii="Times New Roman" w:hAnsi="Times New Roman"/>
          <w:color w:val="000000"/>
          <w:sz w:val="24"/>
          <w:szCs w:val="24"/>
          <w:lang w:val="id-ID"/>
        </w:rPr>
      </w:pPr>
      <w:r w:rsidRPr="002E32E7">
        <w:rPr>
          <w:rFonts w:ascii="Times New Roman" w:hAnsi="Times New Roman"/>
          <w:color w:val="000000"/>
          <w:sz w:val="24"/>
          <w:szCs w:val="24"/>
          <w:lang w:val="id-ID"/>
        </w:rPr>
        <w:t>In the transportation and logistics sector, stock price movements are also influenced by factors such as fuel prices, regulatory changes, and technological advancements in logistics management. However, fundamental financial performance indicators remain ess</w:t>
      </w:r>
      <w:r>
        <w:rPr>
          <w:rFonts w:ascii="Times New Roman" w:hAnsi="Times New Roman"/>
          <w:color w:val="000000"/>
          <w:sz w:val="24"/>
          <w:szCs w:val="24"/>
          <w:lang w:val="id-ID"/>
        </w:rPr>
        <w:t>ential for long-term valuation.</w:t>
      </w:r>
    </w:p>
    <w:p w14:paraId="089EB93A" w14:textId="77777777" w:rsidR="002E32E7" w:rsidRPr="002E32E7" w:rsidRDefault="002E32E7" w:rsidP="002E32E7">
      <w:pPr>
        <w:pStyle w:val="ListParagraph"/>
        <w:tabs>
          <w:tab w:val="left" w:pos="0"/>
        </w:tabs>
        <w:ind w:left="0" w:right="68"/>
        <w:rPr>
          <w:rFonts w:ascii="Times New Roman" w:hAnsi="Times New Roman"/>
          <w:b/>
          <w:color w:val="000000"/>
          <w:sz w:val="24"/>
          <w:szCs w:val="24"/>
          <w:lang w:val="id-ID"/>
        </w:rPr>
      </w:pPr>
      <w:r w:rsidRPr="002E32E7">
        <w:rPr>
          <w:rFonts w:ascii="Times New Roman" w:hAnsi="Times New Roman"/>
          <w:b/>
          <w:color w:val="000000"/>
          <w:sz w:val="24"/>
          <w:szCs w:val="24"/>
          <w:lang w:val="id-ID"/>
        </w:rPr>
        <w:t>D. Theoretical Framework</w:t>
      </w:r>
    </w:p>
    <w:p w14:paraId="1721B67C" w14:textId="43C13568" w:rsidR="002E32E7" w:rsidRPr="002E32E7" w:rsidRDefault="002E32E7" w:rsidP="002E32E7">
      <w:pPr>
        <w:pStyle w:val="ListParagraph"/>
        <w:tabs>
          <w:tab w:val="left" w:pos="0"/>
        </w:tabs>
        <w:ind w:left="0" w:right="68" w:firstLine="567"/>
        <w:jc w:val="both"/>
        <w:rPr>
          <w:rFonts w:ascii="Times New Roman" w:hAnsi="Times New Roman"/>
          <w:color w:val="000000"/>
          <w:sz w:val="24"/>
          <w:szCs w:val="24"/>
          <w:lang w:val="id-ID"/>
        </w:rPr>
      </w:pPr>
      <w:r w:rsidRPr="002E32E7">
        <w:rPr>
          <w:rFonts w:ascii="Times New Roman" w:hAnsi="Times New Roman"/>
          <w:color w:val="000000"/>
          <w:sz w:val="24"/>
          <w:szCs w:val="24"/>
          <w:lang w:val="id-ID"/>
        </w:rPr>
        <w:t xml:space="preserve">This study is grounded in the Signaling Theory, which suggests that companies send signals to investors through financial disclosures, such as profitability ratios, to reduce information asymmetry in the market (Spence, 1973). ROA and ROE serve as signals of firm performance, which investors interpret to assess a firm’s future prospects. The better the signal </w:t>
      </w:r>
      <w:r w:rsidRPr="002E32E7">
        <w:rPr>
          <w:rFonts w:ascii="Times New Roman" w:hAnsi="Times New Roman"/>
          <w:color w:val="000000"/>
          <w:sz w:val="24"/>
          <w:szCs w:val="24"/>
          <w:lang w:val="id-ID"/>
        </w:rPr>
        <w:lastRenderedPageBreak/>
        <w:t>(i.e., higher profitability), the more likely investors will respond positively, driving up the firm’s stock price.</w:t>
      </w:r>
    </w:p>
    <w:p w14:paraId="7342DA7C" w14:textId="0FEEA81E" w:rsidR="002E32E7" w:rsidRPr="002E32E7" w:rsidRDefault="002E32E7" w:rsidP="002E32E7">
      <w:pPr>
        <w:pStyle w:val="ListParagraph"/>
        <w:tabs>
          <w:tab w:val="left" w:pos="0"/>
        </w:tabs>
        <w:ind w:left="0" w:right="68" w:firstLine="567"/>
        <w:jc w:val="both"/>
        <w:rPr>
          <w:rFonts w:ascii="Times New Roman" w:hAnsi="Times New Roman"/>
          <w:color w:val="000000"/>
          <w:sz w:val="24"/>
          <w:szCs w:val="24"/>
          <w:lang w:val="id-ID"/>
        </w:rPr>
      </w:pPr>
      <w:r w:rsidRPr="002E32E7">
        <w:rPr>
          <w:rFonts w:ascii="Times New Roman" w:hAnsi="Times New Roman"/>
          <w:color w:val="000000"/>
          <w:sz w:val="24"/>
          <w:szCs w:val="24"/>
          <w:lang w:val="id-ID"/>
        </w:rPr>
        <w:t>Furthermore, the study also adopts the Efficient Market Hypothesis (EMH), which posits that stock prices fully reflect all available information, including financial indicators like ROA and ROE. In a semi-strong form efficient market, any publicly available financial performance metric should be quickly incorporated into a company’s stock pric</w:t>
      </w:r>
      <w:r>
        <w:rPr>
          <w:rFonts w:ascii="Times New Roman" w:hAnsi="Times New Roman"/>
          <w:color w:val="000000"/>
          <w:sz w:val="24"/>
          <w:szCs w:val="24"/>
          <w:lang w:val="id-ID"/>
        </w:rPr>
        <w:t>e (Fama, 1970).</w:t>
      </w:r>
    </w:p>
    <w:p w14:paraId="66C4B437" w14:textId="77777777" w:rsidR="002E32E7" w:rsidRPr="002E32E7" w:rsidRDefault="002E32E7" w:rsidP="002E32E7">
      <w:pPr>
        <w:pStyle w:val="ListParagraph"/>
        <w:tabs>
          <w:tab w:val="left" w:pos="0"/>
        </w:tabs>
        <w:ind w:left="0" w:right="68"/>
        <w:rPr>
          <w:rFonts w:ascii="Times New Roman" w:hAnsi="Times New Roman"/>
          <w:b/>
          <w:color w:val="000000"/>
          <w:sz w:val="24"/>
          <w:szCs w:val="24"/>
          <w:lang w:val="id-ID"/>
        </w:rPr>
      </w:pPr>
      <w:r w:rsidRPr="002E32E7">
        <w:rPr>
          <w:rFonts w:ascii="Times New Roman" w:hAnsi="Times New Roman"/>
          <w:b/>
          <w:color w:val="000000"/>
          <w:sz w:val="24"/>
          <w:szCs w:val="24"/>
          <w:lang w:val="id-ID"/>
        </w:rPr>
        <w:t>E. Previous Studies</w:t>
      </w:r>
    </w:p>
    <w:p w14:paraId="4C550DC4" w14:textId="09C02B98" w:rsidR="002E32E7" w:rsidRPr="002E32E7" w:rsidRDefault="002E32E7" w:rsidP="002E32E7">
      <w:pPr>
        <w:pStyle w:val="ListParagraph"/>
        <w:tabs>
          <w:tab w:val="left" w:pos="0"/>
        </w:tabs>
        <w:ind w:left="0" w:right="68" w:firstLine="567"/>
        <w:jc w:val="both"/>
        <w:rPr>
          <w:rFonts w:ascii="Times New Roman" w:hAnsi="Times New Roman"/>
          <w:color w:val="000000"/>
          <w:sz w:val="24"/>
          <w:szCs w:val="24"/>
          <w:lang w:val="id-ID"/>
        </w:rPr>
      </w:pPr>
      <w:r w:rsidRPr="002E32E7">
        <w:rPr>
          <w:rFonts w:ascii="Times New Roman" w:hAnsi="Times New Roman"/>
          <w:color w:val="000000"/>
          <w:sz w:val="24"/>
          <w:szCs w:val="24"/>
          <w:lang w:val="id-ID"/>
        </w:rPr>
        <w:t>Multiple studies have been conducted to examine the relationship between profitability and stock prices. Darmawan (2022) reported that ROA and ROE had significant effects on stock prices in the industrial sector. Arifiani (2019) focused on telecommunication firms and found ROA to be significantly related to stock prices, while ROE’s impact was relatively weaker. Meanwhile, Jannah (2020) revealed a simultaneous effect of ROA, ROE, and EPS on stock prices in the food and b</w:t>
      </w:r>
      <w:r>
        <w:rPr>
          <w:rFonts w:ascii="Times New Roman" w:hAnsi="Times New Roman"/>
          <w:color w:val="000000"/>
          <w:sz w:val="24"/>
          <w:szCs w:val="24"/>
          <w:lang w:val="id-ID"/>
        </w:rPr>
        <w:t>everage sector.</w:t>
      </w:r>
    </w:p>
    <w:p w14:paraId="3613A97B" w14:textId="6285E089" w:rsidR="002F5318" w:rsidRDefault="002E32E7" w:rsidP="002E32E7">
      <w:pPr>
        <w:pStyle w:val="ListParagraph"/>
        <w:tabs>
          <w:tab w:val="left" w:pos="0"/>
        </w:tabs>
        <w:spacing w:after="0" w:line="240" w:lineRule="auto"/>
        <w:ind w:left="0" w:right="68" w:firstLine="567"/>
        <w:jc w:val="both"/>
        <w:rPr>
          <w:color w:val="000000"/>
        </w:rPr>
      </w:pPr>
      <w:r w:rsidRPr="002E32E7">
        <w:rPr>
          <w:rFonts w:ascii="Times New Roman" w:hAnsi="Times New Roman"/>
          <w:color w:val="000000"/>
          <w:sz w:val="24"/>
          <w:szCs w:val="24"/>
          <w:lang w:val="id-ID"/>
        </w:rPr>
        <w:t>Although most studies confirm the relevance of profitability ratios in stock price formation, the degree of influence varies depending on the industry, financial structure, and market conditions. Consequently, the transportation and logistics sector, characterized by capital-intensive operations, presents an interesting case for further investigation.</w:t>
      </w:r>
      <w:r>
        <w:rPr>
          <w:rFonts w:ascii="Times New Roman" w:hAnsi="Times New Roman"/>
          <w:color w:val="000000"/>
          <w:sz w:val="24"/>
          <w:szCs w:val="24"/>
          <w:lang w:val="id-ID"/>
        </w:rPr>
        <w:t xml:space="preserve"> </w:t>
      </w:r>
    </w:p>
    <w:p w14:paraId="2B59B611" w14:textId="77777777" w:rsidR="002F5318" w:rsidRDefault="002F5318">
      <w:pPr>
        <w:spacing w:after="120"/>
        <w:rPr>
          <w:rFonts w:ascii="Times New Roman" w:hAnsi="Times New Roman"/>
          <w:sz w:val="24"/>
          <w:lang w:val="id-ID"/>
        </w:rPr>
      </w:pPr>
    </w:p>
    <w:p w14:paraId="2BAA709C" w14:textId="672409A5" w:rsidR="002F5318" w:rsidRDefault="00DD4F5D">
      <w:pPr>
        <w:pStyle w:val="Heading1"/>
        <w:numPr>
          <w:ilvl w:val="0"/>
          <w:numId w:val="4"/>
        </w:numPr>
        <w:ind w:left="426" w:hanging="426"/>
      </w:pPr>
      <w:r>
        <w:rPr>
          <w:rFonts w:ascii="Times New Roman" w:hAnsi="Times New Roman" w:cs="Times New Roman"/>
          <w:bCs/>
          <w:sz w:val="24"/>
          <w:szCs w:val="24"/>
          <w:lang w:val="id-ID"/>
        </w:rPr>
        <w:t>RESEARCH METHODOLOGY</w:t>
      </w:r>
      <w:r>
        <w:rPr>
          <w:rFonts w:ascii="Times New Roman" w:hAnsi="Times New Roman" w:cs="Times New Roman"/>
          <w:b w:val="0"/>
          <w:sz w:val="24"/>
          <w:szCs w:val="24"/>
          <w:lang w:val="id-ID"/>
        </w:rPr>
        <w:t xml:space="preserve"> </w:t>
      </w:r>
    </w:p>
    <w:p w14:paraId="121534F9" w14:textId="77777777" w:rsidR="002E32E7" w:rsidRPr="002E32E7" w:rsidRDefault="002E32E7" w:rsidP="002E32E7">
      <w:pPr>
        <w:spacing w:after="120"/>
        <w:rPr>
          <w:rFonts w:ascii="Times New Roman" w:hAnsi="Times New Roman"/>
          <w:b/>
          <w:color w:val="000000"/>
          <w:sz w:val="24"/>
          <w:lang w:val="id-ID"/>
        </w:rPr>
      </w:pPr>
      <w:r w:rsidRPr="002E32E7">
        <w:rPr>
          <w:rFonts w:ascii="Times New Roman" w:hAnsi="Times New Roman"/>
          <w:b/>
          <w:color w:val="000000"/>
          <w:sz w:val="24"/>
          <w:lang w:val="id-ID"/>
        </w:rPr>
        <w:t>A. Research Design</w:t>
      </w:r>
    </w:p>
    <w:p w14:paraId="10DFD617" w14:textId="4FDCE222" w:rsidR="002E32E7" w:rsidRPr="002E32E7" w:rsidRDefault="002E32E7" w:rsidP="002E32E7">
      <w:pPr>
        <w:spacing w:after="120"/>
        <w:ind w:firstLine="454"/>
        <w:rPr>
          <w:rFonts w:ascii="Times New Roman" w:hAnsi="Times New Roman"/>
          <w:color w:val="000000"/>
          <w:sz w:val="24"/>
          <w:lang w:val="id-ID"/>
        </w:rPr>
      </w:pPr>
      <w:r w:rsidRPr="002E32E7">
        <w:rPr>
          <w:rFonts w:ascii="Times New Roman" w:hAnsi="Times New Roman"/>
          <w:color w:val="000000"/>
          <w:sz w:val="24"/>
          <w:lang w:val="id-ID"/>
        </w:rPr>
        <w:t>This study employs a quantitative research design with a causal-comparative approach. The objective is to investigate the extent to which two financial performance variables—Return on Assets (ROA) and Return on Equity (ROE)—influence stock prices among firms in the transportation and logistics sector listed on the Indonesia Stock Exchange (IDX) during the 2018–2022 period. Quantitative data analysis enables the researcher to test hypotheses using statistical techniques and to generalize findings within the defin</w:t>
      </w:r>
      <w:r>
        <w:rPr>
          <w:rFonts w:ascii="Times New Roman" w:hAnsi="Times New Roman"/>
          <w:color w:val="000000"/>
          <w:sz w:val="24"/>
          <w:lang w:val="id-ID"/>
        </w:rPr>
        <w:t>ed population (Sugiyono, 2019).</w:t>
      </w:r>
    </w:p>
    <w:p w14:paraId="7624F8BC" w14:textId="77777777" w:rsidR="002E32E7" w:rsidRPr="002E32E7" w:rsidRDefault="002E32E7" w:rsidP="002E32E7">
      <w:pPr>
        <w:spacing w:after="120"/>
        <w:rPr>
          <w:rFonts w:ascii="Times New Roman" w:hAnsi="Times New Roman"/>
          <w:b/>
          <w:color w:val="000000"/>
          <w:sz w:val="24"/>
          <w:lang w:val="id-ID"/>
        </w:rPr>
      </w:pPr>
      <w:r w:rsidRPr="002E32E7">
        <w:rPr>
          <w:rFonts w:ascii="Times New Roman" w:hAnsi="Times New Roman"/>
          <w:b/>
          <w:color w:val="000000"/>
          <w:sz w:val="24"/>
          <w:lang w:val="id-ID"/>
        </w:rPr>
        <w:t>B. Data Source and Collection Method</w:t>
      </w:r>
    </w:p>
    <w:p w14:paraId="28A817AF" w14:textId="024D88A3" w:rsidR="002E32E7" w:rsidRPr="002E32E7" w:rsidRDefault="002E32E7" w:rsidP="002E32E7">
      <w:pPr>
        <w:spacing w:after="120"/>
        <w:ind w:firstLine="454"/>
        <w:rPr>
          <w:rFonts w:ascii="Times New Roman" w:hAnsi="Times New Roman"/>
          <w:color w:val="000000"/>
          <w:sz w:val="24"/>
          <w:lang w:val="id-ID"/>
        </w:rPr>
      </w:pPr>
      <w:r w:rsidRPr="002E32E7">
        <w:rPr>
          <w:rFonts w:ascii="Times New Roman" w:hAnsi="Times New Roman"/>
          <w:color w:val="000000"/>
          <w:sz w:val="24"/>
          <w:lang w:val="id-ID"/>
        </w:rPr>
        <w:t>The study utilizes secondary data sourced from the audited annual financial reports of selected companies available on the official IDX website (www.idx.co.id). These documents provide numerical data on ROA, ROE, and stock prices over a five-year period. The data collection technique is documentation analysis, which involves systematically retrieving, organizing, and interpreting archived data rele</w:t>
      </w:r>
      <w:r>
        <w:rPr>
          <w:rFonts w:ascii="Times New Roman" w:hAnsi="Times New Roman"/>
          <w:color w:val="000000"/>
          <w:sz w:val="24"/>
          <w:lang w:val="id-ID"/>
        </w:rPr>
        <w:t>vant to the research variables.</w:t>
      </w:r>
    </w:p>
    <w:p w14:paraId="53A15F34" w14:textId="77777777" w:rsidR="002E32E7" w:rsidRPr="002E32E7" w:rsidRDefault="002E32E7" w:rsidP="002E32E7">
      <w:pPr>
        <w:spacing w:after="120"/>
        <w:rPr>
          <w:rFonts w:ascii="Times New Roman" w:hAnsi="Times New Roman"/>
          <w:b/>
          <w:color w:val="000000"/>
          <w:sz w:val="24"/>
          <w:lang w:val="id-ID"/>
        </w:rPr>
      </w:pPr>
      <w:r w:rsidRPr="002E32E7">
        <w:rPr>
          <w:rFonts w:ascii="Times New Roman" w:hAnsi="Times New Roman"/>
          <w:b/>
          <w:color w:val="000000"/>
          <w:sz w:val="24"/>
          <w:lang w:val="id-ID"/>
        </w:rPr>
        <w:t>C. Population and Sampling</w:t>
      </w:r>
    </w:p>
    <w:p w14:paraId="2F58884C" w14:textId="6BDBCDAD" w:rsidR="002E32E7" w:rsidRPr="002E32E7" w:rsidRDefault="002E32E7" w:rsidP="00025096">
      <w:pPr>
        <w:spacing w:after="120"/>
        <w:ind w:firstLine="454"/>
        <w:rPr>
          <w:rFonts w:ascii="Times New Roman" w:hAnsi="Times New Roman"/>
          <w:color w:val="000000"/>
          <w:sz w:val="24"/>
          <w:lang w:val="id-ID"/>
        </w:rPr>
      </w:pPr>
      <w:r w:rsidRPr="002E32E7">
        <w:rPr>
          <w:rFonts w:ascii="Times New Roman" w:hAnsi="Times New Roman"/>
          <w:color w:val="000000"/>
          <w:sz w:val="24"/>
          <w:lang w:val="id-ID"/>
        </w:rPr>
        <w:t>The population in this study includes all transportation and logistics companies listed on the IDX between 2018 and 2022, totaling 35 firms. A purposive sampling technique is applied to select companies that meet th</w:t>
      </w:r>
      <w:r w:rsidR="00025096">
        <w:rPr>
          <w:rFonts w:ascii="Times New Roman" w:hAnsi="Times New Roman"/>
          <w:color w:val="000000"/>
          <w:sz w:val="24"/>
          <w:lang w:val="id-ID"/>
        </w:rPr>
        <w:t>e following inclusion criteria:</w:t>
      </w:r>
    </w:p>
    <w:p w14:paraId="0B471113" w14:textId="27455E5F" w:rsidR="002E32E7" w:rsidRPr="00025096" w:rsidRDefault="002E32E7" w:rsidP="00025096">
      <w:pPr>
        <w:pStyle w:val="ListParagraph"/>
        <w:numPr>
          <w:ilvl w:val="0"/>
          <w:numId w:val="6"/>
        </w:numPr>
        <w:spacing w:after="120"/>
        <w:ind w:left="709" w:hanging="283"/>
        <w:rPr>
          <w:rFonts w:ascii="Times New Roman" w:hAnsi="Times New Roman"/>
          <w:color w:val="000000"/>
          <w:sz w:val="24"/>
          <w:lang w:val="id-ID"/>
        </w:rPr>
      </w:pPr>
      <w:r w:rsidRPr="00025096">
        <w:rPr>
          <w:rFonts w:ascii="Times New Roman" w:hAnsi="Times New Roman"/>
          <w:color w:val="000000"/>
          <w:sz w:val="24"/>
          <w:lang w:val="id-ID"/>
        </w:rPr>
        <w:t>Complete annual financial reports are available f</w:t>
      </w:r>
      <w:r w:rsidR="00025096" w:rsidRPr="00025096">
        <w:rPr>
          <w:rFonts w:ascii="Times New Roman" w:hAnsi="Times New Roman"/>
          <w:color w:val="000000"/>
          <w:sz w:val="24"/>
          <w:lang w:val="id-ID"/>
        </w:rPr>
        <w:t>or the entire 2018–2022 period.</w:t>
      </w:r>
    </w:p>
    <w:p w14:paraId="4288F164" w14:textId="4ADBC6E2" w:rsidR="002E32E7" w:rsidRPr="00025096" w:rsidRDefault="002E32E7" w:rsidP="00025096">
      <w:pPr>
        <w:pStyle w:val="ListParagraph"/>
        <w:numPr>
          <w:ilvl w:val="0"/>
          <w:numId w:val="6"/>
        </w:numPr>
        <w:spacing w:after="120"/>
        <w:ind w:left="709" w:hanging="283"/>
        <w:rPr>
          <w:rFonts w:ascii="Times New Roman" w:hAnsi="Times New Roman"/>
          <w:color w:val="000000"/>
          <w:sz w:val="24"/>
          <w:lang w:val="id-ID"/>
        </w:rPr>
      </w:pPr>
      <w:r w:rsidRPr="00025096">
        <w:rPr>
          <w:rFonts w:ascii="Times New Roman" w:hAnsi="Times New Roman"/>
          <w:color w:val="000000"/>
          <w:sz w:val="24"/>
          <w:lang w:val="id-ID"/>
        </w:rPr>
        <w:t>Consistent data reporting on ROA, ROE, and stock prices.</w:t>
      </w:r>
    </w:p>
    <w:p w14:paraId="3A4F9259" w14:textId="2A581403" w:rsidR="002E32E7" w:rsidRPr="002E32E7" w:rsidRDefault="002E32E7" w:rsidP="00025096">
      <w:pPr>
        <w:spacing w:after="120"/>
        <w:ind w:firstLine="454"/>
        <w:rPr>
          <w:rFonts w:ascii="Times New Roman" w:hAnsi="Times New Roman"/>
          <w:color w:val="000000"/>
          <w:sz w:val="24"/>
          <w:lang w:val="id-ID"/>
        </w:rPr>
      </w:pPr>
      <w:r w:rsidRPr="002E32E7">
        <w:rPr>
          <w:rFonts w:ascii="Times New Roman" w:hAnsi="Times New Roman"/>
          <w:color w:val="000000"/>
          <w:sz w:val="24"/>
          <w:lang w:val="id-ID"/>
        </w:rPr>
        <w:t>Based on these criteria, eight companies were selected as the research sample, resulting in 40 observ</w:t>
      </w:r>
      <w:r w:rsidR="00025096">
        <w:rPr>
          <w:rFonts w:ascii="Times New Roman" w:hAnsi="Times New Roman"/>
          <w:color w:val="000000"/>
          <w:sz w:val="24"/>
          <w:lang w:val="id-ID"/>
        </w:rPr>
        <w:t>ations (8 companies × 5 years).</w:t>
      </w:r>
    </w:p>
    <w:p w14:paraId="19AE38FA" w14:textId="77777777" w:rsidR="002E32E7" w:rsidRPr="00025096" w:rsidRDefault="002E32E7" w:rsidP="00025096">
      <w:pPr>
        <w:spacing w:after="120"/>
        <w:rPr>
          <w:rFonts w:ascii="Times New Roman" w:hAnsi="Times New Roman"/>
          <w:b/>
          <w:color w:val="000000"/>
          <w:sz w:val="24"/>
          <w:lang w:val="id-ID"/>
        </w:rPr>
      </w:pPr>
      <w:r w:rsidRPr="00025096">
        <w:rPr>
          <w:rFonts w:ascii="Times New Roman" w:hAnsi="Times New Roman"/>
          <w:b/>
          <w:color w:val="000000"/>
          <w:sz w:val="24"/>
          <w:lang w:val="id-ID"/>
        </w:rPr>
        <w:t>D. Variables and Operational Definitions</w:t>
      </w:r>
    </w:p>
    <w:p w14:paraId="7F00172B" w14:textId="16EBB228" w:rsidR="002E32E7" w:rsidRPr="002E32E7" w:rsidRDefault="002E32E7" w:rsidP="00025096">
      <w:pPr>
        <w:spacing w:after="120"/>
        <w:ind w:firstLine="454"/>
        <w:rPr>
          <w:rFonts w:ascii="Times New Roman" w:hAnsi="Times New Roman"/>
          <w:color w:val="000000"/>
          <w:sz w:val="24"/>
          <w:lang w:val="id-ID"/>
        </w:rPr>
      </w:pPr>
      <w:r w:rsidRPr="002E32E7">
        <w:rPr>
          <w:rFonts w:ascii="Times New Roman" w:hAnsi="Times New Roman"/>
          <w:color w:val="000000"/>
          <w:sz w:val="24"/>
          <w:lang w:val="id-ID"/>
        </w:rPr>
        <w:lastRenderedPageBreak/>
        <w:t>This research consists of two independent variab</w:t>
      </w:r>
      <w:r w:rsidR="00025096">
        <w:rPr>
          <w:rFonts w:ascii="Times New Roman" w:hAnsi="Times New Roman"/>
          <w:color w:val="000000"/>
          <w:sz w:val="24"/>
          <w:lang w:val="id-ID"/>
        </w:rPr>
        <w:t>les and one dependent variable:</w:t>
      </w:r>
    </w:p>
    <w:p w14:paraId="426C0AB7" w14:textId="6B1E71E2" w:rsidR="002E32E7" w:rsidRPr="002E32E7" w:rsidRDefault="00025096" w:rsidP="00025096">
      <w:pPr>
        <w:spacing w:after="120"/>
        <w:ind w:firstLine="454"/>
        <w:rPr>
          <w:rFonts w:ascii="Times New Roman" w:hAnsi="Times New Roman"/>
          <w:color w:val="000000"/>
          <w:sz w:val="24"/>
          <w:lang w:val="id-ID"/>
        </w:rPr>
      </w:pPr>
      <w:r>
        <w:rPr>
          <w:rFonts w:ascii="Times New Roman" w:hAnsi="Times New Roman"/>
          <w:color w:val="000000"/>
          <w:sz w:val="24"/>
          <w:lang w:val="id-ID"/>
        </w:rPr>
        <w:t>Independent Variables:</w:t>
      </w:r>
    </w:p>
    <w:p w14:paraId="54AA7412" w14:textId="2CF14E46" w:rsidR="002E32E7" w:rsidRPr="00517445" w:rsidRDefault="002E32E7" w:rsidP="00517445">
      <w:pPr>
        <w:pStyle w:val="ListParagraph"/>
        <w:numPr>
          <w:ilvl w:val="0"/>
          <w:numId w:val="7"/>
        </w:numPr>
        <w:spacing w:after="120"/>
        <w:rPr>
          <w:rFonts w:ascii="Times New Roman" w:hAnsi="Times New Roman"/>
          <w:color w:val="000000"/>
          <w:sz w:val="24"/>
          <w:lang w:val="id-ID"/>
        </w:rPr>
      </w:pPr>
      <w:r w:rsidRPr="00025096">
        <w:rPr>
          <w:rFonts w:ascii="Times New Roman" w:hAnsi="Times New Roman"/>
          <w:color w:val="000000"/>
          <w:sz w:val="24"/>
          <w:lang w:val="id-ID"/>
        </w:rPr>
        <w:t>Return on Assets (ROA): A profitability ratio measuring net income after tax as a percentage of total assets.</w:t>
      </w:r>
      <w:r w:rsidR="00517445">
        <w:rPr>
          <w:rFonts w:ascii="Times New Roman" w:hAnsi="Times New Roman"/>
          <w:color w:val="000000"/>
          <w:sz w:val="24"/>
          <w:lang w:val="id-ID"/>
        </w:rPr>
        <w:t xml:space="preserve"> </w:t>
      </w:r>
      <w:r w:rsidRPr="00517445">
        <w:rPr>
          <w:rFonts w:ascii="Times New Roman" w:hAnsi="Times New Roman"/>
          <w:color w:val="000000"/>
          <w:sz w:val="24"/>
          <w:lang w:val="id-ID"/>
        </w:rPr>
        <w:t>Formula: ROA = (Net Income / Total Assets) × 100%</w:t>
      </w:r>
    </w:p>
    <w:p w14:paraId="2A33B83F" w14:textId="77777777" w:rsidR="002E32E7" w:rsidRPr="002E32E7" w:rsidRDefault="002E32E7" w:rsidP="002E32E7">
      <w:pPr>
        <w:spacing w:after="120"/>
        <w:ind w:firstLine="454"/>
        <w:rPr>
          <w:rFonts w:ascii="Times New Roman" w:hAnsi="Times New Roman"/>
          <w:color w:val="000000"/>
          <w:sz w:val="24"/>
          <w:lang w:val="id-ID"/>
        </w:rPr>
      </w:pPr>
    </w:p>
    <w:p w14:paraId="59E2148D" w14:textId="226460DC" w:rsidR="002E32E7" w:rsidRPr="00517445" w:rsidRDefault="002E32E7" w:rsidP="00517445">
      <w:pPr>
        <w:pStyle w:val="ListParagraph"/>
        <w:numPr>
          <w:ilvl w:val="0"/>
          <w:numId w:val="7"/>
        </w:numPr>
        <w:spacing w:after="120"/>
        <w:rPr>
          <w:rFonts w:ascii="Times New Roman" w:hAnsi="Times New Roman"/>
          <w:color w:val="000000"/>
          <w:sz w:val="24"/>
          <w:lang w:val="id-ID"/>
        </w:rPr>
      </w:pPr>
      <w:r w:rsidRPr="00025096">
        <w:rPr>
          <w:rFonts w:ascii="Times New Roman" w:hAnsi="Times New Roman"/>
          <w:color w:val="000000"/>
          <w:sz w:val="24"/>
          <w:lang w:val="id-ID"/>
        </w:rPr>
        <w:t>Return on Equity (ROE): A financial ratio that calculates the return generated on shareholders’ equity.</w:t>
      </w:r>
      <w:r w:rsidR="00517445">
        <w:rPr>
          <w:rFonts w:ascii="Times New Roman" w:hAnsi="Times New Roman"/>
          <w:color w:val="000000"/>
          <w:sz w:val="24"/>
          <w:lang w:val="id-ID"/>
        </w:rPr>
        <w:t xml:space="preserve"> </w:t>
      </w:r>
      <w:r w:rsidRPr="00517445">
        <w:rPr>
          <w:rFonts w:ascii="Times New Roman" w:hAnsi="Times New Roman"/>
          <w:color w:val="000000"/>
          <w:sz w:val="24"/>
          <w:lang w:val="id-ID"/>
        </w:rPr>
        <w:t>Formula: ROE = (Net Income / Shareholders’ Equity) × 100%</w:t>
      </w:r>
    </w:p>
    <w:p w14:paraId="513B5AC9" w14:textId="77777777" w:rsidR="002E32E7" w:rsidRPr="002E32E7" w:rsidRDefault="002E32E7" w:rsidP="002E32E7">
      <w:pPr>
        <w:spacing w:after="120"/>
        <w:ind w:firstLine="454"/>
        <w:rPr>
          <w:rFonts w:ascii="Times New Roman" w:hAnsi="Times New Roman"/>
          <w:color w:val="000000"/>
          <w:sz w:val="24"/>
          <w:lang w:val="id-ID"/>
        </w:rPr>
      </w:pPr>
    </w:p>
    <w:p w14:paraId="3415E203" w14:textId="1C4AD67D" w:rsidR="002E32E7" w:rsidRPr="002E32E7" w:rsidRDefault="00025096" w:rsidP="00025096">
      <w:pPr>
        <w:spacing w:after="120"/>
        <w:ind w:firstLine="454"/>
        <w:rPr>
          <w:rFonts w:ascii="Times New Roman" w:hAnsi="Times New Roman"/>
          <w:color w:val="000000"/>
          <w:sz w:val="24"/>
          <w:lang w:val="id-ID"/>
        </w:rPr>
      </w:pPr>
      <w:r>
        <w:rPr>
          <w:rFonts w:ascii="Times New Roman" w:hAnsi="Times New Roman"/>
          <w:color w:val="000000"/>
          <w:sz w:val="24"/>
          <w:lang w:val="id-ID"/>
        </w:rPr>
        <w:t xml:space="preserve">Dependent Variable: </w:t>
      </w:r>
      <w:r w:rsidR="002E32E7" w:rsidRPr="002E32E7">
        <w:rPr>
          <w:rFonts w:ascii="Times New Roman" w:hAnsi="Times New Roman"/>
          <w:color w:val="000000"/>
          <w:sz w:val="24"/>
          <w:lang w:val="id-ID"/>
        </w:rPr>
        <w:t>Stock Price: The closing price of each company's stock as reported at the end of each fiscal year.</w:t>
      </w:r>
    </w:p>
    <w:p w14:paraId="468C6129" w14:textId="77777777" w:rsidR="002E32E7" w:rsidRPr="002E32E7" w:rsidRDefault="002E32E7" w:rsidP="002E32E7">
      <w:pPr>
        <w:spacing w:after="120"/>
        <w:ind w:firstLine="454"/>
        <w:rPr>
          <w:rFonts w:ascii="Times New Roman" w:hAnsi="Times New Roman"/>
          <w:color w:val="000000"/>
          <w:sz w:val="24"/>
          <w:lang w:val="id-ID"/>
        </w:rPr>
      </w:pPr>
    </w:p>
    <w:p w14:paraId="12783418" w14:textId="77777777" w:rsidR="002E32E7" w:rsidRPr="00025096" w:rsidRDefault="002E32E7" w:rsidP="00025096">
      <w:pPr>
        <w:spacing w:after="120"/>
        <w:rPr>
          <w:rFonts w:ascii="Times New Roman" w:hAnsi="Times New Roman"/>
          <w:b/>
          <w:color w:val="000000"/>
          <w:sz w:val="24"/>
          <w:lang w:val="id-ID"/>
        </w:rPr>
      </w:pPr>
      <w:r w:rsidRPr="00025096">
        <w:rPr>
          <w:rFonts w:ascii="Times New Roman" w:hAnsi="Times New Roman"/>
          <w:b/>
          <w:color w:val="000000"/>
          <w:sz w:val="24"/>
          <w:lang w:val="id-ID"/>
        </w:rPr>
        <w:t>E. Data Analysis Techniques</w:t>
      </w:r>
    </w:p>
    <w:p w14:paraId="678B0EA2" w14:textId="444E485D" w:rsidR="002E32E7" w:rsidRPr="002E32E7" w:rsidRDefault="002E32E7" w:rsidP="00025096">
      <w:pPr>
        <w:spacing w:after="120"/>
        <w:ind w:firstLine="454"/>
        <w:rPr>
          <w:rFonts w:ascii="Times New Roman" w:hAnsi="Times New Roman"/>
          <w:color w:val="000000"/>
          <w:sz w:val="24"/>
          <w:lang w:val="id-ID"/>
        </w:rPr>
      </w:pPr>
      <w:r w:rsidRPr="002E32E7">
        <w:rPr>
          <w:rFonts w:ascii="Times New Roman" w:hAnsi="Times New Roman"/>
          <w:color w:val="000000"/>
          <w:sz w:val="24"/>
          <w:lang w:val="id-ID"/>
        </w:rPr>
        <w:t>The data analysis is conducted using SPSS version 25 with the fo</w:t>
      </w:r>
      <w:r w:rsidR="00025096">
        <w:rPr>
          <w:rFonts w:ascii="Times New Roman" w:hAnsi="Times New Roman"/>
          <w:color w:val="000000"/>
          <w:sz w:val="24"/>
          <w:lang w:val="id-ID"/>
        </w:rPr>
        <w:t>llowing statistical techniques:</w:t>
      </w:r>
    </w:p>
    <w:p w14:paraId="5CBD5197" w14:textId="77777777" w:rsidR="002E32E7" w:rsidRPr="002E32E7" w:rsidRDefault="002E32E7" w:rsidP="00025096">
      <w:pPr>
        <w:spacing w:after="120"/>
        <w:rPr>
          <w:rFonts w:ascii="Times New Roman" w:hAnsi="Times New Roman"/>
          <w:color w:val="000000"/>
          <w:sz w:val="24"/>
          <w:lang w:val="id-ID"/>
        </w:rPr>
      </w:pPr>
      <w:r w:rsidRPr="002E32E7">
        <w:rPr>
          <w:rFonts w:ascii="Times New Roman" w:hAnsi="Times New Roman"/>
          <w:color w:val="000000"/>
          <w:sz w:val="24"/>
          <w:lang w:val="id-ID"/>
        </w:rPr>
        <w:t>1. Descriptive Statistics</w:t>
      </w:r>
    </w:p>
    <w:p w14:paraId="3F92A998" w14:textId="14038567" w:rsidR="002E32E7" w:rsidRPr="002E32E7" w:rsidRDefault="002E32E7" w:rsidP="00025096">
      <w:pPr>
        <w:spacing w:after="120"/>
        <w:ind w:firstLine="454"/>
        <w:rPr>
          <w:rFonts w:ascii="Times New Roman" w:hAnsi="Times New Roman"/>
          <w:color w:val="000000"/>
          <w:sz w:val="24"/>
          <w:lang w:val="id-ID"/>
        </w:rPr>
      </w:pPr>
      <w:r w:rsidRPr="002E32E7">
        <w:rPr>
          <w:rFonts w:ascii="Times New Roman" w:hAnsi="Times New Roman"/>
          <w:color w:val="000000"/>
          <w:sz w:val="24"/>
          <w:lang w:val="id-ID"/>
        </w:rPr>
        <w:t>Descriptive analysis is used to present the central tendency (mean), dispersion (standard deviation), and the minimum and m</w:t>
      </w:r>
      <w:r w:rsidR="00025096">
        <w:rPr>
          <w:rFonts w:ascii="Times New Roman" w:hAnsi="Times New Roman"/>
          <w:color w:val="000000"/>
          <w:sz w:val="24"/>
          <w:lang w:val="id-ID"/>
        </w:rPr>
        <w:t>aximum values of the variables.</w:t>
      </w:r>
    </w:p>
    <w:p w14:paraId="78810DD9" w14:textId="77777777" w:rsidR="002E32E7" w:rsidRPr="002E32E7" w:rsidRDefault="002E32E7" w:rsidP="00025096">
      <w:pPr>
        <w:spacing w:after="120"/>
        <w:rPr>
          <w:rFonts w:ascii="Times New Roman" w:hAnsi="Times New Roman"/>
          <w:color w:val="000000"/>
          <w:sz w:val="24"/>
          <w:lang w:val="id-ID"/>
        </w:rPr>
      </w:pPr>
      <w:r w:rsidRPr="002E32E7">
        <w:rPr>
          <w:rFonts w:ascii="Times New Roman" w:hAnsi="Times New Roman"/>
          <w:color w:val="000000"/>
          <w:sz w:val="24"/>
          <w:lang w:val="id-ID"/>
        </w:rPr>
        <w:t>2. Classical Assumption Tests</w:t>
      </w:r>
    </w:p>
    <w:p w14:paraId="5167666E" w14:textId="2BAFF224" w:rsidR="002E32E7" w:rsidRPr="002E32E7" w:rsidRDefault="002E32E7" w:rsidP="00025096">
      <w:pPr>
        <w:spacing w:after="120"/>
        <w:ind w:firstLine="454"/>
        <w:rPr>
          <w:rFonts w:ascii="Times New Roman" w:hAnsi="Times New Roman"/>
          <w:color w:val="000000"/>
          <w:sz w:val="24"/>
          <w:lang w:val="id-ID"/>
        </w:rPr>
      </w:pPr>
      <w:r w:rsidRPr="002E32E7">
        <w:rPr>
          <w:rFonts w:ascii="Times New Roman" w:hAnsi="Times New Roman"/>
          <w:color w:val="000000"/>
          <w:sz w:val="24"/>
          <w:lang w:val="id-ID"/>
        </w:rPr>
        <w:t xml:space="preserve">To validate the regression model, several classical </w:t>
      </w:r>
      <w:r w:rsidR="00025096">
        <w:rPr>
          <w:rFonts w:ascii="Times New Roman" w:hAnsi="Times New Roman"/>
          <w:color w:val="000000"/>
          <w:sz w:val="24"/>
          <w:lang w:val="id-ID"/>
        </w:rPr>
        <w:t>assumption tests are performed:</w:t>
      </w:r>
    </w:p>
    <w:p w14:paraId="5C6A174A" w14:textId="4281EE25" w:rsidR="002E32E7" w:rsidRPr="002E32E7" w:rsidRDefault="002E32E7" w:rsidP="00025096">
      <w:pPr>
        <w:spacing w:after="120"/>
        <w:ind w:firstLine="454"/>
        <w:rPr>
          <w:rFonts w:ascii="Times New Roman" w:hAnsi="Times New Roman"/>
          <w:color w:val="000000"/>
          <w:sz w:val="24"/>
          <w:lang w:val="id-ID"/>
        </w:rPr>
      </w:pPr>
      <w:r w:rsidRPr="002E32E7">
        <w:rPr>
          <w:rFonts w:ascii="Times New Roman" w:hAnsi="Times New Roman"/>
          <w:color w:val="000000"/>
          <w:sz w:val="24"/>
          <w:lang w:val="id-ID"/>
        </w:rPr>
        <w:t>Normality Test: Conducted using the Kolmogorov–Smirnov test to assess whether the dat</w:t>
      </w:r>
      <w:r w:rsidR="00025096">
        <w:rPr>
          <w:rFonts w:ascii="Times New Roman" w:hAnsi="Times New Roman"/>
          <w:color w:val="000000"/>
          <w:sz w:val="24"/>
          <w:lang w:val="id-ID"/>
        </w:rPr>
        <w:t xml:space="preserve">a follow a normal distribution. </w:t>
      </w:r>
      <w:r w:rsidRPr="002E32E7">
        <w:rPr>
          <w:rFonts w:ascii="Times New Roman" w:hAnsi="Times New Roman"/>
          <w:color w:val="000000"/>
          <w:sz w:val="24"/>
          <w:lang w:val="id-ID"/>
        </w:rPr>
        <w:t>Multicollinearity Test: Evaluates correlations among independent variables using Variance Inflation Factor (VIF) and tolerance values.</w:t>
      </w:r>
      <w:r w:rsidR="00025096">
        <w:rPr>
          <w:rFonts w:ascii="Times New Roman" w:hAnsi="Times New Roman"/>
          <w:color w:val="000000"/>
          <w:sz w:val="24"/>
          <w:lang w:val="id-ID"/>
        </w:rPr>
        <w:t xml:space="preserve"> </w:t>
      </w:r>
      <w:r w:rsidRPr="002E32E7">
        <w:rPr>
          <w:rFonts w:ascii="Times New Roman" w:hAnsi="Times New Roman"/>
          <w:color w:val="000000"/>
          <w:sz w:val="24"/>
          <w:lang w:val="id-ID"/>
        </w:rPr>
        <w:t>Heteroscedasticity Test: Performed to detect non-constant variance of residuals, ensuring homoscedasticity in the regression model.</w:t>
      </w:r>
    </w:p>
    <w:p w14:paraId="6D0C5D07" w14:textId="77777777" w:rsidR="002E32E7" w:rsidRPr="002E32E7" w:rsidRDefault="002E32E7" w:rsidP="00025096">
      <w:pPr>
        <w:spacing w:after="120"/>
        <w:rPr>
          <w:rFonts w:ascii="Times New Roman" w:hAnsi="Times New Roman"/>
          <w:color w:val="000000"/>
          <w:sz w:val="24"/>
          <w:lang w:val="id-ID"/>
        </w:rPr>
      </w:pPr>
      <w:r w:rsidRPr="002E32E7">
        <w:rPr>
          <w:rFonts w:ascii="Times New Roman" w:hAnsi="Times New Roman"/>
          <w:color w:val="000000"/>
          <w:sz w:val="24"/>
          <w:lang w:val="id-ID"/>
        </w:rPr>
        <w:t>3. Multiple Linear Regression Analysis</w:t>
      </w:r>
    </w:p>
    <w:p w14:paraId="0E59CC02" w14:textId="77777777" w:rsidR="002E32E7" w:rsidRPr="002E32E7" w:rsidRDefault="002E32E7" w:rsidP="002E32E7">
      <w:pPr>
        <w:spacing w:after="120"/>
        <w:ind w:firstLine="454"/>
        <w:rPr>
          <w:rFonts w:ascii="Times New Roman" w:hAnsi="Times New Roman"/>
          <w:color w:val="000000"/>
          <w:sz w:val="24"/>
          <w:lang w:val="id-ID"/>
        </w:rPr>
      </w:pPr>
      <w:r w:rsidRPr="002E32E7">
        <w:rPr>
          <w:rFonts w:ascii="Times New Roman" w:hAnsi="Times New Roman"/>
          <w:color w:val="000000"/>
          <w:sz w:val="24"/>
          <w:lang w:val="id-ID"/>
        </w:rPr>
        <w:t>This method is used to measure the relationship between independent and dependent variables. The regression model is specified as:</w:t>
      </w:r>
    </w:p>
    <w:p w14:paraId="25F422F3" w14:textId="4133D6D6" w:rsidR="002E32E7" w:rsidRPr="00025096" w:rsidRDefault="00025096" w:rsidP="002E32E7">
      <w:pPr>
        <w:spacing w:after="120"/>
        <w:ind w:firstLine="454"/>
        <w:rPr>
          <w:rStyle w:val="mord"/>
          <w:rFonts w:ascii="Times New Roman" w:hAnsi="Times New Roman"/>
          <w:sz w:val="28"/>
          <w:szCs w:val="28"/>
        </w:rPr>
      </w:pPr>
      <m:oMathPara>
        <m:oMath>
          <m:r>
            <m:rPr>
              <m:sty m:val="p"/>
            </m:rPr>
            <w:rPr>
              <w:rStyle w:val="mord"/>
              <w:rFonts w:ascii="Cambria Math" w:hAnsi="Cambria Math"/>
              <w:sz w:val="28"/>
              <w:szCs w:val="28"/>
            </w:rPr>
            <m:t>Y</m:t>
          </m:r>
          <m:r>
            <m:rPr>
              <m:sty m:val="p"/>
            </m:rPr>
            <w:rPr>
              <w:rStyle w:val="mrel"/>
              <w:rFonts w:ascii="Cambria Math" w:hAnsi="Cambria Math"/>
              <w:sz w:val="28"/>
              <w:szCs w:val="28"/>
            </w:rPr>
            <m:t>=</m:t>
          </m:r>
          <m:r>
            <m:rPr>
              <m:sty m:val="p"/>
            </m:rPr>
            <w:rPr>
              <w:rStyle w:val="mord"/>
              <w:rFonts w:ascii="Cambria Math" w:hAnsi="Cambria Math"/>
              <w:sz w:val="28"/>
              <w:szCs w:val="28"/>
            </w:rPr>
            <m:t>α</m:t>
          </m:r>
          <m:r>
            <m:rPr>
              <m:sty m:val="p"/>
            </m:rPr>
            <w:rPr>
              <w:rStyle w:val="mbin"/>
              <w:rFonts w:ascii="Cambria Math" w:hAnsi="Cambria Math"/>
              <w:sz w:val="28"/>
              <w:szCs w:val="28"/>
            </w:rPr>
            <m:t>+</m:t>
          </m:r>
          <m:r>
            <m:rPr>
              <m:sty m:val="p"/>
            </m:rPr>
            <w:rPr>
              <w:rStyle w:val="mord"/>
              <w:rFonts w:ascii="Cambria Math" w:hAnsi="Cambria Math"/>
              <w:sz w:val="28"/>
              <w:szCs w:val="28"/>
            </w:rPr>
            <m:t>β1</m:t>
          </m:r>
          <m:r>
            <m:rPr>
              <m:sty m:val="p"/>
            </m:rPr>
            <w:rPr>
              <w:rStyle w:val="vlist-s"/>
              <w:rFonts w:ascii="Cambria Math" w:hAnsi="Cambria Math"/>
              <w:sz w:val="28"/>
              <w:szCs w:val="28"/>
            </w:rPr>
            <m:t>​</m:t>
          </m:r>
          <m:r>
            <m:rPr>
              <m:sty m:val="p"/>
            </m:rPr>
            <w:rPr>
              <w:rStyle w:val="mord"/>
              <w:rFonts w:ascii="Cambria Math" w:hAnsi="Cambria Math"/>
              <w:sz w:val="28"/>
              <w:szCs w:val="28"/>
            </w:rPr>
            <m:t>X1</m:t>
          </m:r>
          <m:r>
            <m:rPr>
              <m:sty m:val="p"/>
            </m:rPr>
            <w:rPr>
              <w:rStyle w:val="vlist-s"/>
              <w:rFonts w:ascii="Cambria Math" w:hAnsi="Cambria Math"/>
              <w:sz w:val="28"/>
              <w:szCs w:val="28"/>
            </w:rPr>
            <m:t>​</m:t>
          </m:r>
          <m:r>
            <m:rPr>
              <m:sty m:val="p"/>
            </m:rPr>
            <w:rPr>
              <w:rStyle w:val="mbin"/>
              <w:rFonts w:ascii="Cambria Math" w:hAnsi="Cambria Math"/>
              <w:sz w:val="28"/>
              <w:szCs w:val="28"/>
            </w:rPr>
            <m:t>+</m:t>
          </m:r>
          <m:r>
            <m:rPr>
              <m:sty m:val="p"/>
            </m:rPr>
            <w:rPr>
              <w:rStyle w:val="mord"/>
              <w:rFonts w:ascii="Cambria Math" w:hAnsi="Cambria Math"/>
              <w:sz w:val="28"/>
              <w:szCs w:val="28"/>
            </w:rPr>
            <m:t>β2</m:t>
          </m:r>
          <m:r>
            <m:rPr>
              <m:sty m:val="p"/>
            </m:rPr>
            <w:rPr>
              <w:rStyle w:val="vlist-s"/>
              <w:rFonts w:ascii="Cambria Math" w:hAnsi="Cambria Math"/>
              <w:sz w:val="28"/>
              <w:szCs w:val="28"/>
            </w:rPr>
            <m:t>​</m:t>
          </m:r>
          <m:r>
            <m:rPr>
              <m:sty m:val="p"/>
            </m:rPr>
            <w:rPr>
              <w:rStyle w:val="mord"/>
              <w:rFonts w:ascii="Cambria Math" w:hAnsi="Cambria Math"/>
              <w:sz w:val="28"/>
              <w:szCs w:val="28"/>
            </w:rPr>
            <m:t>X2</m:t>
          </m:r>
          <m:r>
            <m:rPr>
              <m:sty m:val="p"/>
            </m:rPr>
            <w:rPr>
              <w:rStyle w:val="vlist-s"/>
              <w:rFonts w:ascii="Cambria Math" w:hAnsi="Cambria Math"/>
              <w:sz w:val="28"/>
              <w:szCs w:val="28"/>
            </w:rPr>
            <m:t>​</m:t>
          </m:r>
          <m:r>
            <m:rPr>
              <m:sty m:val="p"/>
            </m:rPr>
            <w:rPr>
              <w:rStyle w:val="mbin"/>
              <w:rFonts w:ascii="Cambria Math" w:hAnsi="Cambria Math"/>
              <w:sz w:val="28"/>
              <w:szCs w:val="28"/>
            </w:rPr>
            <m:t>+</m:t>
          </m:r>
          <m:r>
            <m:rPr>
              <m:sty m:val="p"/>
            </m:rPr>
            <w:rPr>
              <w:rStyle w:val="mord"/>
              <w:rFonts w:ascii="Cambria Math" w:hAnsi="Cambria Math"/>
              <w:sz w:val="28"/>
              <w:szCs w:val="28"/>
            </w:rPr>
            <m:t>ε</m:t>
          </m:r>
        </m:oMath>
      </m:oMathPara>
    </w:p>
    <w:p w14:paraId="1D7055D0" w14:textId="3AEE52D7" w:rsidR="002E32E7" w:rsidRPr="002E32E7" w:rsidRDefault="00025096" w:rsidP="00025096">
      <w:pPr>
        <w:spacing w:after="120"/>
        <w:ind w:firstLine="454"/>
        <w:rPr>
          <w:rFonts w:ascii="Times New Roman" w:hAnsi="Times New Roman"/>
          <w:color w:val="000000"/>
          <w:sz w:val="24"/>
          <w:lang w:val="id-ID"/>
        </w:rPr>
      </w:pPr>
      <w:r>
        <w:rPr>
          <w:rFonts w:ascii="Times New Roman" w:hAnsi="Times New Roman"/>
          <w:color w:val="000000"/>
          <w:sz w:val="24"/>
          <w:lang w:val="id-ID"/>
        </w:rPr>
        <w:t>Where:</w:t>
      </w:r>
    </w:p>
    <w:p w14:paraId="7998D7F0" w14:textId="77777777" w:rsidR="002E32E7" w:rsidRPr="002E32E7" w:rsidRDefault="002E32E7" w:rsidP="002E32E7">
      <w:pPr>
        <w:spacing w:after="120"/>
        <w:ind w:firstLine="454"/>
        <w:rPr>
          <w:rFonts w:ascii="Times New Roman" w:hAnsi="Times New Roman"/>
          <w:color w:val="000000"/>
          <w:sz w:val="24"/>
          <w:lang w:val="id-ID"/>
        </w:rPr>
      </w:pPr>
      <w:r w:rsidRPr="002E32E7">
        <w:rPr>
          <w:rFonts w:ascii="Times New Roman" w:hAnsi="Times New Roman"/>
          <w:color w:val="000000"/>
          <w:sz w:val="24"/>
          <w:lang w:val="id-ID"/>
        </w:rPr>
        <w:t>Y = Stock Price</w:t>
      </w:r>
    </w:p>
    <w:p w14:paraId="68899C6C" w14:textId="77777777" w:rsidR="002E32E7" w:rsidRPr="002E32E7" w:rsidRDefault="002E32E7" w:rsidP="002E32E7">
      <w:pPr>
        <w:spacing w:after="120"/>
        <w:ind w:firstLine="454"/>
        <w:rPr>
          <w:rFonts w:ascii="Times New Roman" w:hAnsi="Times New Roman"/>
          <w:color w:val="000000"/>
          <w:sz w:val="24"/>
          <w:lang w:val="id-ID"/>
        </w:rPr>
      </w:pPr>
      <w:r w:rsidRPr="002E32E7">
        <w:rPr>
          <w:rFonts w:ascii="Times New Roman" w:hAnsi="Times New Roman"/>
          <w:color w:val="000000"/>
          <w:sz w:val="24"/>
          <w:lang w:val="id-ID"/>
        </w:rPr>
        <w:t>α = Constant</w:t>
      </w:r>
    </w:p>
    <w:p w14:paraId="509C576B" w14:textId="77777777" w:rsidR="00025096" w:rsidRDefault="00025096" w:rsidP="00025096">
      <w:pPr>
        <w:spacing w:after="120"/>
        <w:ind w:firstLine="454"/>
        <w:rPr>
          <w:rFonts w:ascii="Times New Roman" w:hAnsi="Times New Roman"/>
          <w:color w:val="000000"/>
          <w:sz w:val="24"/>
          <w:lang w:val="id-ID"/>
        </w:rPr>
      </w:pPr>
      <w:r>
        <w:rPr>
          <w:rFonts w:ascii="Times New Roman" w:hAnsi="Times New Roman"/>
          <w:color w:val="000000"/>
          <w:sz w:val="24"/>
          <w:lang w:val="id-ID"/>
        </w:rPr>
        <w:t>β1 ,β 2 = Regression Coefficients</w:t>
      </w:r>
    </w:p>
    <w:p w14:paraId="32312FBF" w14:textId="1CDCDCE3" w:rsidR="002E32E7" w:rsidRPr="002E32E7" w:rsidRDefault="00025096" w:rsidP="00025096">
      <w:pPr>
        <w:spacing w:after="120"/>
        <w:ind w:firstLine="454"/>
        <w:rPr>
          <w:rFonts w:ascii="Times New Roman" w:hAnsi="Times New Roman"/>
          <w:color w:val="000000"/>
          <w:sz w:val="24"/>
          <w:lang w:val="id-ID"/>
        </w:rPr>
      </w:pPr>
      <w:r>
        <w:rPr>
          <w:rFonts w:ascii="Times New Roman" w:hAnsi="Times New Roman"/>
          <w:color w:val="000000"/>
          <w:sz w:val="24"/>
          <w:lang w:val="id-ID"/>
        </w:rPr>
        <w:t xml:space="preserve">X 1 </w:t>
      </w:r>
      <w:r w:rsidR="002E32E7" w:rsidRPr="002E32E7">
        <w:rPr>
          <w:rFonts w:ascii="Times New Roman" w:hAnsi="Times New Roman"/>
          <w:color w:val="000000"/>
          <w:sz w:val="24"/>
          <w:lang w:val="id-ID"/>
        </w:rPr>
        <w:t>= ROA</w:t>
      </w:r>
    </w:p>
    <w:p w14:paraId="49147FAD" w14:textId="75839879" w:rsidR="002E32E7" w:rsidRPr="002E32E7" w:rsidRDefault="00025096" w:rsidP="00025096">
      <w:pPr>
        <w:spacing w:after="120"/>
        <w:ind w:firstLine="454"/>
        <w:rPr>
          <w:rFonts w:ascii="Times New Roman" w:hAnsi="Times New Roman"/>
          <w:color w:val="000000"/>
          <w:sz w:val="24"/>
          <w:lang w:val="id-ID"/>
        </w:rPr>
      </w:pPr>
      <w:r>
        <w:rPr>
          <w:rFonts w:ascii="Times New Roman" w:hAnsi="Times New Roman"/>
          <w:color w:val="000000"/>
          <w:sz w:val="24"/>
          <w:lang w:val="id-ID"/>
        </w:rPr>
        <w:t>X 2  = ROE</w:t>
      </w:r>
    </w:p>
    <w:p w14:paraId="3272DB3A" w14:textId="77777777" w:rsidR="002E32E7" w:rsidRPr="002E32E7" w:rsidRDefault="002E32E7" w:rsidP="002E32E7">
      <w:pPr>
        <w:spacing w:after="120"/>
        <w:ind w:firstLine="454"/>
        <w:rPr>
          <w:rFonts w:ascii="Times New Roman" w:hAnsi="Times New Roman"/>
          <w:color w:val="000000"/>
          <w:sz w:val="24"/>
          <w:lang w:val="id-ID"/>
        </w:rPr>
      </w:pPr>
      <w:r w:rsidRPr="002E32E7">
        <w:rPr>
          <w:rFonts w:ascii="Times New Roman" w:hAnsi="Times New Roman"/>
          <w:color w:val="000000"/>
          <w:sz w:val="24"/>
          <w:lang w:val="id-ID"/>
        </w:rPr>
        <w:t>ε = Error Term</w:t>
      </w:r>
    </w:p>
    <w:p w14:paraId="6FCF2329" w14:textId="547D4926" w:rsidR="002E32E7" w:rsidRPr="002E32E7" w:rsidRDefault="002E32E7" w:rsidP="00025096">
      <w:pPr>
        <w:spacing w:after="120"/>
        <w:rPr>
          <w:rFonts w:ascii="Times New Roman" w:hAnsi="Times New Roman"/>
          <w:color w:val="000000"/>
          <w:sz w:val="24"/>
          <w:lang w:val="id-ID"/>
        </w:rPr>
      </w:pPr>
      <w:r w:rsidRPr="002E32E7">
        <w:rPr>
          <w:rFonts w:ascii="Times New Roman" w:hAnsi="Times New Roman"/>
          <w:color w:val="000000"/>
          <w:sz w:val="24"/>
          <w:lang w:val="id-ID"/>
        </w:rPr>
        <w:t>4. Hypothesis Testing</w:t>
      </w:r>
    </w:p>
    <w:p w14:paraId="63D5EA2A" w14:textId="705C8010" w:rsidR="006E5054" w:rsidRDefault="002E32E7" w:rsidP="00025096">
      <w:pPr>
        <w:spacing w:after="120"/>
        <w:ind w:firstLine="454"/>
        <w:rPr>
          <w:color w:val="0070C0"/>
          <w:sz w:val="24"/>
          <w:lang w:val="id-ID"/>
        </w:rPr>
      </w:pPr>
      <w:r w:rsidRPr="002E32E7">
        <w:rPr>
          <w:rFonts w:ascii="Times New Roman" w:hAnsi="Times New Roman"/>
          <w:color w:val="000000"/>
          <w:sz w:val="24"/>
          <w:lang w:val="id-ID"/>
        </w:rPr>
        <w:t>t-test (Partial Test): Examines the individual effect of each independent vari</w:t>
      </w:r>
      <w:r w:rsidR="00025096">
        <w:rPr>
          <w:rFonts w:ascii="Times New Roman" w:hAnsi="Times New Roman"/>
          <w:color w:val="000000"/>
          <w:sz w:val="24"/>
          <w:lang w:val="id-ID"/>
        </w:rPr>
        <w:t xml:space="preserve">able on the dependent variable. </w:t>
      </w:r>
      <w:r w:rsidRPr="002E32E7">
        <w:rPr>
          <w:rFonts w:ascii="Times New Roman" w:hAnsi="Times New Roman"/>
          <w:color w:val="000000"/>
          <w:sz w:val="24"/>
          <w:lang w:val="id-ID"/>
        </w:rPr>
        <w:t xml:space="preserve">F-test (Simultaneous Test): Determines the combined effect of ROA and </w:t>
      </w:r>
      <w:r w:rsidRPr="002E32E7">
        <w:rPr>
          <w:rFonts w:ascii="Times New Roman" w:hAnsi="Times New Roman"/>
          <w:color w:val="000000"/>
          <w:sz w:val="24"/>
          <w:lang w:val="id-ID"/>
        </w:rPr>
        <w:lastRenderedPageBreak/>
        <w:t>ROE on stock prices.</w:t>
      </w:r>
      <w:r w:rsidR="00025096">
        <w:rPr>
          <w:rFonts w:ascii="Times New Roman" w:hAnsi="Times New Roman"/>
          <w:color w:val="000000"/>
          <w:sz w:val="24"/>
          <w:lang w:val="id-ID"/>
        </w:rPr>
        <w:t xml:space="preserve"> </w:t>
      </w:r>
      <w:r w:rsidRPr="002E32E7">
        <w:rPr>
          <w:rFonts w:ascii="Times New Roman" w:hAnsi="Times New Roman"/>
          <w:color w:val="000000"/>
          <w:sz w:val="24"/>
          <w:lang w:val="id-ID"/>
        </w:rPr>
        <w:t>Coefficient of Determination (R²): Measures the proportion of variance in stock price explained by the independent variables.</w:t>
      </w:r>
      <w:r w:rsidR="00025096">
        <w:rPr>
          <w:rFonts w:ascii="Times New Roman" w:hAnsi="Times New Roman"/>
          <w:color w:val="000000"/>
          <w:sz w:val="24"/>
          <w:lang w:val="id-ID"/>
        </w:rPr>
        <w:t xml:space="preserve">  </w:t>
      </w:r>
    </w:p>
    <w:p w14:paraId="6BFC2D2A" w14:textId="076EDC73" w:rsidR="002F5318" w:rsidRDefault="002F5318">
      <w:pPr>
        <w:tabs>
          <w:tab w:val="right" w:pos="5843"/>
        </w:tabs>
        <w:rPr>
          <w:rFonts w:ascii="Times New Roman" w:hAnsi="Times New Roman"/>
          <w:sz w:val="20"/>
          <w:szCs w:val="20"/>
          <w:lang w:val="en-US" w:eastAsia="en-US"/>
        </w:rPr>
      </w:pPr>
    </w:p>
    <w:p w14:paraId="430BCB25" w14:textId="367D1A17" w:rsidR="00517445" w:rsidRDefault="00517445">
      <w:pPr>
        <w:tabs>
          <w:tab w:val="right" w:pos="5843"/>
        </w:tabs>
        <w:rPr>
          <w:rFonts w:ascii="Times New Roman" w:hAnsi="Times New Roman"/>
          <w:sz w:val="20"/>
          <w:szCs w:val="20"/>
          <w:lang w:val="en-US" w:eastAsia="en-US"/>
        </w:rPr>
      </w:pPr>
    </w:p>
    <w:p w14:paraId="785EC16A" w14:textId="662EF046" w:rsidR="00517445" w:rsidRDefault="00517445">
      <w:pPr>
        <w:tabs>
          <w:tab w:val="right" w:pos="5843"/>
        </w:tabs>
        <w:rPr>
          <w:rFonts w:ascii="Times New Roman" w:hAnsi="Times New Roman"/>
          <w:sz w:val="20"/>
          <w:szCs w:val="20"/>
          <w:lang w:val="en-US" w:eastAsia="en-US"/>
        </w:rPr>
      </w:pPr>
    </w:p>
    <w:p w14:paraId="31C49582" w14:textId="5DA85B2A" w:rsidR="00517445" w:rsidRDefault="00517445">
      <w:pPr>
        <w:tabs>
          <w:tab w:val="right" w:pos="5843"/>
        </w:tabs>
        <w:rPr>
          <w:rFonts w:ascii="Times New Roman" w:hAnsi="Times New Roman"/>
          <w:sz w:val="20"/>
          <w:szCs w:val="20"/>
          <w:lang w:val="en-US" w:eastAsia="en-US"/>
        </w:rPr>
      </w:pPr>
    </w:p>
    <w:p w14:paraId="1EBE4A47" w14:textId="77777777" w:rsidR="00517445" w:rsidRDefault="00517445">
      <w:pPr>
        <w:tabs>
          <w:tab w:val="right" w:pos="5843"/>
        </w:tabs>
        <w:rPr>
          <w:rFonts w:ascii="Times New Roman" w:hAnsi="Times New Roman"/>
          <w:sz w:val="24"/>
          <w:lang w:val="id-ID"/>
        </w:rPr>
      </w:pPr>
    </w:p>
    <w:p w14:paraId="419FF047" w14:textId="40DC7AB7" w:rsidR="00025096" w:rsidRPr="00025096" w:rsidRDefault="00DD4F5D" w:rsidP="00025096">
      <w:pPr>
        <w:pStyle w:val="ListParagraph"/>
        <w:numPr>
          <w:ilvl w:val="0"/>
          <w:numId w:val="4"/>
        </w:numPr>
        <w:tabs>
          <w:tab w:val="right" w:pos="5843"/>
        </w:tabs>
        <w:spacing w:after="0" w:line="240" w:lineRule="auto"/>
        <w:ind w:left="426" w:hanging="426"/>
      </w:pPr>
      <w:r>
        <w:rPr>
          <w:rFonts w:ascii="Times New Roman" w:hAnsi="Times New Roman"/>
          <w:b/>
          <w:sz w:val="24"/>
          <w:lang w:val="id-ID"/>
        </w:rPr>
        <w:t>RESULT AND DISCUSSION</w:t>
      </w:r>
    </w:p>
    <w:p w14:paraId="2FD1A2D8" w14:textId="77777777" w:rsidR="00025096" w:rsidRPr="00025096" w:rsidRDefault="00025096" w:rsidP="00025096">
      <w:pPr>
        <w:tabs>
          <w:tab w:val="right" w:pos="5843"/>
        </w:tabs>
        <w:rPr>
          <w:rFonts w:ascii="Times New Roman" w:hAnsi="Times New Roman"/>
          <w:b/>
          <w:color w:val="000000"/>
          <w:sz w:val="24"/>
        </w:rPr>
      </w:pPr>
      <w:r w:rsidRPr="00025096">
        <w:rPr>
          <w:rFonts w:ascii="Times New Roman" w:hAnsi="Times New Roman"/>
          <w:b/>
          <w:color w:val="000000"/>
          <w:sz w:val="24"/>
        </w:rPr>
        <w:t>A. Descriptive Statistics</w:t>
      </w:r>
    </w:p>
    <w:p w14:paraId="5CE8EAD0" w14:textId="7414223E" w:rsidR="00025096" w:rsidRPr="00025096" w:rsidRDefault="00025096" w:rsidP="00025096">
      <w:pPr>
        <w:pStyle w:val="ListParagraph"/>
        <w:tabs>
          <w:tab w:val="right" w:pos="5843"/>
        </w:tabs>
        <w:ind w:left="0" w:firstLine="454"/>
        <w:jc w:val="both"/>
        <w:rPr>
          <w:rFonts w:ascii="Times New Roman" w:hAnsi="Times New Roman"/>
          <w:color w:val="000000"/>
          <w:sz w:val="24"/>
        </w:rPr>
      </w:pPr>
      <w:r w:rsidRPr="00025096">
        <w:rPr>
          <w:rFonts w:ascii="Times New Roman" w:hAnsi="Times New Roman"/>
          <w:color w:val="000000"/>
          <w:sz w:val="24"/>
        </w:rPr>
        <w:t>Descriptive statistical analysis was conducted to observe the characteristics of each variable. Based on the sample of 40 firm-year observatio</w:t>
      </w:r>
      <w:r>
        <w:rPr>
          <w:rFonts w:ascii="Times New Roman" w:hAnsi="Times New Roman"/>
          <w:color w:val="000000"/>
          <w:sz w:val="24"/>
        </w:rPr>
        <w:t>ns, the results are as follows:</w:t>
      </w:r>
    </w:p>
    <w:p w14:paraId="53B33B02" w14:textId="3D14B296" w:rsidR="00025096" w:rsidRPr="00025096" w:rsidRDefault="00025096" w:rsidP="00025096">
      <w:pPr>
        <w:pStyle w:val="ListParagraph"/>
        <w:tabs>
          <w:tab w:val="right" w:pos="5843"/>
        </w:tabs>
        <w:ind w:left="0" w:firstLine="454"/>
        <w:jc w:val="both"/>
        <w:rPr>
          <w:rFonts w:ascii="Times New Roman" w:hAnsi="Times New Roman"/>
          <w:color w:val="000000"/>
          <w:sz w:val="24"/>
        </w:rPr>
      </w:pPr>
      <w:r w:rsidRPr="00025096">
        <w:rPr>
          <w:rFonts w:ascii="Times New Roman" w:hAnsi="Times New Roman"/>
          <w:color w:val="000000"/>
          <w:sz w:val="24"/>
        </w:rPr>
        <w:t>Return on Assets (ROA) had an average value of 0.6474, with a minimum of 0.12 and a maximum of 0.99. The standard deviation was 0.2062, indicating moderate variation in asset profitability among tran</w:t>
      </w:r>
      <w:r>
        <w:rPr>
          <w:rFonts w:ascii="Times New Roman" w:hAnsi="Times New Roman"/>
          <w:color w:val="000000"/>
          <w:sz w:val="24"/>
        </w:rPr>
        <w:t>sportation and logistics firms.</w:t>
      </w:r>
      <w:r>
        <w:rPr>
          <w:rFonts w:ascii="Times New Roman" w:hAnsi="Times New Roman"/>
          <w:color w:val="000000"/>
          <w:sz w:val="24"/>
          <w:lang w:val="id-ID"/>
        </w:rPr>
        <w:t xml:space="preserve"> </w:t>
      </w:r>
      <w:r w:rsidRPr="00025096">
        <w:rPr>
          <w:rFonts w:ascii="Times New Roman" w:hAnsi="Times New Roman"/>
          <w:color w:val="000000"/>
          <w:sz w:val="24"/>
        </w:rPr>
        <w:t>Return on Equity (ROE) recorded a mean of 24.2750, ranging from a minimum of 12.77 to a maximum of 30.49, with a standard deviation of 5.8205. This reflects considerable variability in equ</w:t>
      </w:r>
      <w:r>
        <w:rPr>
          <w:rFonts w:ascii="Times New Roman" w:hAnsi="Times New Roman"/>
          <w:color w:val="000000"/>
          <w:sz w:val="24"/>
        </w:rPr>
        <w:t>ity profitability across firms.</w:t>
      </w:r>
      <w:r>
        <w:rPr>
          <w:rFonts w:ascii="Times New Roman" w:hAnsi="Times New Roman"/>
          <w:color w:val="000000"/>
          <w:sz w:val="24"/>
          <w:lang w:val="id-ID"/>
        </w:rPr>
        <w:t xml:space="preserve"> </w:t>
      </w:r>
      <w:r w:rsidRPr="00025096">
        <w:rPr>
          <w:rFonts w:ascii="Times New Roman" w:hAnsi="Times New Roman"/>
          <w:color w:val="000000"/>
          <w:sz w:val="24"/>
        </w:rPr>
        <w:t>Stock Price exhibited an average of 0.7976, with values ranging from 0.456 to 1.768 and a standard deviation of 0.2589, suggesting modest price volatility in</w:t>
      </w:r>
      <w:r>
        <w:rPr>
          <w:rFonts w:ascii="Times New Roman" w:hAnsi="Times New Roman"/>
          <w:color w:val="000000"/>
          <w:sz w:val="24"/>
        </w:rPr>
        <w:t xml:space="preserve"> the sample companies</w:t>
      </w:r>
    </w:p>
    <w:p w14:paraId="1DEB96B1" w14:textId="77777777" w:rsidR="00025096" w:rsidRPr="00025096" w:rsidRDefault="00025096" w:rsidP="00025096">
      <w:pPr>
        <w:tabs>
          <w:tab w:val="right" w:pos="5843"/>
        </w:tabs>
        <w:rPr>
          <w:rFonts w:ascii="Times New Roman" w:hAnsi="Times New Roman"/>
          <w:b/>
          <w:color w:val="000000"/>
          <w:sz w:val="24"/>
        </w:rPr>
      </w:pPr>
      <w:r w:rsidRPr="00025096">
        <w:rPr>
          <w:rFonts w:ascii="Times New Roman" w:hAnsi="Times New Roman"/>
          <w:b/>
          <w:color w:val="000000"/>
          <w:sz w:val="24"/>
        </w:rPr>
        <w:t>B. Classical Assumption Tests</w:t>
      </w:r>
    </w:p>
    <w:p w14:paraId="23883D15" w14:textId="156D82B9" w:rsidR="00025096" w:rsidRPr="00025096" w:rsidRDefault="00025096" w:rsidP="00025096">
      <w:pPr>
        <w:pStyle w:val="ListParagraph"/>
        <w:tabs>
          <w:tab w:val="right" w:pos="5843"/>
        </w:tabs>
        <w:ind w:left="0" w:firstLine="454"/>
        <w:jc w:val="both"/>
        <w:rPr>
          <w:rFonts w:ascii="Times New Roman" w:hAnsi="Times New Roman"/>
          <w:color w:val="000000"/>
          <w:sz w:val="24"/>
        </w:rPr>
      </w:pPr>
      <w:r w:rsidRPr="00025096">
        <w:rPr>
          <w:rFonts w:ascii="Times New Roman" w:hAnsi="Times New Roman"/>
          <w:color w:val="000000"/>
          <w:sz w:val="24"/>
        </w:rPr>
        <w:t>To ensure the validity of the regression model, several classical a</w:t>
      </w:r>
      <w:r>
        <w:rPr>
          <w:rFonts w:ascii="Times New Roman" w:hAnsi="Times New Roman"/>
          <w:color w:val="000000"/>
          <w:sz w:val="24"/>
        </w:rPr>
        <w:t>ssumption tests were conducted.</w:t>
      </w:r>
    </w:p>
    <w:p w14:paraId="27D34F7B" w14:textId="27411CDD" w:rsidR="00025096" w:rsidRPr="00025096" w:rsidRDefault="00025096" w:rsidP="00025096">
      <w:pPr>
        <w:pStyle w:val="ListParagraph"/>
        <w:tabs>
          <w:tab w:val="right" w:pos="5843"/>
        </w:tabs>
        <w:ind w:left="0" w:firstLine="454"/>
        <w:jc w:val="both"/>
        <w:rPr>
          <w:rFonts w:ascii="Times New Roman" w:hAnsi="Times New Roman"/>
          <w:color w:val="000000"/>
          <w:sz w:val="24"/>
        </w:rPr>
      </w:pPr>
      <w:r w:rsidRPr="00025096">
        <w:rPr>
          <w:rFonts w:ascii="Times New Roman" w:hAnsi="Times New Roman"/>
          <w:color w:val="000000"/>
          <w:sz w:val="24"/>
        </w:rPr>
        <w:t>Normality Test: Using the Kolmogorov–Smirnov test, the p-value obtained was 0.200, which is greater than 0.05, indicating that th</w:t>
      </w:r>
      <w:r>
        <w:rPr>
          <w:rFonts w:ascii="Times New Roman" w:hAnsi="Times New Roman"/>
          <w:color w:val="000000"/>
          <w:sz w:val="24"/>
        </w:rPr>
        <w:t>e data are normally distributed</w:t>
      </w:r>
      <w:r>
        <w:rPr>
          <w:rFonts w:ascii="Times New Roman" w:hAnsi="Times New Roman"/>
          <w:color w:val="000000"/>
          <w:sz w:val="24"/>
          <w:lang w:val="id-ID"/>
        </w:rPr>
        <w:t xml:space="preserve">. </w:t>
      </w:r>
      <w:proofErr w:type="spellStart"/>
      <w:r w:rsidRPr="00025096">
        <w:rPr>
          <w:rFonts w:ascii="Times New Roman" w:hAnsi="Times New Roman"/>
          <w:color w:val="000000"/>
          <w:sz w:val="24"/>
        </w:rPr>
        <w:t>Multicollinearity</w:t>
      </w:r>
      <w:proofErr w:type="spellEnd"/>
      <w:r w:rsidRPr="00025096">
        <w:rPr>
          <w:rFonts w:ascii="Times New Roman" w:hAnsi="Times New Roman"/>
          <w:color w:val="000000"/>
          <w:sz w:val="24"/>
        </w:rPr>
        <w:t xml:space="preserve"> Test: Tolerance values were above 0.10 and VIF values were below 10 for both ROA and ROE, confirming the absence of </w:t>
      </w:r>
      <w:proofErr w:type="spellStart"/>
      <w:r w:rsidRPr="00025096">
        <w:rPr>
          <w:rFonts w:ascii="Times New Roman" w:hAnsi="Times New Roman"/>
          <w:color w:val="000000"/>
          <w:sz w:val="24"/>
        </w:rPr>
        <w:t>multicollinearity</w:t>
      </w:r>
      <w:proofErr w:type="spellEnd"/>
      <w:r w:rsidRPr="00025096">
        <w:rPr>
          <w:rFonts w:ascii="Times New Roman" w:hAnsi="Times New Roman"/>
          <w:color w:val="000000"/>
          <w:sz w:val="24"/>
        </w:rPr>
        <w:t xml:space="preserve"> be</w:t>
      </w:r>
      <w:r>
        <w:rPr>
          <w:rFonts w:ascii="Times New Roman" w:hAnsi="Times New Roman"/>
          <w:color w:val="000000"/>
          <w:sz w:val="24"/>
        </w:rPr>
        <w:t>tween the independent variables</w:t>
      </w:r>
      <w:r>
        <w:rPr>
          <w:rFonts w:ascii="Times New Roman" w:hAnsi="Times New Roman"/>
          <w:color w:val="000000"/>
          <w:sz w:val="24"/>
          <w:lang w:val="id-ID"/>
        </w:rPr>
        <w:t xml:space="preserve">. </w:t>
      </w:r>
      <w:r w:rsidRPr="00025096">
        <w:rPr>
          <w:rFonts w:ascii="Times New Roman" w:hAnsi="Times New Roman"/>
          <w:color w:val="000000"/>
          <w:sz w:val="24"/>
        </w:rPr>
        <w:t xml:space="preserve">Heteroscedasticity Test: Using the </w:t>
      </w:r>
      <w:proofErr w:type="spellStart"/>
      <w:r w:rsidRPr="00025096">
        <w:rPr>
          <w:rFonts w:ascii="Times New Roman" w:hAnsi="Times New Roman"/>
          <w:color w:val="000000"/>
          <w:sz w:val="24"/>
        </w:rPr>
        <w:t>Glejser</w:t>
      </w:r>
      <w:proofErr w:type="spellEnd"/>
      <w:r w:rsidRPr="00025096">
        <w:rPr>
          <w:rFonts w:ascii="Times New Roman" w:hAnsi="Times New Roman"/>
          <w:color w:val="000000"/>
          <w:sz w:val="24"/>
        </w:rPr>
        <w:t xml:space="preserve"> method, the significance values for ROA (0.669) and ROE (0.937) were greater than 0.05, suggesting that heteroscedasticity is not present in the data</w:t>
      </w:r>
    </w:p>
    <w:p w14:paraId="4E6203C5" w14:textId="5B43520B" w:rsidR="00025096" w:rsidRPr="00025096" w:rsidRDefault="00025096" w:rsidP="00025096">
      <w:pPr>
        <w:tabs>
          <w:tab w:val="right" w:pos="5843"/>
        </w:tabs>
        <w:rPr>
          <w:rFonts w:ascii="Times New Roman" w:hAnsi="Times New Roman"/>
          <w:color w:val="000000"/>
          <w:sz w:val="24"/>
        </w:rPr>
      </w:pPr>
    </w:p>
    <w:p w14:paraId="213784CB" w14:textId="77777777" w:rsidR="00025096" w:rsidRPr="00025096" w:rsidRDefault="00025096" w:rsidP="00025096">
      <w:pPr>
        <w:tabs>
          <w:tab w:val="right" w:pos="5843"/>
        </w:tabs>
        <w:rPr>
          <w:rFonts w:ascii="Times New Roman" w:hAnsi="Times New Roman"/>
          <w:b/>
          <w:color w:val="000000"/>
          <w:sz w:val="24"/>
        </w:rPr>
      </w:pPr>
      <w:r w:rsidRPr="00025096">
        <w:rPr>
          <w:rFonts w:ascii="Times New Roman" w:hAnsi="Times New Roman"/>
          <w:b/>
          <w:color w:val="000000"/>
          <w:sz w:val="24"/>
        </w:rPr>
        <w:t>C. Multiple Linear Regression Analysis</w:t>
      </w:r>
    </w:p>
    <w:p w14:paraId="7132B789" w14:textId="021319D8" w:rsidR="00025096" w:rsidRDefault="00025096" w:rsidP="00025096">
      <w:pPr>
        <w:pStyle w:val="ListParagraph"/>
        <w:tabs>
          <w:tab w:val="right" w:pos="5843"/>
        </w:tabs>
        <w:ind w:left="0" w:firstLine="454"/>
        <w:jc w:val="both"/>
        <w:rPr>
          <w:rFonts w:ascii="Times New Roman" w:hAnsi="Times New Roman"/>
          <w:color w:val="000000"/>
          <w:sz w:val="24"/>
        </w:rPr>
      </w:pPr>
      <w:r w:rsidRPr="00025096">
        <w:rPr>
          <w:rFonts w:ascii="Times New Roman" w:hAnsi="Times New Roman"/>
          <w:color w:val="000000"/>
          <w:sz w:val="24"/>
        </w:rPr>
        <w:t>The regression analysis res</w:t>
      </w:r>
      <w:r>
        <w:rPr>
          <w:rFonts w:ascii="Times New Roman" w:hAnsi="Times New Roman"/>
          <w:color w:val="000000"/>
          <w:sz w:val="24"/>
        </w:rPr>
        <w:t>ults are summarized as follows:</w:t>
      </w:r>
    </w:p>
    <w:p w14:paraId="31D336D5" w14:textId="3FB0FAF7" w:rsidR="00025096" w:rsidRPr="00025096" w:rsidRDefault="00025096" w:rsidP="00025096">
      <w:pPr>
        <w:pStyle w:val="ListParagraph"/>
        <w:tabs>
          <w:tab w:val="right" w:pos="5843"/>
        </w:tabs>
        <w:ind w:left="0" w:firstLine="454"/>
        <w:jc w:val="both"/>
        <w:rPr>
          <w:rStyle w:val="mord"/>
          <w:rFonts w:ascii="Times New Roman" w:hAnsi="Times New Roman"/>
          <w:sz w:val="28"/>
          <w:szCs w:val="28"/>
        </w:rPr>
      </w:pPr>
      <m:oMathPara>
        <m:oMath>
          <m:r>
            <m:rPr>
              <m:sty m:val="p"/>
            </m:rPr>
            <w:rPr>
              <w:rStyle w:val="mord"/>
              <w:rFonts w:ascii="Cambria Math" w:hAnsi="Cambria Math"/>
              <w:sz w:val="28"/>
              <w:szCs w:val="28"/>
            </w:rPr>
            <m:t>Stock Price</m:t>
          </m:r>
          <m:r>
            <m:rPr>
              <m:sty m:val="p"/>
            </m:rPr>
            <w:rPr>
              <w:rStyle w:val="mrel"/>
              <w:rFonts w:ascii="Cambria Math" w:hAnsi="Cambria Math"/>
              <w:sz w:val="28"/>
              <w:szCs w:val="28"/>
            </w:rPr>
            <m:t>=</m:t>
          </m:r>
          <m:r>
            <m:rPr>
              <m:sty m:val="p"/>
            </m:rPr>
            <w:rPr>
              <w:rStyle w:val="mord"/>
              <w:rFonts w:ascii="Cambria Math" w:hAnsi="Cambria Math"/>
              <w:sz w:val="28"/>
              <w:szCs w:val="28"/>
            </w:rPr>
            <m:t>1.950</m:t>
          </m:r>
          <m:r>
            <m:rPr>
              <m:sty m:val="p"/>
            </m:rPr>
            <w:rPr>
              <w:rStyle w:val="mbin"/>
              <w:rFonts w:ascii="Cambria Math" w:hAnsi="Cambria Math"/>
              <w:sz w:val="28"/>
              <w:szCs w:val="28"/>
            </w:rPr>
            <m:t>-</m:t>
          </m:r>
          <m:r>
            <m:rPr>
              <m:sty m:val="p"/>
            </m:rPr>
            <w:rPr>
              <w:rStyle w:val="mord"/>
              <w:rFonts w:ascii="Cambria Math" w:hAnsi="Cambria Math"/>
              <w:sz w:val="28"/>
              <w:szCs w:val="28"/>
            </w:rPr>
            <m:t>1.496</m:t>
          </m:r>
          <m:r>
            <m:rPr>
              <m:sty m:val="p"/>
            </m:rPr>
            <w:rPr>
              <w:rStyle w:val="mbin"/>
              <w:rFonts w:ascii="Cambria Math" w:hAnsi="Cambria Math"/>
              <w:sz w:val="28"/>
              <w:szCs w:val="28"/>
            </w:rPr>
            <m:t>×</m:t>
          </m:r>
          <m:r>
            <m:rPr>
              <m:sty m:val="p"/>
            </m:rPr>
            <w:rPr>
              <w:rStyle w:val="mord"/>
              <w:rFonts w:ascii="Cambria Math" w:hAnsi="Cambria Math"/>
              <w:sz w:val="28"/>
              <w:szCs w:val="28"/>
            </w:rPr>
            <m:t>ROA</m:t>
          </m:r>
          <m:r>
            <m:rPr>
              <m:sty m:val="p"/>
            </m:rPr>
            <w:rPr>
              <w:rStyle w:val="mbin"/>
              <w:rFonts w:ascii="Cambria Math" w:hAnsi="Cambria Math"/>
              <w:sz w:val="28"/>
              <w:szCs w:val="28"/>
            </w:rPr>
            <m:t>+</m:t>
          </m:r>
          <m:r>
            <m:rPr>
              <m:sty m:val="p"/>
            </m:rPr>
            <w:rPr>
              <w:rStyle w:val="mord"/>
              <w:rFonts w:ascii="Cambria Math" w:hAnsi="Cambria Math"/>
              <w:sz w:val="28"/>
              <w:szCs w:val="28"/>
            </w:rPr>
            <m:t>0.012</m:t>
          </m:r>
          <m:r>
            <m:rPr>
              <m:sty m:val="p"/>
            </m:rPr>
            <w:rPr>
              <w:rStyle w:val="mbin"/>
              <w:rFonts w:ascii="Cambria Math" w:hAnsi="Cambria Math"/>
              <w:sz w:val="28"/>
              <w:szCs w:val="28"/>
            </w:rPr>
            <m:t>×</m:t>
          </m:r>
          <m:r>
            <m:rPr>
              <m:sty m:val="p"/>
            </m:rPr>
            <w:rPr>
              <w:rStyle w:val="mord"/>
              <w:rFonts w:ascii="Cambria Math" w:hAnsi="Cambria Math"/>
              <w:sz w:val="28"/>
              <w:szCs w:val="28"/>
            </w:rPr>
            <m:t>ROE</m:t>
          </m:r>
          <m:r>
            <m:rPr>
              <m:sty m:val="p"/>
            </m:rPr>
            <w:rPr>
              <w:rStyle w:val="mbin"/>
              <w:rFonts w:ascii="Cambria Math" w:hAnsi="Cambria Math"/>
              <w:sz w:val="28"/>
              <w:szCs w:val="28"/>
            </w:rPr>
            <m:t>+</m:t>
          </m:r>
          <m:r>
            <m:rPr>
              <m:sty m:val="p"/>
            </m:rPr>
            <w:rPr>
              <w:rStyle w:val="mord"/>
              <w:rFonts w:ascii="Cambria Math" w:hAnsi="Cambria Math"/>
              <w:sz w:val="28"/>
              <w:szCs w:val="28"/>
            </w:rPr>
            <m:t>ε</m:t>
          </m:r>
        </m:oMath>
      </m:oMathPara>
    </w:p>
    <w:p w14:paraId="465FB9E3" w14:textId="6F0E37CA" w:rsidR="00025096" w:rsidRPr="00025096" w:rsidRDefault="00025096" w:rsidP="00025096">
      <w:pPr>
        <w:pStyle w:val="ListParagraph"/>
        <w:tabs>
          <w:tab w:val="right" w:pos="5843"/>
        </w:tabs>
        <w:ind w:left="0" w:firstLine="454"/>
        <w:jc w:val="both"/>
        <w:rPr>
          <w:rFonts w:ascii="Times New Roman" w:hAnsi="Times New Roman"/>
          <w:color w:val="000000"/>
          <w:sz w:val="24"/>
        </w:rPr>
      </w:pPr>
      <w:r w:rsidRPr="00025096">
        <w:rPr>
          <w:rFonts w:ascii="Times New Roman" w:hAnsi="Times New Roman"/>
          <w:color w:val="000000"/>
          <w:sz w:val="24"/>
        </w:rPr>
        <w:t>The regression coefficient for ROA is -1.496 with a significance value of 0.000, indicating</w:t>
      </w:r>
      <w:r>
        <w:rPr>
          <w:rFonts w:ascii="Times New Roman" w:hAnsi="Times New Roman"/>
          <w:color w:val="000000"/>
          <w:sz w:val="24"/>
        </w:rPr>
        <w:t xml:space="preserve"> a significant negative effect.</w:t>
      </w:r>
      <w:r>
        <w:rPr>
          <w:rFonts w:ascii="Times New Roman" w:hAnsi="Times New Roman"/>
          <w:color w:val="000000"/>
          <w:sz w:val="24"/>
          <w:lang w:val="id-ID"/>
        </w:rPr>
        <w:t xml:space="preserve"> </w:t>
      </w:r>
      <w:r w:rsidRPr="00025096">
        <w:rPr>
          <w:rFonts w:ascii="Times New Roman" w:hAnsi="Times New Roman"/>
          <w:color w:val="000000"/>
          <w:sz w:val="24"/>
        </w:rPr>
        <w:t>The regression coefficient for ROE is 0.012 with a significance value of 0.374, which is not statistically significant</w:t>
      </w:r>
    </w:p>
    <w:p w14:paraId="62A85654" w14:textId="77A9B143" w:rsidR="00025096" w:rsidRPr="00025096" w:rsidRDefault="00025096" w:rsidP="00025096">
      <w:pPr>
        <w:tabs>
          <w:tab w:val="right" w:pos="5843"/>
        </w:tabs>
        <w:rPr>
          <w:rFonts w:ascii="Times New Roman" w:hAnsi="Times New Roman"/>
          <w:color w:val="000000"/>
          <w:sz w:val="24"/>
        </w:rPr>
      </w:pPr>
    </w:p>
    <w:p w14:paraId="6F04B060" w14:textId="77777777" w:rsidR="00025096" w:rsidRPr="00025096" w:rsidRDefault="00025096" w:rsidP="00025096">
      <w:pPr>
        <w:tabs>
          <w:tab w:val="right" w:pos="5843"/>
        </w:tabs>
        <w:rPr>
          <w:rFonts w:ascii="Times New Roman" w:hAnsi="Times New Roman"/>
          <w:b/>
          <w:color w:val="000000"/>
          <w:sz w:val="24"/>
        </w:rPr>
      </w:pPr>
      <w:r w:rsidRPr="00025096">
        <w:rPr>
          <w:rFonts w:ascii="Times New Roman" w:hAnsi="Times New Roman"/>
          <w:b/>
          <w:color w:val="000000"/>
          <w:sz w:val="24"/>
        </w:rPr>
        <w:t>D. Hypothesis Testing</w:t>
      </w:r>
    </w:p>
    <w:p w14:paraId="21EF473E" w14:textId="77777777" w:rsidR="00025096" w:rsidRPr="00025096" w:rsidRDefault="00025096" w:rsidP="00025096">
      <w:pPr>
        <w:pStyle w:val="ListParagraph"/>
        <w:tabs>
          <w:tab w:val="right" w:pos="5843"/>
        </w:tabs>
        <w:ind w:left="0" w:firstLine="454"/>
        <w:jc w:val="both"/>
        <w:rPr>
          <w:rFonts w:ascii="Times New Roman" w:hAnsi="Times New Roman"/>
          <w:color w:val="000000"/>
          <w:sz w:val="24"/>
        </w:rPr>
      </w:pPr>
      <w:r w:rsidRPr="00025096">
        <w:rPr>
          <w:rFonts w:ascii="Times New Roman" w:hAnsi="Times New Roman"/>
          <w:color w:val="000000"/>
          <w:sz w:val="24"/>
        </w:rPr>
        <w:t>1. Partial Test (t-Test)</w:t>
      </w:r>
    </w:p>
    <w:p w14:paraId="6C0CFA8A" w14:textId="5601D7E5" w:rsidR="00025096" w:rsidRPr="00517445" w:rsidRDefault="00025096" w:rsidP="00517445">
      <w:pPr>
        <w:pStyle w:val="ListParagraph"/>
        <w:tabs>
          <w:tab w:val="right" w:pos="5843"/>
        </w:tabs>
        <w:ind w:left="0" w:firstLine="454"/>
        <w:jc w:val="both"/>
        <w:rPr>
          <w:rFonts w:ascii="Times New Roman" w:hAnsi="Times New Roman"/>
          <w:color w:val="000000"/>
          <w:sz w:val="24"/>
        </w:rPr>
      </w:pPr>
      <w:r w:rsidRPr="00025096">
        <w:rPr>
          <w:rFonts w:ascii="Times New Roman" w:hAnsi="Times New Roman"/>
          <w:color w:val="000000"/>
          <w:sz w:val="24"/>
        </w:rPr>
        <w:t>ROA (t = -14.917, p &lt; 0.05): Indicates a significant partial influence on stock price. The negative sign suggests that an increase in ROA may not necessarily be associated with higher stock prices, which could reflect sector-specific investor behavio</w:t>
      </w:r>
      <w:r w:rsidR="00517445">
        <w:rPr>
          <w:rFonts w:ascii="Times New Roman" w:hAnsi="Times New Roman"/>
          <w:color w:val="000000"/>
          <w:sz w:val="24"/>
        </w:rPr>
        <w:t>r or capital structure effects.</w:t>
      </w:r>
      <w:r w:rsidR="00517445">
        <w:rPr>
          <w:rFonts w:ascii="Times New Roman" w:hAnsi="Times New Roman"/>
          <w:color w:val="000000"/>
          <w:sz w:val="24"/>
          <w:lang w:val="id-ID"/>
        </w:rPr>
        <w:t xml:space="preserve"> </w:t>
      </w:r>
      <w:r w:rsidRPr="00517445">
        <w:rPr>
          <w:rFonts w:ascii="Times New Roman" w:hAnsi="Times New Roman"/>
          <w:color w:val="000000"/>
          <w:sz w:val="24"/>
        </w:rPr>
        <w:t>ROE (t = 0.898, p &gt; 0.05): Indicates no significant partial effect on stock prices</w:t>
      </w:r>
    </w:p>
    <w:p w14:paraId="48F47997" w14:textId="77777777" w:rsidR="00025096" w:rsidRPr="00025096" w:rsidRDefault="00025096" w:rsidP="00025096">
      <w:pPr>
        <w:pStyle w:val="ListParagraph"/>
        <w:tabs>
          <w:tab w:val="right" w:pos="5843"/>
        </w:tabs>
        <w:ind w:left="0" w:firstLine="454"/>
        <w:jc w:val="both"/>
        <w:rPr>
          <w:rFonts w:ascii="Times New Roman" w:hAnsi="Times New Roman"/>
          <w:color w:val="000000"/>
          <w:sz w:val="24"/>
        </w:rPr>
      </w:pPr>
      <w:r w:rsidRPr="00025096">
        <w:rPr>
          <w:rFonts w:ascii="Times New Roman" w:hAnsi="Times New Roman"/>
          <w:color w:val="000000"/>
          <w:sz w:val="24"/>
        </w:rPr>
        <w:lastRenderedPageBreak/>
        <w:t>2. Simultaneous Test (F-Test)</w:t>
      </w:r>
    </w:p>
    <w:p w14:paraId="5B8B24EC" w14:textId="5F5BAABD" w:rsidR="00025096" w:rsidRPr="00517445" w:rsidRDefault="00025096" w:rsidP="00517445">
      <w:pPr>
        <w:pStyle w:val="ListParagraph"/>
        <w:tabs>
          <w:tab w:val="right" w:pos="5843"/>
        </w:tabs>
        <w:ind w:left="0" w:firstLine="454"/>
        <w:jc w:val="both"/>
        <w:rPr>
          <w:rFonts w:ascii="Times New Roman" w:hAnsi="Times New Roman"/>
          <w:color w:val="000000"/>
          <w:sz w:val="24"/>
        </w:rPr>
      </w:pPr>
      <w:r w:rsidRPr="00025096">
        <w:rPr>
          <w:rFonts w:ascii="Times New Roman" w:hAnsi="Times New Roman"/>
          <w:color w:val="000000"/>
          <w:sz w:val="24"/>
        </w:rPr>
        <w:t xml:space="preserve">The F-test yielded an F-value of 75.490 with a significance level of 0.000. Since </w:t>
      </w:r>
      <w:proofErr w:type="spellStart"/>
      <w:r w:rsidRPr="00025096">
        <w:rPr>
          <w:rFonts w:ascii="Times New Roman" w:hAnsi="Times New Roman"/>
          <w:color w:val="000000"/>
          <w:sz w:val="24"/>
        </w:rPr>
        <w:t>F_calculated</w:t>
      </w:r>
      <w:proofErr w:type="spellEnd"/>
      <w:r w:rsidRPr="00025096">
        <w:rPr>
          <w:rFonts w:ascii="Times New Roman" w:hAnsi="Times New Roman"/>
          <w:color w:val="000000"/>
          <w:sz w:val="24"/>
        </w:rPr>
        <w:t xml:space="preserve"> &gt; </w:t>
      </w:r>
      <w:proofErr w:type="spellStart"/>
      <w:r w:rsidRPr="00025096">
        <w:rPr>
          <w:rFonts w:ascii="Times New Roman" w:hAnsi="Times New Roman"/>
          <w:color w:val="000000"/>
          <w:sz w:val="24"/>
        </w:rPr>
        <w:t>F_table</w:t>
      </w:r>
      <w:proofErr w:type="spellEnd"/>
      <w:r w:rsidRPr="00025096">
        <w:rPr>
          <w:rFonts w:ascii="Times New Roman" w:hAnsi="Times New Roman"/>
          <w:color w:val="000000"/>
          <w:sz w:val="24"/>
        </w:rPr>
        <w:t xml:space="preserve"> (75.490 &gt; 2.87), it can be concluded that ROA and ROE simultaneously have a significant effect on stock prices</w:t>
      </w:r>
    </w:p>
    <w:p w14:paraId="041447E8" w14:textId="77777777" w:rsidR="00025096" w:rsidRPr="00025096" w:rsidRDefault="00025096" w:rsidP="00025096">
      <w:pPr>
        <w:pStyle w:val="ListParagraph"/>
        <w:tabs>
          <w:tab w:val="right" w:pos="5843"/>
        </w:tabs>
        <w:ind w:left="0" w:firstLine="454"/>
        <w:jc w:val="both"/>
        <w:rPr>
          <w:rFonts w:ascii="Times New Roman" w:hAnsi="Times New Roman"/>
          <w:color w:val="000000"/>
          <w:sz w:val="24"/>
        </w:rPr>
      </w:pPr>
      <w:r w:rsidRPr="00025096">
        <w:rPr>
          <w:rFonts w:ascii="Times New Roman" w:hAnsi="Times New Roman"/>
          <w:color w:val="000000"/>
          <w:sz w:val="24"/>
        </w:rPr>
        <w:t>3. Coefficient of Determination (R²)</w:t>
      </w:r>
    </w:p>
    <w:p w14:paraId="522B3389" w14:textId="1CA54C66" w:rsidR="00025096" w:rsidRPr="00517445" w:rsidRDefault="00025096" w:rsidP="00517445">
      <w:pPr>
        <w:pStyle w:val="ListParagraph"/>
        <w:tabs>
          <w:tab w:val="right" w:pos="5843"/>
        </w:tabs>
        <w:ind w:left="0" w:firstLine="454"/>
        <w:jc w:val="both"/>
        <w:rPr>
          <w:rFonts w:ascii="Times New Roman" w:hAnsi="Times New Roman"/>
          <w:color w:val="000000"/>
          <w:sz w:val="24"/>
        </w:rPr>
      </w:pPr>
      <w:r w:rsidRPr="00025096">
        <w:rPr>
          <w:rFonts w:ascii="Times New Roman" w:hAnsi="Times New Roman"/>
          <w:color w:val="000000"/>
          <w:sz w:val="24"/>
        </w:rPr>
        <w:t>The Adjusted R² value was 0.820, indicating that 82% of the variation in stock prices can be explained by ROA and ROE. The remaining 18% is attributed to other fa</w:t>
      </w:r>
      <w:r w:rsidR="00517445">
        <w:rPr>
          <w:rFonts w:ascii="Times New Roman" w:hAnsi="Times New Roman"/>
          <w:color w:val="000000"/>
          <w:sz w:val="24"/>
        </w:rPr>
        <w:t>ctors not included in the model</w:t>
      </w:r>
    </w:p>
    <w:p w14:paraId="5E64EDA1" w14:textId="77777777" w:rsidR="00025096" w:rsidRPr="00517445" w:rsidRDefault="00025096" w:rsidP="00517445">
      <w:pPr>
        <w:tabs>
          <w:tab w:val="right" w:pos="5843"/>
        </w:tabs>
        <w:rPr>
          <w:rFonts w:ascii="Times New Roman" w:hAnsi="Times New Roman"/>
          <w:b/>
          <w:color w:val="000000"/>
          <w:sz w:val="24"/>
        </w:rPr>
      </w:pPr>
      <w:r w:rsidRPr="00517445">
        <w:rPr>
          <w:rFonts w:ascii="Times New Roman" w:hAnsi="Times New Roman"/>
          <w:b/>
          <w:color w:val="000000"/>
          <w:sz w:val="24"/>
        </w:rPr>
        <w:t>E. Discussion</w:t>
      </w:r>
    </w:p>
    <w:p w14:paraId="60FD11AD" w14:textId="77777777" w:rsidR="00025096" w:rsidRPr="00517445" w:rsidRDefault="00025096" w:rsidP="00517445">
      <w:pPr>
        <w:tabs>
          <w:tab w:val="right" w:pos="5843"/>
        </w:tabs>
        <w:rPr>
          <w:rFonts w:ascii="Times New Roman" w:hAnsi="Times New Roman"/>
          <w:color w:val="000000"/>
          <w:sz w:val="24"/>
        </w:rPr>
      </w:pPr>
      <w:r w:rsidRPr="00517445">
        <w:rPr>
          <w:rFonts w:ascii="Times New Roman" w:hAnsi="Times New Roman"/>
          <w:color w:val="000000"/>
          <w:sz w:val="24"/>
        </w:rPr>
        <w:t>1. The Effect of ROA on Stock Price</w:t>
      </w:r>
    </w:p>
    <w:p w14:paraId="07E557C9" w14:textId="2C049433" w:rsidR="00025096" w:rsidRPr="00517445" w:rsidRDefault="00025096" w:rsidP="00517445">
      <w:pPr>
        <w:pStyle w:val="ListParagraph"/>
        <w:tabs>
          <w:tab w:val="right" w:pos="5843"/>
        </w:tabs>
        <w:ind w:left="0" w:firstLine="454"/>
        <w:jc w:val="both"/>
        <w:rPr>
          <w:rFonts w:ascii="Times New Roman" w:hAnsi="Times New Roman"/>
          <w:color w:val="000000"/>
          <w:sz w:val="24"/>
        </w:rPr>
      </w:pPr>
      <w:r w:rsidRPr="00025096">
        <w:rPr>
          <w:rFonts w:ascii="Times New Roman" w:hAnsi="Times New Roman"/>
          <w:color w:val="000000"/>
          <w:sz w:val="24"/>
        </w:rPr>
        <w:t xml:space="preserve">The negative and significant effect of ROA on stock prices contradicts general expectations and may reflect the market's perception that increased profitability from assets does not necessarily lead to higher shareholder value in this sector. This finding aligns partially with </w:t>
      </w:r>
      <w:proofErr w:type="spellStart"/>
      <w:r w:rsidRPr="00025096">
        <w:rPr>
          <w:rFonts w:ascii="Times New Roman" w:hAnsi="Times New Roman"/>
          <w:color w:val="000000"/>
          <w:sz w:val="24"/>
        </w:rPr>
        <w:t>Junaidi</w:t>
      </w:r>
      <w:proofErr w:type="spellEnd"/>
      <w:r w:rsidRPr="00025096">
        <w:rPr>
          <w:rFonts w:ascii="Times New Roman" w:hAnsi="Times New Roman"/>
          <w:color w:val="000000"/>
          <w:sz w:val="24"/>
        </w:rPr>
        <w:t xml:space="preserve"> (2021), who noted a significant relationship between ROA and stock price, albeit with a </w:t>
      </w:r>
      <w:r w:rsidR="00517445">
        <w:rPr>
          <w:rFonts w:ascii="Times New Roman" w:hAnsi="Times New Roman"/>
          <w:color w:val="000000"/>
          <w:sz w:val="24"/>
        </w:rPr>
        <w:t>different directional influence</w:t>
      </w:r>
    </w:p>
    <w:p w14:paraId="04656029" w14:textId="77777777" w:rsidR="00025096" w:rsidRPr="00517445" w:rsidRDefault="00025096" w:rsidP="00517445">
      <w:pPr>
        <w:tabs>
          <w:tab w:val="right" w:pos="5843"/>
        </w:tabs>
        <w:rPr>
          <w:rFonts w:ascii="Times New Roman" w:hAnsi="Times New Roman"/>
          <w:color w:val="000000"/>
          <w:sz w:val="24"/>
        </w:rPr>
      </w:pPr>
      <w:r w:rsidRPr="00517445">
        <w:rPr>
          <w:rFonts w:ascii="Times New Roman" w:hAnsi="Times New Roman"/>
          <w:color w:val="000000"/>
          <w:sz w:val="24"/>
        </w:rPr>
        <w:t>2. The Effect of ROE on Stock Price</w:t>
      </w:r>
    </w:p>
    <w:p w14:paraId="1250D2FE" w14:textId="5DAF6496" w:rsidR="00025096" w:rsidRPr="00025096" w:rsidRDefault="00025096" w:rsidP="00025096">
      <w:pPr>
        <w:pStyle w:val="ListParagraph"/>
        <w:tabs>
          <w:tab w:val="right" w:pos="5843"/>
        </w:tabs>
        <w:ind w:left="0" w:firstLine="454"/>
        <w:jc w:val="both"/>
        <w:rPr>
          <w:rFonts w:ascii="Times New Roman" w:hAnsi="Times New Roman"/>
          <w:color w:val="000000"/>
          <w:sz w:val="24"/>
        </w:rPr>
      </w:pPr>
      <w:r w:rsidRPr="00025096">
        <w:rPr>
          <w:rFonts w:ascii="Times New Roman" w:hAnsi="Times New Roman"/>
          <w:color w:val="000000"/>
          <w:sz w:val="24"/>
        </w:rPr>
        <w:t xml:space="preserve">ROE was found to have no significant effect on stock prices. This result may indicate that investors in transportation and logistics companies are more sensitive to other performance indicators or risk factors not captured by equity-based returns. Similar findings were reported by </w:t>
      </w:r>
      <w:proofErr w:type="spellStart"/>
      <w:r w:rsidRPr="00025096">
        <w:rPr>
          <w:rFonts w:ascii="Times New Roman" w:hAnsi="Times New Roman"/>
          <w:color w:val="000000"/>
          <w:sz w:val="24"/>
        </w:rPr>
        <w:t>Utami</w:t>
      </w:r>
      <w:proofErr w:type="spellEnd"/>
      <w:r w:rsidRPr="00025096">
        <w:rPr>
          <w:rFonts w:ascii="Times New Roman" w:hAnsi="Times New Roman"/>
          <w:color w:val="000000"/>
          <w:sz w:val="24"/>
        </w:rPr>
        <w:t xml:space="preserve"> (2018) and Reynard Valent</w:t>
      </w:r>
      <w:r>
        <w:rPr>
          <w:rFonts w:ascii="Times New Roman" w:hAnsi="Times New Roman"/>
          <w:color w:val="000000"/>
          <w:sz w:val="24"/>
        </w:rPr>
        <w:t>ino (2020) in different sectors</w:t>
      </w:r>
    </w:p>
    <w:p w14:paraId="41BB0CB3" w14:textId="77777777" w:rsidR="00025096" w:rsidRPr="00517445" w:rsidRDefault="00025096" w:rsidP="00517445">
      <w:pPr>
        <w:tabs>
          <w:tab w:val="right" w:pos="5843"/>
        </w:tabs>
        <w:rPr>
          <w:rFonts w:ascii="Times New Roman" w:hAnsi="Times New Roman"/>
          <w:color w:val="000000"/>
          <w:sz w:val="24"/>
        </w:rPr>
      </w:pPr>
      <w:r w:rsidRPr="00517445">
        <w:rPr>
          <w:rFonts w:ascii="Times New Roman" w:hAnsi="Times New Roman"/>
          <w:color w:val="000000"/>
          <w:sz w:val="24"/>
        </w:rPr>
        <w:t>3. Joint Effect of ROA and ROE on Stock Price</w:t>
      </w:r>
    </w:p>
    <w:p w14:paraId="3FE3123C" w14:textId="77777777" w:rsidR="00025096" w:rsidRPr="00025096" w:rsidRDefault="00025096" w:rsidP="00025096">
      <w:pPr>
        <w:pStyle w:val="ListParagraph"/>
        <w:tabs>
          <w:tab w:val="right" w:pos="5843"/>
        </w:tabs>
        <w:ind w:left="0" w:firstLine="454"/>
        <w:jc w:val="both"/>
        <w:rPr>
          <w:rFonts w:ascii="Times New Roman" w:hAnsi="Times New Roman"/>
          <w:color w:val="000000"/>
          <w:sz w:val="24"/>
        </w:rPr>
      </w:pPr>
      <w:r w:rsidRPr="00025096">
        <w:rPr>
          <w:rFonts w:ascii="Times New Roman" w:hAnsi="Times New Roman"/>
          <w:color w:val="000000"/>
          <w:sz w:val="24"/>
        </w:rPr>
        <w:t>Despite the partial insignificance of ROE, the simultaneous test confirms that ROA and ROE together significantly influence stock price formation. This suggests that investors may consider a broader picture of firm profitability, even if individual metrics do not always have standalone impacts.</w:t>
      </w:r>
    </w:p>
    <w:p w14:paraId="56478260" w14:textId="68A61D82" w:rsidR="002F5318" w:rsidRDefault="00025096" w:rsidP="00025096">
      <w:pPr>
        <w:pStyle w:val="ListParagraph"/>
        <w:tabs>
          <w:tab w:val="right" w:pos="5843"/>
        </w:tabs>
        <w:spacing w:after="0" w:line="240" w:lineRule="auto"/>
        <w:ind w:left="0" w:firstLine="454"/>
        <w:jc w:val="both"/>
        <w:rPr>
          <w:rFonts w:ascii="Times New Roman" w:hAnsi="Times New Roman"/>
          <w:color w:val="0070C0"/>
          <w:sz w:val="24"/>
          <w:szCs w:val="24"/>
        </w:rPr>
      </w:pPr>
      <w:r w:rsidRPr="00025096">
        <w:rPr>
          <w:rFonts w:ascii="Times New Roman" w:hAnsi="Times New Roman"/>
          <w:color w:val="000000"/>
          <w:sz w:val="24"/>
        </w:rPr>
        <w:t xml:space="preserve"> </w:t>
      </w:r>
    </w:p>
    <w:p w14:paraId="10618939" w14:textId="77777777" w:rsidR="00DE09B0" w:rsidRPr="00DE09B0" w:rsidRDefault="00DE09B0">
      <w:pPr>
        <w:pStyle w:val="ListParagraph"/>
        <w:tabs>
          <w:tab w:val="right" w:pos="5843"/>
        </w:tabs>
        <w:spacing w:after="0" w:line="240" w:lineRule="auto"/>
        <w:ind w:left="0" w:firstLine="454"/>
        <w:jc w:val="both"/>
      </w:pPr>
    </w:p>
    <w:p w14:paraId="08DA1C36" w14:textId="373B3055" w:rsidR="002F5318" w:rsidRDefault="00DD4F5D">
      <w:pPr>
        <w:pStyle w:val="Heading1"/>
        <w:numPr>
          <w:ilvl w:val="0"/>
          <w:numId w:val="4"/>
        </w:numPr>
        <w:ind w:left="454" w:hanging="454"/>
      </w:pPr>
      <w:r>
        <w:rPr>
          <w:rFonts w:ascii="Times New Roman" w:hAnsi="Times New Roman"/>
          <w:sz w:val="24"/>
          <w:lang w:val="id-ID"/>
        </w:rPr>
        <w:t>CONCLUSION</w:t>
      </w:r>
      <w:r>
        <w:rPr>
          <w:rFonts w:ascii="Times New Roman" w:hAnsi="Times New Roman"/>
          <w:sz w:val="24"/>
        </w:rPr>
        <w:t xml:space="preserve"> </w:t>
      </w:r>
    </w:p>
    <w:p w14:paraId="7639A73D" w14:textId="539FC4C3" w:rsidR="002F5318" w:rsidRDefault="00517445" w:rsidP="00517445">
      <w:pPr>
        <w:tabs>
          <w:tab w:val="right" w:pos="5843"/>
        </w:tabs>
        <w:ind w:firstLine="454"/>
        <w:rPr>
          <w:rFonts w:ascii="Times New Roman" w:hAnsi="Times New Roman"/>
          <w:sz w:val="24"/>
          <w:lang w:val="id-ID"/>
        </w:rPr>
      </w:pPr>
      <w:r w:rsidRPr="00517445">
        <w:rPr>
          <w:rFonts w:ascii="Times New Roman" w:hAnsi="Times New Roman"/>
          <w:sz w:val="24"/>
        </w:rPr>
        <w:t>This study aimed to examine the influence of Return on Assets (ROA) and Return on Equity (ROE) on the stock prices of transportation and logistics companies listed on the Indonesia Stock Exchange (IDX) for the period 2018–2022. Based on the results of descriptive statistics, classical assumption tests, and multiple linear regression analysis, the f</w:t>
      </w:r>
      <w:r>
        <w:rPr>
          <w:rFonts w:ascii="Times New Roman" w:hAnsi="Times New Roman"/>
          <w:sz w:val="24"/>
        </w:rPr>
        <w:t>ollowing conclusions are drawn:</w:t>
      </w:r>
      <w:r>
        <w:rPr>
          <w:rFonts w:ascii="Times New Roman" w:hAnsi="Times New Roman"/>
          <w:sz w:val="24"/>
          <w:lang w:val="id-ID"/>
        </w:rPr>
        <w:t xml:space="preserve"> </w:t>
      </w:r>
      <w:r w:rsidRPr="00517445">
        <w:rPr>
          <w:rFonts w:ascii="Times New Roman" w:hAnsi="Times New Roman"/>
          <w:sz w:val="24"/>
        </w:rPr>
        <w:t>ROA has a significant negative effect on stock prices, indicating that in the transportation and logistics sector, higher profitability in terms of asset utilization does not necessarily translate into higher market valuation. This finding may reflect specific structural or operational risks that offset positive earnings performance.</w:t>
      </w:r>
      <w:r>
        <w:rPr>
          <w:rFonts w:ascii="Times New Roman" w:hAnsi="Times New Roman"/>
          <w:sz w:val="24"/>
          <w:lang w:val="id-ID"/>
        </w:rPr>
        <w:t xml:space="preserve"> </w:t>
      </w:r>
      <w:r w:rsidRPr="00517445">
        <w:rPr>
          <w:rFonts w:ascii="Times New Roman" w:hAnsi="Times New Roman"/>
          <w:sz w:val="24"/>
        </w:rPr>
        <w:t>ROE does not have a significant influence on stock prices, suggesting that investors may not prioritize equity-based profitability as a primary factor in stock valuation within this sector. Other factors such as industry risks, market sentiment, and external shocks may play a more dominant role.</w:t>
      </w:r>
      <w:r>
        <w:rPr>
          <w:rFonts w:ascii="Times New Roman" w:hAnsi="Times New Roman"/>
          <w:sz w:val="24"/>
          <w:lang w:val="id-ID"/>
        </w:rPr>
        <w:t xml:space="preserve"> </w:t>
      </w:r>
      <w:r w:rsidRPr="00517445">
        <w:rPr>
          <w:rFonts w:ascii="Times New Roman" w:hAnsi="Times New Roman"/>
          <w:sz w:val="24"/>
        </w:rPr>
        <w:t>Together, ROA and ROE significantly affect stock prices, as indicated by the F-test and a high coefficient of determination (R² = 0.820). This confirms that financial performance, when viewed collectively, contributes to investor decision-making, even if individual indicators show varied influence.</w:t>
      </w:r>
      <w:r w:rsidRPr="00517445">
        <w:rPr>
          <w:rFonts w:ascii="Times New Roman" w:hAnsi="Times New Roman"/>
          <w:sz w:val="24"/>
        </w:rPr>
        <w:t xml:space="preserve"> </w:t>
      </w:r>
      <w:r>
        <w:rPr>
          <w:rFonts w:ascii="Times New Roman" w:hAnsi="Times New Roman"/>
          <w:sz w:val="24"/>
          <w:lang w:val="id-ID"/>
        </w:rPr>
        <w:t xml:space="preserve"> </w:t>
      </w:r>
    </w:p>
    <w:p w14:paraId="334C410F" w14:textId="0F68BC96" w:rsidR="00517445" w:rsidRDefault="00517445" w:rsidP="00517445">
      <w:pPr>
        <w:tabs>
          <w:tab w:val="right" w:pos="5843"/>
        </w:tabs>
        <w:ind w:firstLine="454"/>
        <w:rPr>
          <w:rFonts w:ascii="Times New Roman" w:hAnsi="Times New Roman"/>
          <w:sz w:val="24"/>
          <w:lang w:val="id-ID"/>
        </w:rPr>
      </w:pPr>
    </w:p>
    <w:p w14:paraId="40177BB1" w14:textId="5FF10DCA" w:rsidR="00517445" w:rsidRDefault="00517445" w:rsidP="00517445">
      <w:pPr>
        <w:tabs>
          <w:tab w:val="right" w:pos="5843"/>
        </w:tabs>
        <w:ind w:firstLine="454"/>
        <w:rPr>
          <w:rFonts w:ascii="Times New Roman" w:hAnsi="Times New Roman"/>
          <w:sz w:val="24"/>
          <w:lang w:val="id-ID"/>
        </w:rPr>
      </w:pPr>
    </w:p>
    <w:p w14:paraId="3DAAEC14" w14:textId="612F921B" w:rsidR="00517445" w:rsidRDefault="00517445" w:rsidP="00517445">
      <w:pPr>
        <w:tabs>
          <w:tab w:val="right" w:pos="5843"/>
        </w:tabs>
        <w:ind w:firstLine="454"/>
        <w:rPr>
          <w:rFonts w:ascii="Times New Roman" w:hAnsi="Times New Roman"/>
          <w:sz w:val="24"/>
          <w:lang w:val="id-ID"/>
        </w:rPr>
      </w:pPr>
    </w:p>
    <w:p w14:paraId="790503A6" w14:textId="0DECB518" w:rsidR="00517445" w:rsidRDefault="00517445" w:rsidP="00517445">
      <w:pPr>
        <w:tabs>
          <w:tab w:val="right" w:pos="5843"/>
        </w:tabs>
        <w:ind w:firstLine="454"/>
        <w:rPr>
          <w:rFonts w:ascii="Times New Roman" w:hAnsi="Times New Roman"/>
          <w:sz w:val="24"/>
          <w:lang w:val="id-ID"/>
        </w:rPr>
      </w:pPr>
      <w:r>
        <w:rPr>
          <w:rFonts w:ascii="Times New Roman" w:hAnsi="Times New Roman"/>
          <w:sz w:val="24"/>
          <w:lang w:val="id-ID"/>
        </w:rPr>
        <w:t>\</w:t>
      </w:r>
    </w:p>
    <w:p w14:paraId="4CEC1FDA" w14:textId="198EC8A3" w:rsidR="00517445" w:rsidRDefault="00517445" w:rsidP="00517445">
      <w:pPr>
        <w:tabs>
          <w:tab w:val="right" w:pos="5843"/>
        </w:tabs>
        <w:ind w:firstLine="454"/>
        <w:rPr>
          <w:rFonts w:ascii="Times New Roman" w:hAnsi="Times New Roman"/>
          <w:sz w:val="24"/>
          <w:lang w:val="id-ID"/>
        </w:rPr>
      </w:pPr>
    </w:p>
    <w:p w14:paraId="15B3D1E9" w14:textId="77777777" w:rsidR="00517445" w:rsidRPr="00517445" w:rsidRDefault="00517445" w:rsidP="00517445">
      <w:pPr>
        <w:tabs>
          <w:tab w:val="right" w:pos="5843"/>
        </w:tabs>
        <w:ind w:firstLine="454"/>
        <w:rPr>
          <w:rFonts w:ascii="Times New Roman" w:hAnsi="Times New Roman"/>
          <w:sz w:val="24"/>
        </w:rPr>
      </w:pPr>
    </w:p>
    <w:p w14:paraId="1CD1CE51" w14:textId="77777777" w:rsidR="002F5318" w:rsidRDefault="002F5318">
      <w:pPr>
        <w:tabs>
          <w:tab w:val="right" w:pos="5843"/>
        </w:tabs>
        <w:rPr>
          <w:rFonts w:ascii="Times New Roman" w:hAnsi="Times New Roman"/>
          <w:sz w:val="24"/>
          <w:lang w:val="id-ID"/>
        </w:rPr>
      </w:pPr>
    </w:p>
    <w:p w14:paraId="37E4B658" w14:textId="1EDDE4A8" w:rsidR="002F5318" w:rsidRDefault="00DD4F5D">
      <w:r>
        <w:rPr>
          <w:rFonts w:ascii="Times New Roman" w:hAnsi="Times New Roman"/>
          <w:b/>
          <w:sz w:val="24"/>
          <w:lang w:val="en-US"/>
        </w:rPr>
        <w:t>REFERENCES</w:t>
      </w:r>
      <w:r>
        <w:rPr>
          <w:rFonts w:ascii="Times New Roman" w:hAnsi="Times New Roman"/>
          <w:sz w:val="24"/>
          <w:lang w:val="en-US"/>
        </w:rPr>
        <w:t xml:space="preserve"> </w:t>
      </w:r>
    </w:p>
    <w:p w14:paraId="2D816ACC" w14:textId="2E889011" w:rsidR="00517445" w:rsidRDefault="00517445"/>
    <w:p w14:paraId="58EAD944" w14:textId="77777777" w:rsidR="00517445" w:rsidRDefault="00517445" w:rsidP="00517445">
      <w:pPr>
        <w:tabs>
          <w:tab w:val="left" w:pos="284"/>
        </w:tabs>
        <w:spacing w:line="360" w:lineRule="auto"/>
        <w:ind w:left="426" w:hanging="426"/>
        <w:contextualSpacing/>
      </w:pPr>
      <w:r w:rsidRPr="002E32E7">
        <w:rPr>
          <w:rFonts w:ascii="Times New Roman" w:hAnsi="Times New Roman"/>
          <w:sz w:val="24"/>
          <w:lang w:val="id-ID"/>
        </w:rPr>
        <w:t>Arifiani, R. (2019). The Effect of Return on Assets and Return on Equity on Stock Price Based on Closing Price: A Study on Telecommunication Service Companies Listed on IDX. Jurnal Ekonomi dan Bisnis, 8(2), 105–115.</w:t>
      </w:r>
      <w:r>
        <w:rPr>
          <w:rFonts w:ascii="Times New Roman" w:hAnsi="Times New Roman"/>
          <w:sz w:val="24"/>
          <w:lang w:val="id-ID"/>
        </w:rPr>
        <w:t xml:space="preserve"> </w:t>
      </w:r>
    </w:p>
    <w:p w14:paraId="449DF8A5" w14:textId="77777777" w:rsidR="00517445" w:rsidRPr="002E32E7" w:rsidRDefault="00517445" w:rsidP="00517445">
      <w:pPr>
        <w:tabs>
          <w:tab w:val="left" w:pos="284"/>
        </w:tabs>
        <w:spacing w:line="360" w:lineRule="auto"/>
        <w:ind w:left="426" w:hanging="426"/>
        <w:contextualSpacing/>
        <w:rPr>
          <w:rFonts w:ascii="Times New Roman" w:hAnsi="Times New Roman"/>
          <w:sz w:val="24"/>
          <w:lang w:val="id-ID"/>
        </w:rPr>
      </w:pPr>
      <w:r w:rsidRPr="002E32E7">
        <w:rPr>
          <w:rFonts w:ascii="Times New Roman" w:hAnsi="Times New Roman"/>
          <w:sz w:val="24"/>
          <w:lang w:val="id-ID"/>
        </w:rPr>
        <w:t>Brigham, E. F., &amp; Houston, J. F. (2019). Fundamentals of Financial Management (15th ed.). Cengage Learning.</w:t>
      </w:r>
    </w:p>
    <w:p w14:paraId="11AC4163" w14:textId="77777777" w:rsidR="00517445" w:rsidRPr="002E32E7" w:rsidRDefault="00517445" w:rsidP="00517445">
      <w:pPr>
        <w:tabs>
          <w:tab w:val="left" w:pos="284"/>
        </w:tabs>
        <w:spacing w:line="360" w:lineRule="auto"/>
        <w:ind w:left="426" w:hanging="426"/>
        <w:contextualSpacing/>
        <w:rPr>
          <w:rFonts w:ascii="Times New Roman" w:hAnsi="Times New Roman"/>
          <w:sz w:val="24"/>
          <w:lang w:val="id-ID"/>
        </w:rPr>
      </w:pPr>
      <w:r w:rsidRPr="002E32E7">
        <w:rPr>
          <w:rFonts w:ascii="Times New Roman" w:hAnsi="Times New Roman"/>
          <w:sz w:val="24"/>
          <w:lang w:val="id-ID"/>
        </w:rPr>
        <w:t>Darmaji, T., &amp; Fakhruddin, H. M. (2019). Pasar Modal di Indonesia. Salemba Empat.</w:t>
      </w:r>
    </w:p>
    <w:p w14:paraId="1855253F" w14:textId="77777777" w:rsidR="00517445" w:rsidRDefault="00517445" w:rsidP="00517445">
      <w:pPr>
        <w:pStyle w:val="NormalWeb"/>
        <w:tabs>
          <w:tab w:val="left" w:pos="284"/>
        </w:tabs>
        <w:spacing w:line="360" w:lineRule="auto"/>
        <w:ind w:left="426" w:hanging="426"/>
      </w:pPr>
      <w:r>
        <w:t xml:space="preserve">Darmawan, R. L. (2022). The Effect of ROA, ROE, and EPS on Stock Prices in Industrial Sector Companies Listed on the IDX. </w:t>
      </w:r>
      <w:r>
        <w:rPr>
          <w:rStyle w:val="Emphasis"/>
        </w:rPr>
        <w:t>Jurnal Ilmu dan Riset Manajemen</w:t>
      </w:r>
      <w:r>
        <w:t>, 11(2), 1–10.</w:t>
      </w:r>
    </w:p>
    <w:p w14:paraId="158290CB" w14:textId="77777777" w:rsidR="00517445" w:rsidRPr="002E32E7" w:rsidRDefault="00517445" w:rsidP="00517445">
      <w:pPr>
        <w:tabs>
          <w:tab w:val="left" w:pos="284"/>
        </w:tabs>
        <w:spacing w:line="360" w:lineRule="auto"/>
        <w:ind w:left="426" w:hanging="426"/>
        <w:contextualSpacing/>
        <w:rPr>
          <w:rFonts w:ascii="Times New Roman" w:hAnsi="Times New Roman"/>
          <w:sz w:val="24"/>
          <w:lang w:val="id-ID"/>
        </w:rPr>
      </w:pPr>
      <w:r w:rsidRPr="002E32E7">
        <w:rPr>
          <w:rFonts w:ascii="Times New Roman" w:hAnsi="Times New Roman"/>
          <w:sz w:val="24"/>
          <w:lang w:val="id-ID"/>
        </w:rPr>
        <w:t>Fahmi, I. (2018). Analisis Laporan Keuangan. Alfabeta.</w:t>
      </w:r>
    </w:p>
    <w:p w14:paraId="1C3D4091" w14:textId="77777777" w:rsidR="00517445" w:rsidRDefault="00517445" w:rsidP="00517445">
      <w:pPr>
        <w:pStyle w:val="NormalWeb"/>
        <w:tabs>
          <w:tab w:val="left" w:pos="284"/>
        </w:tabs>
        <w:spacing w:line="360" w:lineRule="auto"/>
        <w:ind w:left="426" w:hanging="426"/>
      </w:pPr>
      <w:r>
        <w:t xml:space="preserve">Fama, E. F. (1970). Efficient Capital Markets: A Review of Theory and Empirical Work. </w:t>
      </w:r>
      <w:r>
        <w:rPr>
          <w:rStyle w:val="Emphasis"/>
        </w:rPr>
        <w:t>The Journal of Finance</w:t>
      </w:r>
      <w:r>
        <w:t>, 25(2), 383–417. https://doi.org/10.2307/2325486</w:t>
      </w:r>
    </w:p>
    <w:p w14:paraId="74E2B20B" w14:textId="77777777" w:rsidR="00517445" w:rsidRDefault="00517445" w:rsidP="00517445">
      <w:pPr>
        <w:pStyle w:val="NormalWeb"/>
        <w:tabs>
          <w:tab w:val="left" w:pos="284"/>
        </w:tabs>
        <w:spacing w:line="360" w:lineRule="auto"/>
        <w:ind w:left="426" w:hanging="426"/>
      </w:pPr>
      <w:r>
        <w:t xml:space="preserve">Hanafi, M. M. (2019). </w:t>
      </w:r>
      <w:r>
        <w:rPr>
          <w:rStyle w:val="Emphasis"/>
        </w:rPr>
        <w:t>Manajemen Keuangan</w:t>
      </w:r>
      <w:r>
        <w:t xml:space="preserve"> (2nd ed.). BPFE Yogyakarta.</w:t>
      </w:r>
    </w:p>
    <w:p w14:paraId="37D5591E" w14:textId="77777777" w:rsidR="00517445" w:rsidRDefault="00517445" w:rsidP="00517445">
      <w:pPr>
        <w:pStyle w:val="NormalWeb"/>
        <w:tabs>
          <w:tab w:val="left" w:pos="284"/>
        </w:tabs>
        <w:spacing w:line="360" w:lineRule="auto"/>
        <w:ind w:left="426" w:hanging="426"/>
      </w:pPr>
      <w:r>
        <w:t xml:space="preserve">Hermuningsih, S. (2018). </w:t>
      </w:r>
      <w:r>
        <w:rPr>
          <w:rStyle w:val="Emphasis"/>
        </w:rPr>
        <w:t>Pengantar Pasar Modal</w:t>
      </w:r>
      <w:r>
        <w:t>. UPP STIM YKPN.</w:t>
      </w:r>
    </w:p>
    <w:p w14:paraId="0EC896F6" w14:textId="77777777" w:rsidR="00517445" w:rsidRDefault="00517445" w:rsidP="00517445">
      <w:pPr>
        <w:pStyle w:val="NormalWeb"/>
        <w:tabs>
          <w:tab w:val="left" w:pos="284"/>
        </w:tabs>
        <w:spacing w:line="360" w:lineRule="auto"/>
        <w:ind w:left="426" w:hanging="426"/>
      </w:pPr>
      <w:r>
        <w:t xml:space="preserve">Jannah, U. U. (2020). The Effect of ROA, ROE, and NPM on Stock Prices in Food and Beverage Subsector Companies Listed on the IDX. </w:t>
      </w:r>
      <w:r>
        <w:rPr>
          <w:rStyle w:val="Emphasis"/>
        </w:rPr>
        <w:t>Jurnal Ekonomi dan Bisnis</w:t>
      </w:r>
      <w:r>
        <w:t>, 7(1), 42–53.</w:t>
      </w:r>
    </w:p>
    <w:p w14:paraId="405424A6" w14:textId="77777777" w:rsidR="00517445" w:rsidRPr="002E32E7" w:rsidRDefault="00517445" w:rsidP="00517445">
      <w:pPr>
        <w:tabs>
          <w:tab w:val="left" w:pos="284"/>
        </w:tabs>
        <w:spacing w:line="360" w:lineRule="auto"/>
        <w:ind w:left="426" w:hanging="426"/>
        <w:contextualSpacing/>
        <w:rPr>
          <w:rFonts w:ascii="Times New Roman" w:hAnsi="Times New Roman"/>
          <w:sz w:val="24"/>
          <w:lang w:val="id-ID"/>
        </w:rPr>
      </w:pPr>
      <w:r w:rsidRPr="002E32E7">
        <w:rPr>
          <w:rFonts w:ascii="Times New Roman" w:hAnsi="Times New Roman"/>
          <w:sz w:val="24"/>
          <w:lang w:val="id-ID"/>
        </w:rPr>
        <w:t>Kasmir. (2019). Analisis Laporan Keuangan (13th ed.). RajaGrafindo Persada.</w:t>
      </w:r>
    </w:p>
    <w:p w14:paraId="0BFC0AA7" w14:textId="77777777" w:rsidR="00517445" w:rsidRPr="002E32E7" w:rsidRDefault="00517445" w:rsidP="00517445">
      <w:pPr>
        <w:tabs>
          <w:tab w:val="left" w:pos="284"/>
        </w:tabs>
        <w:spacing w:line="360" w:lineRule="auto"/>
        <w:ind w:left="426" w:hanging="426"/>
        <w:contextualSpacing/>
        <w:rPr>
          <w:rFonts w:ascii="Times New Roman" w:hAnsi="Times New Roman"/>
          <w:sz w:val="24"/>
          <w:lang w:val="id-ID"/>
        </w:rPr>
      </w:pPr>
      <w:r w:rsidRPr="002E32E7">
        <w:rPr>
          <w:rFonts w:ascii="Times New Roman" w:hAnsi="Times New Roman"/>
          <w:sz w:val="24"/>
          <w:lang w:val="id-ID"/>
        </w:rPr>
        <w:t>OECD. (2021). COVID-19 and the Logistics Sector: Impact and Policy Responses. OECD Policy Responses to Coronavirus (COVID-19). Retrieved from https://www.oecd.org</w:t>
      </w:r>
    </w:p>
    <w:p w14:paraId="5F3170D3" w14:textId="77777777" w:rsidR="00517445" w:rsidRDefault="00517445" w:rsidP="00517445">
      <w:pPr>
        <w:pStyle w:val="NormalWeb"/>
        <w:tabs>
          <w:tab w:val="left" w:pos="284"/>
        </w:tabs>
        <w:spacing w:line="360" w:lineRule="auto"/>
        <w:ind w:left="426" w:hanging="426"/>
      </w:pPr>
      <w:r>
        <w:t xml:space="preserve">Spence, M. (1973). Job Market Signaling. </w:t>
      </w:r>
      <w:r>
        <w:rPr>
          <w:rStyle w:val="Emphasis"/>
        </w:rPr>
        <w:t>The Quarterly Journal of Economics</w:t>
      </w:r>
      <w:r>
        <w:t>, 87(3), 355–374. https://doi.org/10.2307/1882010</w:t>
      </w:r>
    </w:p>
    <w:p w14:paraId="06C2256C" w14:textId="77777777" w:rsidR="00517445" w:rsidRDefault="00517445" w:rsidP="00517445">
      <w:pPr>
        <w:pStyle w:val="NormalWeb"/>
        <w:tabs>
          <w:tab w:val="left" w:pos="284"/>
        </w:tabs>
        <w:spacing w:line="360" w:lineRule="auto"/>
        <w:ind w:left="426" w:hanging="426"/>
      </w:pPr>
      <w:r>
        <w:t xml:space="preserve">Sunaryo, A. (2022). The Effect of ROA and ROE on Stock Prices: Empirical Evidence from the Cement Subsector. </w:t>
      </w:r>
      <w:r>
        <w:rPr>
          <w:rStyle w:val="Emphasis"/>
        </w:rPr>
        <w:t>Jurnal Akuntansi dan Investasi</w:t>
      </w:r>
      <w:r>
        <w:t>, 23(1), 23–32.</w:t>
      </w:r>
    </w:p>
    <w:p w14:paraId="612260BF" w14:textId="77777777" w:rsidR="00517445" w:rsidRPr="002E32E7" w:rsidRDefault="00517445" w:rsidP="00517445">
      <w:pPr>
        <w:tabs>
          <w:tab w:val="left" w:pos="284"/>
        </w:tabs>
        <w:spacing w:line="360" w:lineRule="auto"/>
        <w:ind w:left="426" w:hanging="426"/>
        <w:contextualSpacing/>
        <w:rPr>
          <w:rFonts w:ascii="Times New Roman" w:hAnsi="Times New Roman"/>
          <w:sz w:val="24"/>
          <w:lang w:val="id-ID"/>
        </w:rPr>
      </w:pPr>
      <w:r w:rsidRPr="002E32E7">
        <w:rPr>
          <w:rFonts w:ascii="Times New Roman" w:hAnsi="Times New Roman"/>
          <w:sz w:val="24"/>
          <w:lang w:val="id-ID"/>
        </w:rPr>
        <w:lastRenderedPageBreak/>
        <w:t>Sunaryo, A. (2022). The Influence of ROA and ROE on Stock Prices: Empirical Evidence from the Cement Industry. Jurnal Akuntansi Indonesia, 11(1), 45–56.</w:t>
      </w:r>
    </w:p>
    <w:p w14:paraId="7EE66848" w14:textId="77777777" w:rsidR="00517445" w:rsidRDefault="00517445" w:rsidP="00517445">
      <w:pPr>
        <w:pStyle w:val="NormalWeb"/>
        <w:tabs>
          <w:tab w:val="left" w:pos="284"/>
        </w:tabs>
        <w:spacing w:line="360" w:lineRule="auto"/>
        <w:ind w:left="426" w:hanging="426"/>
      </w:pPr>
      <w:r>
        <w:t xml:space="preserve">Sutrisno, E. (2019). </w:t>
      </w:r>
      <w:r>
        <w:rPr>
          <w:rStyle w:val="Emphasis"/>
        </w:rPr>
        <w:t>Manajemen Keuangan: Teori, Konsep, dan Aplikasi</w:t>
      </w:r>
      <w:r>
        <w:t>. Ekonisia.</w:t>
      </w:r>
    </w:p>
    <w:p w14:paraId="683B9DBF" w14:textId="77777777" w:rsidR="00517445" w:rsidRDefault="00517445" w:rsidP="00517445">
      <w:pPr>
        <w:pStyle w:val="NormalWeb"/>
        <w:tabs>
          <w:tab w:val="left" w:pos="284"/>
        </w:tabs>
        <w:spacing w:line="360" w:lineRule="auto"/>
        <w:ind w:left="426" w:hanging="426"/>
      </w:pPr>
      <w:r>
        <w:t xml:space="preserve">Tandelilin, E. (2019). </w:t>
      </w:r>
      <w:r>
        <w:rPr>
          <w:rStyle w:val="Emphasis"/>
        </w:rPr>
        <w:t>Portofolio dan Investasi: Teori dan Aplikasi</w:t>
      </w:r>
      <w:r>
        <w:t>. Kanisius.</w:t>
      </w:r>
    </w:p>
    <w:p w14:paraId="521F9183" w14:textId="77777777" w:rsidR="00517445" w:rsidRDefault="00517445" w:rsidP="00517445">
      <w:pPr>
        <w:pStyle w:val="NormalWeb"/>
        <w:tabs>
          <w:tab w:val="left" w:pos="284"/>
        </w:tabs>
        <w:spacing w:line="360" w:lineRule="auto"/>
        <w:ind w:left="426" w:hanging="426"/>
      </w:pPr>
      <w:r>
        <w:t xml:space="preserve">Utami, M. R. (2018). The Effect of DER, ROA, ROE, EPS, and MVA on Stock Prices in the Indonesian Sharia Stock Index. </w:t>
      </w:r>
      <w:r>
        <w:rPr>
          <w:rStyle w:val="Emphasis"/>
        </w:rPr>
        <w:t>Jurnal Ilmu dan Riset Manajemen</w:t>
      </w:r>
      <w:r>
        <w:t>, 7(6), 1–15.</w:t>
      </w:r>
    </w:p>
    <w:p w14:paraId="201E225D" w14:textId="77777777" w:rsidR="00517445" w:rsidRPr="002E32E7" w:rsidRDefault="00517445" w:rsidP="00517445">
      <w:pPr>
        <w:tabs>
          <w:tab w:val="left" w:pos="284"/>
        </w:tabs>
        <w:spacing w:line="360" w:lineRule="auto"/>
        <w:ind w:left="426" w:hanging="426"/>
        <w:contextualSpacing/>
        <w:rPr>
          <w:rFonts w:ascii="Times New Roman" w:hAnsi="Times New Roman"/>
          <w:sz w:val="24"/>
          <w:lang w:val="id-ID"/>
        </w:rPr>
      </w:pPr>
      <w:r w:rsidRPr="002E32E7">
        <w:rPr>
          <w:rFonts w:ascii="Times New Roman" w:hAnsi="Times New Roman"/>
          <w:sz w:val="24"/>
          <w:lang w:val="id-ID"/>
        </w:rPr>
        <w:t>Utami, M. R. (2018). The Effect of Financial Ratios on Stock Prices in the Indonesian Sharia Stock Index. Journal of Islamic Economics and Finance, 6(2), 91–101.</w:t>
      </w:r>
    </w:p>
    <w:p w14:paraId="3F19001C" w14:textId="77777777" w:rsidR="00517445" w:rsidRPr="002E32E7" w:rsidRDefault="00517445" w:rsidP="00517445">
      <w:pPr>
        <w:tabs>
          <w:tab w:val="left" w:pos="284"/>
        </w:tabs>
        <w:spacing w:line="360" w:lineRule="auto"/>
        <w:ind w:left="426" w:hanging="426"/>
        <w:contextualSpacing/>
        <w:rPr>
          <w:rFonts w:ascii="Times New Roman" w:hAnsi="Times New Roman"/>
          <w:sz w:val="24"/>
          <w:lang w:val="id-ID"/>
        </w:rPr>
      </w:pPr>
      <w:r w:rsidRPr="002E32E7">
        <w:rPr>
          <w:rFonts w:ascii="Times New Roman" w:hAnsi="Times New Roman"/>
          <w:sz w:val="24"/>
          <w:lang w:val="id-ID"/>
        </w:rPr>
        <w:t>World Bank. (2020). Connecting to Compete 2020: Trade Logistics in the Global Economy. The World Bank Group.</w:t>
      </w:r>
    </w:p>
    <w:p w14:paraId="37ED9DB2" w14:textId="77777777" w:rsidR="002F5318" w:rsidRDefault="002F5318" w:rsidP="00517445">
      <w:pPr>
        <w:spacing w:line="360" w:lineRule="auto"/>
        <w:sectPr w:rsidR="002F5318" w:rsidSect="00132612">
          <w:type w:val="continuous"/>
          <w:pgSz w:w="11906" w:h="16838"/>
          <w:pgMar w:top="1418" w:right="1134" w:bottom="1134" w:left="1418" w:header="720" w:footer="0" w:gutter="0"/>
          <w:cols w:space="720"/>
          <w:formProt w:val="0"/>
          <w:docGrid w:linePitch="360"/>
        </w:sectPr>
      </w:pPr>
    </w:p>
    <w:p w14:paraId="31C789A9" w14:textId="77777777" w:rsidR="002F5318" w:rsidRDefault="002F5318" w:rsidP="00517445">
      <w:pPr>
        <w:spacing w:line="360" w:lineRule="auto"/>
      </w:pPr>
    </w:p>
    <w:p w14:paraId="4EF8E39F" w14:textId="77777777" w:rsidR="002F5318" w:rsidRDefault="002F5318">
      <w:pPr>
        <w:sectPr w:rsidR="002F5318" w:rsidSect="00132612">
          <w:type w:val="continuous"/>
          <w:pgSz w:w="11906" w:h="16838"/>
          <w:pgMar w:top="1418" w:right="1134" w:bottom="1134" w:left="1418" w:header="720" w:footer="0" w:gutter="0"/>
          <w:cols w:space="720"/>
          <w:formProt w:val="0"/>
          <w:docGrid w:linePitch="360"/>
        </w:sectPr>
      </w:pPr>
    </w:p>
    <w:p w14:paraId="3D4132B0" w14:textId="77777777" w:rsidR="002F5318" w:rsidRDefault="002F5318"/>
    <w:p w14:paraId="0942614F" w14:textId="77777777" w:rsidR="002F5318" w:rsidRDefault="002F5318">
      <w:pPr>
        <w:sectPr w:rsidR="002F5318" w:rsidSect="00132612">
          <w:type w:val="continuous"/>
          <w:pgSz w:w="11906" w:h="16838"/>
          <w:pgMar w:top="1418" w:right="1134" w:bottom="1134" w:left="1418" w:header="720" w:footer="0" w:gutter="0"/>
          <w:cols w:space="720"/>
          <w:formProt w:val="0"/>
          <w:docGrid w:linePitch="360"/>
        </w:sectPr>
      </w:pPr>
    </w:p>
    <w:p w14:paraId="529BBF3B" w14:textId="77777777" w:rsidR="00DD4F5D" w:rsidRDefault="00DD4F5D"/>
    <w:sectPr w:rsidR="00DD4F5D" w:rsidSect="00132612">
      <w:type w:val="continuous"/>
      <w:pgSz w:w="11906" w:h="16838"/>
      <w:pgMar w:top="1418" w:right="1134" w:bottom="1134" w:left="1418" w:header="72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A8833C" w14:textId="77777777" w:rsidR="00C0359A" w:rsidRDefault="00C0359A">
      <w:r>
        <w:separator/>
      </w:r>
    </w:p>
  </w:endnote>
  <w:endnote w:type="continuationSeparator" w:id="0">
    <w:p w14:paraId="6440E930" w14:textId="77777777" w:rsidR="00C0359A" w:rsidRDefault="00C03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DejaVu Sans">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6695AA" w14:textId="77777777" w:rsidR="00C0359A" w:rsidRDefault="00C0359A">
      <w:r>
        <w:separator/>
      </w:r>
    </w:p>
  </w:footnote>
  <w:footnote w:type="continuationSeparator" w:id="0">
    <w:p w14:paraId="49DD268F" w14:textId="77777777" w:rsidR="00C0359A" w:rsidRDefault="00C035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CD8A4" w14:textId="6684E7D4" w:rsidR="002F5318" w:rsidRPr="00D27753" w:rsidRDefault="00D27753">
    <w:pPr>
      <w:pStyle w:val="Header"/>
      <w:rPr>
        <w:rFonts w:ascii="Book Antiqua" w:hAnsi="Book Antiqua" w:cs="Calibri"/>
        <w:sz w:val="24"/>
      </w:rPr>
    </w:pPr>
    <w:proofErr w:type="spellStart"/>
    <w:r w:rsidRPr="00D27753">
      <w:rPr>
        <w:rFonts w:ascii="Book Antiqua" w:hAnsi="Book Antiqua"/>
        <w:sz w:val="24"/>
      </w:rPr>
      <w:t>Dharmawangsa</w:t>
    </w:r>
    <w:proofErr w:type="spellEnd"/>
    <w:r w:rsidRPr="00D27753">
      <w:rPr>
        <w:rFonts w:ascii="Book Antiqua" w:hAnsi="Book Antiqua"/>
        <w:sz w:val="24"/>
      </w:rPr>
      <w:t>: International Journals of The Social Science, Education and Humanities ISSN: 2716-5132 (p) Vol. 1, No. 2, 2020 Page: 1 - 18</w:t>
    </w:r>
    <w:r w:rsidR="00DD4F5D" w:rsidRPr="00D27753">
      <w:rPr>
        <w:rFonts w:ascii="Book Antiqua" w:hAnsi="Book Antiqua" w:cs="Calibri"/>
        <w:sz w:val="24"/>
      </w:rPr>
      <w:tab/>
    </w:r>
    <w:r w:rsidR="00DD4F5D" w:rsidRPr="00D27753">
      <w:rPr>
        <w:rFonts w:ascii="Book Antiqua" w:hAnsi="Book Antiqua" w:cs="Calibri"/>
        <w:sz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35266"/>
    <w:multiLevelType w:val="hybridMultilevel"/>
    <w:tmpl w:val="2E68ACCE"/>
    <w:lvl w:ilvl="0" w:tplc="0421000F">
      <w:start w:val="1"/>
      <w:numFmt w:val="decimal"/>
      <w:lvlText w:val="%1."/>
      <w:lvlJc w:val="left"/>
      <w:pPr>
        <w:ind w:left="1174" w:hanging="360"/>
      </w:pPr>
    </w:lvl>
    <w:lvl w:ilvl="1" w:tplc="04210019" w:tentative="1">
      <w:start w:val="1"/>
      <w:numFmt w:val="lowerLetter"/>
      <w:lvlText w:val="%2."/>
      <w:lvlJc w:val="left"/>
      <w:pPr>
        <w:ind w:left="1894" w:hanging="360"/>
      </w:pPr>
    </w:lvl>
    <w:lvl w:ilvl="2" w:tplc="0421001B" w:tentative="1">
      <w:start w:val="1"/>
      <w:numFmt w:val="lowerRoman"/>
      <w:lvlText w:val="%3."/>
      <w:lvlJc w:val="right"/>
      <w:pPr>
        <w:ind w:left="2614" w:hanging="180"/>
      </w:pPr>
    </w:lvl>
    <w:lvl w:ilvl="3" w:tplc="0421000F" w:tentative="1">
      <w:start w:val="1"/>
      <w:numFmt w:val="decimal"/>
      <w:lvlText w:val="%4."/>
      <w:lvlJc w:val="left"/>
      <w:pPr>
        <w:ind w:left="3334" w:hanging="360"/>
      </w:pPr>
    </w:lvl>
    <w:lvl w:ilvl="4" w:tplc="04210019" w:tentative="1">
      <w:start w:val="1"/>
      <w:numFmt w:val="lowerLetter"/>
      <w:lvlText w:val="%5."/>
      <w:lvlJc w:val="left"/>
      <w:pPr>
        <w:ind w:left="4054" w:hanging="360"/>
      </w:pPr>
    </w:lvl>
    <w:lvl w:ilvl="5" w:tplc="0421001B" w:tentative="1">
      <w:start w:val="1"/>
      <w:numFmt w:val="lowerRoman"/>
      <w:lvlText w:val="%6."/>
      <w:lvlJc w:val="right"/>
      <w:pPr>
        <w:ind w:left="4774" w:hanging="180"/>
      </w:pPr>
    </w:lvl>
    <w:lvl w:ilvl="6" w:tplc="0421000F" w:tentative="1">
      <w:start w:val="1"/>
      <w:numFmt w:val="decimal"/>
      <w:lvlText w:val="%7."/>
      <w:lvlJc w:val="left"/>
      <w:pPr>
        <w:ind w:left="5494" w:hanging="360"/>
      </w:pPr>
    </w:lvl>
    <w:lvl w:ilvl="7" w:tplc="04210019" w:tentative="1">
      <w:start w:val="1"/>
      <w:numFmt w:val="lowerLetter"/>
      <w:lvlText w:val="%8."/>
      <w:lvlJc w:val="left"/>
      <w:pPr>
        <w:ind w:left="6214" w:hanging="360"/>
      </w:pPr>
    </w:lvl>
    <w:lvl w:ilvl="8" w:tplc="0421001B" w:tentative="1">
      <w:start w:val="1"/>
      <w:numFmt w:val="lowerRoman"/>
      <w:lvlText w:val="%9."/>
      <w:lvlJc w:val="right"/>
      <w:pPr>
        <w:ind w:left="6934" w:hanging="180"/>
      </w:pPr>
    </w:lvl>
  </w:abstractNum>
  <w:abstractNum w:abstractNumId="1" w15:restartNumberingAfterBreak="0">
    <w:nsid w:val="1FC33D09"/>
    <w:multiLevelType w:val="multilevel"/>
    <w:tmpl w:val="88CA3102"/>
    <w:lvl w:ilvl="0">
      <w:start w:val="1"/>
      <w:numFmt w:val="decimal"/>
      <w:lvlText w:val="[%1]"/>
      <w:lvlJc w:val="left"/>
      <w:pPr>
        <w:ind w:left="720" w:hanging="360"/>
      </w:pPr>
      <w:rPr>
        <w:rFonts w:cs="Times New Roman"/>
        <w:b w:val="0"/>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02F5E46"/>
    <w:multiLevelType w:val="multilevel"/>
    <w:tmpl w:val="9A24C0B2"/>
    <w:lvl w:ilvl="0">
      <w:start w:val="1"/>
      <w:numFmt w:val="upperRoman"/>
      <w:lvlText w:val="%1."/>
      <w:lvlJc w:val="left"/>
      <w:pPr>
        <w:ind w:left="1080" w:hanging="720"/>
      </w:pPr>
      <w:rPr>
        <w:rFonts w:ascii="Times New Roman" w:hAnsi="Times New Roman" w:cs="Times New Roman" w:hint="default"/>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ABC1EB7"/>
    <w:multiLevelType w:val="multilevel"/>
    <w:tmpl w:val="0E5E89B4"/>
    <w:lvl w:ilvl="0">
      <w:start w:val="1"/>
      <w:numFmt w:val="upperLetter"/>
      <w:lvlText w:val="%1."/>
      <w:lvlJc w:val="left"/>
      <w:pPr>
        <w:ind w:left="720" w:hanging="360"/>
      </w:pPr>
      <w:rPr>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B41219F"/>
    <w:multiLevelType w:val="hybridMultilevel"/>
    <w:tmpl w:val="22464870"/>
    <w:lvl w:ilvl="0" w:tplc="0421000F">
      <w:start w:val="1"/>
      <w:numFmt w:val="decimal"/>
      <w:lvlText w:val="%1."/>
      <w:lvlJc w:val="left"/>
      <w:pPr>
        <w:ind w:left="1174" w:hanging="360"/>
      </w:pPr>
    </w:lvl>
    <w:lvl w:ilvl="1" w:tplc="04210019" w:tentative="1">
      <w:start w:val="1"/>
      <w:numFmt w:val="lowerLetter"/>
      <w:lvlText w:val="%2."/>
      <w:lvlJc w:val="left"/>
      <w:pPr>
        <w:ind w:left="1894" w:hanging="360"/>
      </w:pPr>
    </w:lvl>
    <w:lvl w:ilvl="2" w:tplc="0421001B" w:tentative="1">
      <w:start w:val="1"/>
      <w:numFmt w:val="lowerRoman"/>
      <w:lvlText w:val="%3."/>
      <w:lvlJc w:val="right"/>
      <w:pPr>
        <w:ind w:left="2614" w:hanging="180"/>
      </w:pPr>
    </w:lvl>
    <w:lvl w:ilvl="3" w:tplc="0421000F" w:tentative="1">
      <w:start w:val="1"/>
      <w:numFmt w:val="decimal"/>
      <w:lvlText w:val="%4."/>
      <w:lvlJc w:val="left"/>
      <w:pPr>
        <w:ind w:left="3334" w:hanging="360"/>
      </w:pPr>
    </w:lvl>
    <w:lvl w:ilvl="4" w:tplc="04210019" w:tentative="1">
      <w:start w:val="1"/>
      <w:numFmt w:val="lowerLetter"/>
      <w:lvlText w:val="%5."/>
      <w:lvlJc w:val="left"/>
      <w:pPr>
        <w:ind w:left="4054" w:hanging="360"/>
      </w:pPr>
    </w:lvl>
    <w:lvl w:ilvl="5" w:tplc="0421001B" w:tentative="1">
      <w:start w:val="1"/>
      <w:numFmt w:val="lowerRoman"/>
      <w:lvlText w:val="%6."/>
      <w:lvlJc w:val="right"/>
      <w:pPr>
        <w:ind w:left="4774" w:hanging="180"/>
      </w:pPr>
    </w:lvl>
    <w:lvl w:ilvl="6" w:tplc="0421000F" w:tentative="1">
      <w:start w:val="1"/>
      <w:numFmt w:val="decimal"/>
      <w:lvlText w:val="%7."/>
      <w:lvlJc w:val="left"/>
      <w:pPr>
        <w:ind w:left="5494" w:hanging="360"/>
      </w:pPr>
    </w:lvl>
    <w:lvl w:ilvl="7" w:tplc="04210019" w:tentative="1">
      <w:start w:val="1"/>
      <w:numFmt w:val="lowerLetter"/>
      <w:lvlText w:val="%8."/>
      <w:lvlJc w:val="left"/>
      <w:pPr>
        <w:ind w:left="6214" w:hanging="360"/>
      </w:pPr>
    </w:lvl>
    <w:lvl w:ilvl="8" w:tplc="0421001B" w:tentative="1">
      <w:start w:val="1"/>
      <w:numFmt w:val="lowerRoman"/>
      <w:lvlText w:val="%9."/>
      <w:lvlJc w:val="right"/>
      <w:pPr>
        <w:ind w:left="6934" w:hanging="180"/>
      </w:pPr>
    </w:lvl>
  </w:abstractNum>
  <w:abstractNum w:abstractNumId="5" w15:restartNumberingAfterBreak="0">
    <w:nsid w:val="49017924"/>
    <w:multiLevelType w:val="multilevel"/>
    <w:tmpl w:val="4DEE073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05D4D69"/>
    <w:multiLevelType w:val="multilevel"/>
    <w:tmpl w:val="02804A4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5"/>
  </w:num>
  <w:num w:numId="3">
    <w:abstractNumId w:val="3"/>
  </w:num>
  <w:num w:numId="4">
    <w:abstractNumId w:val="2"/>
  </w:num>
  <w:num w:numId="5">
    <w:abstractNumId w:val="6"/>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MyMrIwNjYwMTYxNTVQ0lEKTi0uzszPAykwrgUAb3Kb8CwAAAA="/>
  </w:docVars>
  <w:rsids>
    <w:rsidRoot w:val="002F5318"/>
    <w:rsid w:val="00025096"/>
    <w:rsid w:val="000548D9"/>
    <w:rsid w:val="000A39E7"/>
    <w:rsid w:val="00132612"/>
    <w:rsid w:val="001619EA"/>
    <w:rsid w:val="002573AC"/>
    <w:rsid w:val="002E32E7"/>
    <w:rsid w:val="002F5318"/>
    <w:rsid w:val="0030796C"/>
    <w:rsid w:val="00517445"/>
    <w:rsid w:val="005C005B"/>
    <w:rsid w:val="006E5054"/>
    <w:rsid w:val="006F7968"/>
    <w:rsid w:val="008218FB"/>
    <w:rsid w:val="00C0359A"/>
    <w:rsid w:val="00D27753"/>
    <w:rsid w:val="00DD4F5D"/>
    <w:rsid w:val="00DE09B0"/>
    <w:rsid w:val="00E33224"/>
    <w:rsid w:val="00E6604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1B8694"/>
  <w15:docId w15:val="{419A64E1-A790-4BC3-B0FD-B4D424EB8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DejaVu Sans"/>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jc w:val="both"/>
    </w:pPr>
    <w:rPr>
      <w:rFonts w:ascii="Arial" w:eastAsia="Times New Roman" w:hAnsi="Arial" w:cs="Times New Roman"/>
      <w:sz w:val="18"/>
      <w:szCs w:val="24"/>
      <w:lang w:val="en-GB" w:eastAsia="en-GB"/>
    </w:rPr>
  </w:style>
  <w:style w:type="paragraph" w:styleId="Heading1">
    <w:name w:val="heading 1"/>
    <w:basedOn w:val="Normal"/>
    <w:next w:val="Normal"/>
    <w:qFormat/>
    <w:pPr>
      <w:keepNext/>
      <w:outlineLvl w:val="0"/>
    </w:pPr>
    <w:rPr>
      <w:rFonts w:cs="Arial"/>
      <w:b/>
      <w:kern w:val="2"/>
      <w:sz w:val="20"/>
      <w:szCs w:val="32"/>
      <w:lang w:eastAsia="en-US"/>
    </w:rPr>
  </w:style>
  <w:style w:type="paragraph" w:styleId="Heading3">
    <w:name w:val="heading 3"/>
    <w:basedOn w:val="Normal"/>
    <w:next w:val="Normal"/>
    <w:link w:val="Heading3Char"/>
    <w:uiPriority w:val="9"/>
    <w:semiHidden/>
    <w:unhideWhenUsed/>
    <w:qFormat/>
    <w:rsid w:val="002E32E7"/>
    <w:pPr>
      <w:keepNext/>
      <w:keepLines/>
      <w:spacing w:before="40"/>
      <w:outlineLvl w:val="2"/>
    </w:pPr>
    <w:rPr>
      <w:rFonts w:asciiTheme="majorHAnsi" w:eastAsiaTheme="majorEastAsia" w:hAnsiTheme="majorHAnsi" w:cstheme="majorBidi"/>
      <w:color w:val="243F60" w:themeColor="accent1" w:themeShade="7F"/>
      <w:sz w:val="24"/>
    </w:rPr>
  </w:style>
  <w:style w:type="paragraph" w:styleId="Heading4">
    <w:name w:val="heading 4"/>
    <w:basedOn w:val="Normal"/>
    <w:next w:val="Normal"/>
    <w:link w:val="Heading4Char"/>
    <w:uiPriority w:val="9"/>
    <w:semiHidden/>
    <w:unhideWhenUsed/>
    <w:qFormat/>
    <w:rsid w:val="002E32E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qFormat/>
  </w:style>
  <w:style w:type="character" w:customStyle="1" w:styleId="FooterChar">
    <w:name w:val="Footer Char"/>
    <w:basedOn w:val="DefaultParagraphFont"/>
    <w:qFormat/>
  </w:style>
  <w:style w:type="character" w:customStyle="1" w:styleId="BalloonTextChar">
    <w:name w:val="Balloon Text Char"/>
    <w:basedOn w:val="DefaultParagraphFont"/>
    <w:qFormat/>
    <w:rPr>
      <w:rFonts w:ascii="Tahoma" w:hAnsi="Tahoma" w:cs="Tahoma"/>
      <w:sz w:val="16"/>
      <w:szCs w:val="16"/>
    </w:rPr>
  </w:style>
  <w:style w:type="character" w:customStyle="1" w:styleId="Heading1Char">
    <w:name w:val="Heading 1 Char"/>
    <w:basedOn w:val="DefaultParagraphFont"/>
    <w:qFormat/>
    <w:rPr>
      <w:rFonts w:ascii="Arial" w:eastAsia="Times New Roman" w:hAnsi="Arial" w:cs="Arial"/>
      <w:b/>
      <w:kern w:val="2"/>
      <w:sz w:val="20"/>
      <w:szCs w:val="32"/>
      <w:lang w:val="en-GB"/>
    </w:rPr>
  </w:style>
  <w:style w:type="character" w:customStyle="1" w:styleId="ListParagraphChar">
    <w:name w:val="List Paragraph Char"/>
    <w:qFormat/>
    <w:rPr>
      <w:rFonts w:ascii="Calibri" w:eastAsia="Times New Roman" w:hAnsi="Calibri" w:cs="Times New Roman"/>
    </w:rPr>
  </w:style>
  <w:style w:type="character" w:customStyle="1" w:styleId="citation">
    <w:name w:val="citation"/>
    <w:basedOn w:val="DefaultParagraphFont"/>
    <w:qFormat/>
  </w:style>
  <w:style w:type="character" w:customStyle="1" w:styleId="ListLabel1">
    <w:name w:val="ListLabel 1"/>
    <w:qFormat/>
    <w:rPr>
      <w:rFonts w:ascii="Times New Roman" w:hAnsi="Times New Roman" w:cs="Times New Roman"/>
      <w:b w:val="0"/>
      <w:i w:val="0"/>
      <w:sz w:val="24"/>
      <w:szCs w:val="24"/>
    </w:rPr>
  </w:style>
  <w:style w:type="character" w:customStyle="1" w:styleId="ListLabel2">
    <w:name w:val="ListLabel 2"/>
    <w:qFormat/>
    <w:rPr>
      <w:rFonts w:ascii="Times New Roman" w:hAnsi="Times New Roman"/>
      <w:b w:val="0"/>
      <w:sz w:val="24"/>
    </w:rPr>
  </w:style>
  <w:style w:type="character" w:customStyle="1" w:styleId="ListLabel3">
    <w:name w:val="ListLabel 3"/>
    <w:qFormat/>
    <w:rPr>
      <w:rFonts w:ascii="Times New Roman" w:hAnsi="Times New Roman"/>
      <w:b w:val="0"/>
      <w:sz w:val="24"/>
    </w:rPr>
  </w:style>
  <w:style w:type="character" w:styleId="Emphasis">
    <w:name w:val="Emphasis"/>
    <w:uiPriority w:val="20"/>
    <w:qFormat/>
    <w:rPr>
      <w:i/>
      <w:iCs/>
    </w:rPr>
  </w:style>
  <w:style w:type="character" w:customStyle="1" w:styleId="InternetLink">
    <w:name w:val="Internet Link"/>
    <w:rPr>
      <w:color w:val="000080"/>
      <w:u w:val="single"/>
    </w:rPr>
  </w:style>
  <w:style w:type="character" w:customStyle="1" w:styleId="ListLabel4">
    <w:name w:val="ListLabel 4"/>
    <w:qFormat/>
    <w:rPr>
      <w:rFonts w:cs="Times New Roman"/>
      <w:b w:val="0"/>
      <w:i w:val="0"/>
      <w:sz w:val="24"/>
      <w:szCs w:val="24"/>
    </w:rPr>
  </w:style>
  <w:style w:type="character" w:customStyle="1" w:styleId="ListLabel5">
    <w:name w:val="ListLabel 5"/>
    <w:qFormat/>
    <w:rPr>
      <w:b w:val="0"/>
      <w:sz w:val="24"/>
    </w:rPr>
  </w:style>
  <w:style w:type="character" w:customStyle="1" w:styleId="ListLabel6">
    <w:name w:val="ListLabel 6"/>
    <w:qFormat/>
    <w:rPr>
      <w:b w:val="0"/>
      <w:sz w:val="24"/>
    </w:rPr>
  </w:style>
  <w:style w:type="character" w:customStyle="1" w:styleId="ListLabel7">
    <w:name w:val="ListLabel 7"/>
    <w:qFormat/>
    <w:rPr>
      <w:rFonts w:cs="Times New Roman"/>
      <w:b w:val="0"/>
      <w:i w:val="0"/>
      <w:sz w:val="24"/>
      <w:szCs w:val="24"/>
    </w:rPr>
  </w:style>
  <w:style w:type="character" w:customStyle="1" w:styleId="ListLabel8">
    <w:name w:val="ListLabel 8"/>
    <w:qFormat/>
    <w:rPr>
      <w:b w:val="0"/>
      <w:sz w:val="24"/>
    </w:rPr>
  </w:style>
  <w:style w:type="character" w:customStyle="1" w:styleId="ListLabel9">
    <w:name w:val="ListLabel 9"/>
    <w:qFormat/>
    <w:rPr>
      <w:b w:val="0"/>
      <w:sz w:val="24"/>
    </w:rPr>
  </w:style>
  <w:style w:type="character" w:customStyle="1" w:styleId="ListLabel10">
    <w:name w:val="ListLabel 10"/>
    <w:qFormat/>
    <w:rPr>
      <w:rFonts w:cs="Times New Roman"/>
      <w:b w:val="0"/>
      <w:i w:val="0"/>
      <w:sz w:val="24"/>
      <w:szCs w:val="24"/>
    </w:rPr>
  </w:style>
  <w:style w:type="character" w:customStyle="1" w:styleId="ListLabel11">
    <w:name w:val="ListLabel 11"/>
    <w:qFormat/>
    <w:rPr>
      <w:b w:val="0"/>
      <w:sz w:val="24"/>
    </w:rPr>
  </w:style>
  <w:style w:type="character" w:customStyle="1" w:styleId="ListLabel12">
    <w:name w:val="ListLabel 12"/>
    <w:qFormat/>
    <w:rPr>
      <w:b w:val="0"/>
      <w:sz w:val="24"/>
    </w:rPr>
  </w:style>
  <w:style w:type="character" w:customStyle="1" w:styleId="ListLabel13">
    <w:name w:val="ListLabel 13"/>
    <w:qFormat/>
    <w:rPr>
      <w:rFonts w:cs="Times New Roman"/>
      <w:b w:val="0"/>
      <w:i w:val="0"/>
      <w:sz w:val="24"/>
      <w:szCs w:val="24"/>
    </w:rPr>
  </w:style>
  <w:style w:type="character" w:customStyle="1" w:styleId="ListLabel14">
    <w:name w:val="ListLabel 14"/>
    <w:qFormat/>
    <w:rPr>
      <w:b w:val="0"/>
      <w:sz w:val="24"/>
    </w:rPr>
  </w:style>
  <w:style w:type="character" w:customStyle="1" w:styleId="ListLabel15">
    <w:name w:val="ListLabel 15"/>
    <w:qFormat/>
    <w:rPr>
      <w:b w:val="0"/>
      <w:sz w:val="24"/>
    </w:rPr>
  </w:style>
  <w:style w:type="character" w:customStyle="1" w:styleId="ListLabel16">
    <w:name w:val="ListLabel 16"/>
    <w:qFormat/>
    <w:rPr>
      <w:rFonts w:cs="Times New Roman"/>
      <w:b w:val="0"/>
      <w:i w:val="0"/>
      <w:sz w:val="24"/>
      <w:szCs w:val="24"/>
    </w:rPr>
  </w:style>
  <w:style w:type="character" w:customStyle="1" w:styleId="ListLabel17">
    <w:name w:val="ListLabel 17"/>
    <w:qFormat/>
    <w:rPr>
      <w:b w:val="0"/>
      <w:sz w:val="24"/>
    </w:rPr>
  </w:style>
  <w:style w:type="character" w:customStyle="1" w:styleId="ListLabel18">
    <w:name w:val="ListLabel 18"/>
    <w:qFormat/>
    <w:rPr>
      <w:b w:val="0"/>
      <w:sz w:val="24"/>
    </w:rPr>
  </w:style>
  <w:style w:type="character" w:customStyle="1" w:styleId="ListLabel19">
    <w:name w:val="ListLabel 19"/>
    <w:qFormat/>
    <w:rPr>
      <w:rFonts w:cs="Times New Roman"/>
      <w:b w:val="0"/>
      <w:i w:val="0"/>
      <w:sz w:val="24"/>
      <w:szCs w:val="24"/>
    </w:rPr>
  </w:style>
  <w:style w:type="character" w:customStyle="1" w:styleId="ListLabel20">
    <w:name w:val="ListLabel 20"/>
    <w:qFormat/>
    <w:rPr>
      <w:b w:val="0"/>
      <w:sz w:val="24"/>
    </w:rPr>
  </w:style>
  <w:style w:type="character" w:customStyle="1" w:styleId="ListLabel21">
    <w:name w:val="ListLabel 21"/>
    <w:qFormat/>
    <w:rPr>
      <w:b w:val="0"/>
      <w:sz w:val="24"/>
    </w:rPr>
  </w:style>
  <w:style w:type="character" w:customStyle="1" w:styleId="ListLabel22">
    <w:name w:val="ListLabel 22"/>
    <w:qFormat/>
    <w:rPr>
      <w:rFonts w:cs="Times New Roman"/>
      <w:b w:val="0"/>
      <w:i w:val="0"/>
      <w:sz w:val="24"/>
      <w:szCs w:val="24"/>
    </w:rPr>
  </w:style>
  <w:style w:type="character" w:customStyle="1" w:styleId="ListLabel23">
    <w:name w:val="ListLabel 23"/>
    <w:qFormat/>
    <w:rPr>
      <w:b w:val="0"/>
      <w:sz w:val="24"/>
    </w:rPr>
  </w:style>
  <w:style w:type="character" w:customStyle="1" w:styleId="ListLabel24">
    <w:name w:val="ListLabel 24"/>
    <w:qFormat/>
    <w:rPr>
      <w:b w:val="0"/>
      <w:sz w:val="24"/>
    </w:rPr>
  </w:style>
  <w:style w:type="paragraph" w:customStyle="1" w:styleId="Heading">
    <w:name w:val="Heading"/>
    <w:basedOn w:val="Normal"/>
    <w:next w:val="BodyText"/>
    <w:qFormat/>
    <w:pPr>
      <w:keepNext/>
      <w:spacing w:before="240" w:after="120"/>
    </w:pPr>
    <w:rPr>
      <w:rFonts w:ascii="Liberation Sans" w:eastAsia="Noto Sans CJK SC Regular"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rPr>
  </w:style>
  <w:style w:type="paragraph" w:customStyle="1" w:styleId="Index">
    <w:name w:val="Index"/>
    <w:basedOn w:val="Normal"/>
    <w:qFormat/>
    <w:pPr>
      <w:suppressLineNumbers/>
    </w:pPr>
    <w:rPr>
      <w:rFonts w:cs="Lohit Devanagari"/>
    </w:r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styleId="BalloonText">
    <w:name w:val="Balloon Text"/>
    <w:basedOn w:val="Normal"/>
    <w:qFormat/>
    <w:rPr>
      <w:rFonts w:ascii="Tahoma" w:hAnsi="Tahoma" w:cs="Tahoma"/>
      <w:sz w:val="16"/>
      <w:szCs w:val="16"/>
    </w:rPr>
  </w:style>
  <w:style w:type="paragraph" w:customStyle="1" w:styleId="Authors">
    <w:name w:val="Author(s)"/>
    <w:basedOn w:val="Normal"/>
    <w:qFormat/>
    <w:pPr>
      <w:jc w:val="center"/>
    </w:pPr>
    <w:rPr>
      <w:b/>
      <w:sz w:val="20"/>
    </w:rPr>
  </w:style>
  <w:style w:type="paragraph" w:customStyle="1" w:styleId="AuthorsAffiliations">
    <w:name w:val="Author(s) Affiliation(s)"/>
    <w:basedOn w:val="Normal"/>
    <w:qFormat/>
    <w:pPr>
      <w:jc w:val="center"/>
    </w:pPr>
    <w:rPr>
      <w:i/>
    </w:rPr>
  </w:style>
  <w:style w:type="paragraph" w:customStyle="1" w:styleId="AbstractTitle">
    <w:name w:val="Abstract Title"/>
    <w:basedOn w:val="Normal"/>
    <w:qFormat/>
    <w:pPr>
      <w:ind w:left="567" w:right="567"/>
      <w:jc w:val="center"/>
    </w:pPr>
    <w:rPr>
      <w:b/>
      <w:szCs w:val="20"/>
    </w:rPr>
  </w:style>
  <w:style w:type="paragraph" w:styleId="ListParagraph">
    <w:name w:val="List Paragraph"/>
    <w:basedOn w:val="Normal"/>
    <w:qFormat/>
    <w:pPr>
      <w:spacing w:after="200" w:line="276" w:lineRule="auto"/>
      <w:ind w:left="720"/>
      <w:jc w:val="left"/>
    </w:pPr>
    <w:rPr>
      <w:rFonts w:ascii="Calibri" w:hAnsi="Calibri"/>
      <w:sz w:val="22"/>
      <w:szCs w:val="22"/>
      <w:lang w:val="en-US" w:eastAsia="en-US"/>
    </w:rPr>
  </w:style>
  <w:style w:type="paragraph" w:customStyle="1" w:styleId="Text">
    <w:name w:val="Text"/>
    <w:basedOn w:val="Normal"/>
    <w:qFormat/>
    <w:pPr>
      <w:widowControl w:val="0"/>
      <w:spacing w:line="252" w:lineRule="auto"/>
      <w:ind w:firstLine="202"/>
    </w:pPr>
    <w:rPr>
      <w:rFonts w:ascii="Times New Roman" w:hAnsi="Times New Roman"/>
      <w:sz w:val="20"/>
      <w:szCs w:val="20"/>
      <w:lang w:val="en-US" w:eastAsia="en-US"/>
    </w:rPr>
  </w:style>
  <w:style w:type="character" w:customStyle="1" w:styleId="Heading3Char">
    <w:name w:val="Heading 3 Char"/>
    <w:basedOn w:val="DefaultParagraphFont"/>
    <w:link w:val="Heading3"/>
    <w:uiPriority w:val="9"/>
    <w:semiHidden/>
    <w:rsid w:val="002E32E7"/>
    <w:rPr>
      <w:rFonts w:asciiTheme="majorHAnsi" w:eastAsiaTheme="majorEastAsia" w:hAnsiTheme="majorHAnsi" w:cstheme="majorBidi"/>
      <w:color w:val="243F60" w:themeColor="accent1" w:themeShade="7F"/>
      <w:sz w:val="24"/>
      <w:szCs w:val="24"/>
      <w:lang w:val="en-GB" w:eastAsia="en-GB"/>
    </w:rPr>
  </w:style>
  <w:style w:type="paragraph" w:styleId="NormalWeb">
    <w:name w:val="Normal (Web)"/>
    <w:basedOn w:val="Normal"/>
    <w:uiPriority w:val="99"/>
    <w:semiHidden/>
    <w:unhideWhenUsed/>
    <w:rsid w:val="002E32E7"/>
    <w:pPr>
      <w:overflowPunct/>
      <w:spacing w:before="100" w:beforeAutospacing="1" w:after="100" w:afterAutospacing="1"/>
      <w:jc w:val="left"/>
    </w:pPr>
    <w:rPr>
      <w:rFonts w:ascii="Times New Roman" w:hAnsi="Times New Roman"/>
      <w:sz w:val="24"/>
      <w:lang w:val="id-ID" w:eastAsia="id-ID"/>
    </w:rPr>
  </w:style>
  <w:style w:type="character" w:customStyle="1" w:styleId="Heading4Char">
    <w:name w:val="Heading 4 Char"/>
    <w:basedOn w:val="DefaultParagraphFont"/>
    <w:link w:val="Heading4"/>
    <w:uiPriority w:val="9"/>
    <w:semiHidden/>
    <w:rsid w:val="002E32E7"/>
    <w:rPr>
      <w:rFonts w:asciiTheme="majorHAnsi" w:eastAsiaTheme="majorEastAsia" w:hAnsiTheme="majorHAnsi" w:cstheme="majorBidi"/>
      <w:i/>
      <w:iCs/>
      <w:color w:val="365F91" w:themeColor="accent1" w:themeShade="BF"/>
      <w:sz w:val="18"/>
      <w:szCs w:val="24"/>
      <w:lang w:val="en-GB" w:eastAsia="en-GB"/>
    </w:rPr>
  </w:style>
  <w:style w:type="character" w:styleId="PlaceholderText">
    <w:name w:val="Placeholder Text"/>
    <w:basedOn w:val="DefaultParagraphFont"/>
    <w:uiPriority w:val="99"/>
    <w:semiHidden/>
    <w:rsid w:val="00025096"/>
    <w:rPr>
      <w:color w:val="808080"/>
    </w:rPr>
  </w:style>
  <w:style w:type="character" w:customStyle="1" w:styleId="mord">
    <w:name w:val="mord"/>
    <w:basedOn w:val="DefaultParagraphFont"/>
    <w:rsid w:val="00025096"/>
  </w:style>
  <w:style w:type="character" w:customStyle="1" w:styleId="mrel">
    <w:name w:val="mrel"/>
    <w:basedOn w:val="DefaultParagraphFont"/>
    <w:rsid w:val="00025096"/>
  </w:style>
  <w:style w:type="character" w:customStyle="1" w:styleId="mbin">
    <w:name w:val="mbin"/>
    <w:basedOn w:val="DefaultParagraphFont"/>
    <w:rsid w:val="00025096"/>
  </w:style>
  <w:style w:type="character" w:customStyle="1" w:styleId="vlist-s">
    <w:name w:val="vlist-s"/>
    <w:basedOn w:val="DefaultParagraphFont"/>
    <w:rsid w:val="00025096"/>
  </w:style>
  <w:style w:type="character" w:styleId="Hyperlink">
    <w:name w:val="Hyperlink"/>
    <w:basedOn w:val="DefaultParagraphFont"/>
    <w:uiPriority w:val="99"/>
    <w:unhideWhenUsed/>
    <w:rsid w:val="0051744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654900">
      <w:bodyDiv w:val="1"/>
      <w:marLeft w:val="0"/>
      <w:marRight w:val="0"/>
      <w:marTop w:val="0"/>
      <w:marBottom w:val="0"/>
      <w:divBdr>
        <w:top w:val="none" w:sz="0" w:space="0" w:color="auto"/>
        <w:left w:val="none" w:sz="0" w:space="0" w:color="auto"/>
        <w:bottom w:val="none" w:sz="0" w:space="0" w:color="auto"/>
        <w:right w:val="none" w:sz="0" w:space="0" w:color="auto"/>
      </w:divBdr>
    </w:div>
    <w:div w:id="154690358">
      <w:bodyDiv w:val="1"/>
      <w:marLeft w:val="0"/>
      <w:marRight w:val="0"/>
      <w:marTop w:val="0"/>
      <w:marBottom w:val="0"/>
      <w:divBdr>
        <w:top w:val="none" w:sz="0" w:space="0" w:color="auto"/>
        <w:left w:val="none" w:sz="0" w:space="0" w:color="auto"/>
        <w:bottom w:val="none" w:sz="0" w:space="0" w:color="auto"/>
        <w:right w:val="none" w:sz="0" w:space="0" w:color="auto"/>
      </w:divBdr>
    </w:div>
    <w:div w:id="555549608">
      <w:bodyDiv w:val="1"/>
      <w:marLeft w:val="0"/>
      <w:marRight w:val="0"/>
      <w:marTop w:val="0"/>
      <w:marBottom w:val="0"/>
      <w:divBdr>
        <w:top w:val="none" w:sz="0" w:space="0" w:color="auto"/>
        <w:left w:val="none" w:sz="0" w:space="0" w:color="auto"/>
        <w:bottom w:val="none" w:sz="0" w:space="0" w:color="auto"/>
        <w:right w:val="none" w:sz="0" w:space="0" w:color="auto"/>
      </w:divBdr>
    </w:div>
    <w:div w:id="633172185">
      <w:bodyDiv w:val="1"/>
      <w:marLeft w:val="0"/>
      <w:marRight w:val="0"/>
      <w:marTop w:val="0"/>
      <w:marBottom w:val="0"/>
      <w:divBdr>
        <w:top w:val="none" w:sz="0" w:space="0" w:color="auto"/>
        <w:left w:val="none" w:sz="0" w:space="0" w:color="auto"/>
        <w:bottom w:val="none" w:sz="0" w:space="0" w:color="auto"/>
        <w:right w:val="none" w:sz="0" w:space="0" w:color="auto"/>
      </w:divBdr>
    </w:div>
    <w:div w:id="846210666">
      <w:bodyDiv w:val="1"/>
      <w:marLeft w:val="0"/>
      <w:marRight w:val="0"/>
      <w:marTop w:val="0"/>
      <w:marBottom w:val="0"/>
      <w:divBdr>
        <w:top w:val="none" w:sz="0" w:space="0" w:color="auto"/>
        <w:left w:val="none" w:sz="0" w:space="0" w:color="auto"/>
        <w:bottom w:val="none" w:sz="0" w:space="0" w:color="auto"/>
        <w:right w:val="none" w:sz="0" w:space="0" w:color="auto"/>
      </w:divBdr>
    </w:div>
    <w:div w:id="874924594">
      <w:bodyDiv w:val="1"/>
      <w:marLeft w:val="0"/>
      <w:marRight w:val="0"/>
      <w:marTop w:val="0"/>
      <w:marBottom w:val="0"/>
      <w:divBdr>
        <w:top w:val="none" w:sz="0" w:space="0" w:color="auto"/>
        <w:left w:val="none" w:sz="0" w:space="0" w:color="auto"/>
        <w:bottom w:val="none" w:sz="0" w:space="0" w:color="auto"/>
        <w:right w:val="none" w:sz="0" w:space="0" w:color="auto"/>
      </w:divBdr>
    </w:div>
    <w:div w:id="901452819">
      <w:bodyDiv w:val="1"/>
      <w:marLeft w:val="0"/>
      <w:marRight w:val="0"/>
      <w:marTop w:val="0"/>
      <w:marBottom w:val="0"/>
      <w:divBdr>
        <w:top w:val="none" w:sz="0" w:space="0" w:color="auto"/>
        <w:left w:val="none" w:sz="0" w:space="0" w:color="auto"/>
        <w:bottom w:val="none" w:sz="0" w:space="0" w:color="auto"/>
        <w:right w:val="none" w:sz="0" w:space="0" w:color="auto"/>
      </w:divBdr>
    </w:div>
    <w:div w:id="1394308543">
      <w:bodyDiv w:val="1"/>
      <w:marLeft w:val="0"/>
      <w:marRight w:val="0"/>
      <w:marTop w:val="0"/>
      <w:marBottom w:val="0"/>
      <w:divBdr>
        <w:top w:val="none" w:sz="0" w:space="0" w:color="auto"/>
        <w:left w:val="none" w:sz="0" w:space="0" w:color="auto"/>
        <w:bottom w:val="none" w:sz="0" w:space="0" w:color="auto"/>
        <w:right w:val="none" w:sz="0" w:space="0" w:color="auto"/>
      </w:divBdr>
    </w:div>
    <w:div w:id="1673600671">
      <w:bodyDiv w:val="1"/>
      <w:marLeft w:val="0"/>
      <w:marRight w:val="0"/>
      <w:marTop w:val="0"/>
      <w:marBottom w:val="0"/>
      <w:divBdr>
        <w:top w:val="none" w:sz="0" w:space="0" w:color="auto"/>
        <w:left w:val="none" w:sz="0" w:space="0" w:color="auto"/>
        <w:bottom w:val="none" w:sz="0" w:space="0" w:color="auto"/>
        <w:right w:val="none" w:sz="0" w:space="0" w:color="auto"/>
      </w:divBdr>
    </w:div>
    <w:div w:id="1926648262">
      <w:bodyDiv w:val="1"/>
      <w:marLeft w:val="0"/>
      <w:marRight w:val="0"/>
      <w:marTop w:val="0"/>
      <w:marBottom w:val="0"/>
      <w:divBdr>
        <w:top w:val="none" w:sz="0" w:space="0" w:color="auto"/>
        <w:left w:val="none" w:sz="0" w:space="0" w:color="auto"/>
        <w:bottom w:val="none" w:sz="0" w:space="0" w:color="auto"/>
        <w:right w:val="none" w:sz="0" w:space="0" w:color="auto"/>
      </w:divBdr>
    </w:div>
    <w:div w:id="19858099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3z4@dharmawangsa.ac.i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yaharman@dharmawangsa.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36687-7CCB-4832-A87C-EFBB28A09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9</Pages>
  <Words>3315</Words>
  <Characters>18896</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Society</dc:creator>
  <cp:keywords>Society, 7(2) 2019</cp:keywords>
  <cp:lastModifiedBy>labor1_38</cp:lastModifiedBy>
  <cp:revision>11</cp:revision>
  <cp:lastPrinted>2018-11-25T05:52:00Z</cp:lastPrinted>
  <dcterms:created xsi:type="dcterms:W3CDTF">2019-07-27T00:51:00Z</dcterms:created>
  <dcterms:modified xsi:type="dcterms:W3CDTF">2025-07-04T05:09:00Z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