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70055D2D">
      <w:pPr>
        <w:keepNext w:val="0"/>
        <w:keepLines w:val="0"/>
        <w:widowControl/>
        <w:suppressLineNumbers w:val="0"/>
        <w:jc w:val="left"/>
        <w:rPr>
          <w:vanish/>
        </w:rPr>
      </w:pPr>
      <w:r>
        <w:rPr>
          <w:rFonts w:ascii="SimSun" w:hAnsi="SimSun" w:eastAsia="SimSun" w:cs="SimSun"/>
          <w:vanish/>
          <w:sz w:val="24"/>
          <w:szCs w:val="24"/>
        </w:rPr>
        <w:t>Pesan peringatan ditampilkan.</w:t>
      </w:r>
    </w:p>
    <w:p w14:paraId="65AF4CD1">
      <w:pPr>
        <w:keepNext w:val="0"/>
        <w:keepLines w:val="0"/>
        <w:widowControl/>
        <w:suppressLineNumbers w:val="0"/>
        <w:jc w:val="left"/>
        <w:rPr>
          <w:vanish/>
        </w:rPr>
      </w:pPr>
      <w:r>
        <w:rPr>
          <w:rFonts w:ascii="SimSun" w:hAnsi="SimSun" w:eastAsia="SimSun" w:cs="SimSun"/>
          <w:vanish/>
          <w:sz w:val="24"/>
          <w:szCs w:val="24"/>
        </w:rPr>
        <w:t>Buka Drive</w:t>
      </w:r>
    </w:p>
    <w:p w14:paraId="797FF5CB">
      <w:pPr>
        <w:keepNext w:val="0"/>
        <w:keepLines w:val="0"/>
        <w:widowControl/>
        <w:suppressLineNumbers w:val="0"/>
        <w:jc w:val="left"/>
      </w:pPr>
      <w:r>
        <w:rPr>
          <w:rFonts w:ascii="SimSun" w:hAnsi="SimSun" w:eastAsia="SimSun" w:cs="SimSun"/>
          <w:sz w:val="24"/>
          <w:szCs w:val="24"/>
        </w:rPr>
        <w:fldChar w:fldCharType="begin"/>
      </w:r>
      <w:r>
        <w:rPr>
          <w:rFonts w:ascii="SimSun" w:hAnsi="SimSun" w:eastAsia="SimSun" w:cs="SimSun"/>
          <w:sz w:val="24"/>
          <w:szCs w:val="24"/>
        </w:rPr>
        <w:instrText xml:space="preserve"> HYPERLINK "https://drive.google.com/u/0?usp=docs_web" </w:instrText>
      </w:r>
      <w:r>
        <w:rPr>
          <w:rFonts w:ascii="SimSun" w:hAnsi="SimSun" w:eastAsia="SimSun" w:cs="SimSun"/>
          <w:sz w:val="24"/>
          <w:szCs w:val="24"/>
        </w:rPr>
        <w:fldChar w:fldCharType="separate"/>
      </w:r>
      <w:r>
        <w:rPr>
          <w:rFonts w:ascii="SimSun" w:hAnsi="SimSun" w:eastAsia="SimSun" w:cs="SimSun"/>
          <w:sz w:val="24"/>
          <w:szCs w:val="24"/>
        </w:rPr>
        <w:fldChar w:fldCharType="end"/>
      </w:r>
    </w:p>
    <w:p w14:paraId="64B64EF0">
      <w:pPr>
        <w:keepNext w:val="0"/>
        <w:keepLines w:val="0"/>
        <w:widowControl/>
        <w:suppressLineNumbers w:val="0"/>
        <w:jc w:val="left"/>
      </w:pP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4483"/>
        <w:gridCol w:w="3655"/>
      </w:tblGrid>
      <w:tr w14:paraId="08CCA7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440" w:hRule="atLeast"/>
        </w:trPr>
        <w:tc>
          <w:tcPr>
            <w:tcW w:w="5060" w:type="dxa"/>
            <w:tcBorders>
              <w:top w:val="single" w:color="000000" w:sz="2" w:space="0"/>
              <w:left w:val="single" w:color="000000" w:sz="2" w:space="0"/>
              <w:bottom w:val="single" w:color="000000" w:sz="8" w:space="0"/>
              <w:right w:val="single" w:color="000000" w:sz="2" w:space="0"/>
            </w:tcBorders>
            <w:shd w:val="clear"/>
            <w:tcMar>
              <w:top w:w="0" w:type="dxa"/>
              <w:left w:w="100" w:type="dxa"/>
              <w:bottom w:w="0" w:type="dxa"/>
              <w:right w:w="100" w:type="dxa"/>
            </w:tcMar>
            <w:vAlign w:val="top"/>
          </w:tcPr>
          <w:p w14:paraId="7C51F55B">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220"/>
              <w:jc w:val="left"/>
              <w:rPr>
                <w:rFonts w:hint="default" w:ascii="Times New Roman" w:hAnsi="Times New Roman" w:cs="Times New Roman"/>
                <w:color w:val="000000"/>
                <w:sz w:val="24"/>
                <w:szCs w:val="24"/>
              </w:rPr>
            </w:pPr>
            <w:r>
              <w:rPr>
                <w:rFonts w:hint="default" w:ascii="Times New Roman" w:hAnsi="Times New Roman" w:cs="Times New Roman"/>
                <w:i/>
                <w:iCs/>
                <w:color w:val="000000"/>
                <w:sz w:val="24"/>
                <w:szCs w:val="24"/>
                <w:u w:val="none"/>
                <w:bdr w:val="none" w:color="auto" w:sz="0" w:space="0"/>
                <w:vertAlign w:val="baseline"/>
              </w:rPr>
              <w:t>   Jurnal Bisnis Net  Volume :   No.</w:t>
            </w:r>
          </w:p>
        </w:tc>
        <w:tc>
          <w:tcPr>
            <w:tcW w:w="3900" w:type="dxa"/>
            <w:tcBorders>
              <w:top w:val="single" w:color="000000" w:sz="2" w:space="0"/>
              <w:left w:val="single" w:color="000000" w:sz="2" w:space="0"/>
              <w:bottom w:val="single" w:color="000000" w:sz="8" w:space="0"/>
              <w:right w:val="single" w:color="000000" w:sz="2" w:space="0"/>
            </w:tcBorders>
            <w:shd w:val="clear"/>
            <w:tcMar>
              <w:top w:w="0" w:type="dxa"/>
              <w:left w:w="100" w:type="dxa"/>
              <w:bottom w:w="0" w:type="dxa"/>
              <w:right w:w="100" w:type="dxa"/>
            </w:tcMar>
            <w:vAlign w:val="top"/>
          </w:tcPr>
          <w:p w14:paraId="60BC4B70">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jc w:val="left"/>
              <w:rPr>
                <w:rFonts w:hint="default" w:ascii="Times New Roman" w:hAnsi="Times New Roman" w:cs="Times New Roman"/>
                <w:color w:val="000000"/>
                <w:sz w:val="24"/>
                <w:szCs w:val="24"/>
              </w:rPr>
            </w:pPr>
            <w:r>
              <w:rPr>
                <w:rFonts w:hint="default" w:ascii="Times New Roman" w:hAnsi="Times New Roman" w:cs="Times New Roman"/>
                <w:i/>
                <w:iCs/>
                <w:color w:val="000000"/>
                <w:sz w:val="24"/>
                <w:szCs w:val="24"/>
                <w:u w:val="none"/>
                <w:bdr w:val="none" w:color="auto" w:sz="0" w:space="0"/>
                <w:vertAlign w:val="baseline"/>
              </w:rPr>
              <w:t xml:space="preserve">  Bulan,  Tahun | ISSN: 2621 -3982 </w:t>
            </w:r>
          </w:p>
          <w:p w14:paraId="25374577">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jc w:val="left"/>
              <w:rPr>
                <w:rFonts w:hint="default" w:ascii="Times New Roman" w:hAnsi="Times New Roman" w:cs="Times New Roman"/>
                <w:color w:val="000000"/>
                <w:sz w:val="24"/>
                <w:szCs w:val="24"/>
              </w:rPr>
            </w:pPr>
            <w:r>
              <w:rPr>
                <w:rFonts w:hint="default" w:ascii="Times New Roman" w:hAnsi="Times New Roman" w:cs="Times New Roman"/>
                <w:i/>
                <w:iCs/>
                <w:color w:val="000000"/>
                <w:sz w:val="24"/>
                <w:szCs w:val="24"/>
                <w:u w:val="none"/>
                <w:bdr w:val="none" w:color="auto" w:sz="0" w:space="0"/>
                <w:vertAlign w:val="baseline"/>
              </w:rPr>
              <w:t>                           EISSN: 2722- 3574</w:t>
            </w:r>
          </w:p>
        </w:tc>
      </w:tr>
    </w:tbl>
    <w:p w14:paraId="37E5C125">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jc w:val="left"/>
        <w:rPr>
          <w:rFonts w:hint="default" w:ascii="Times New Roman" w:hAnsi="Times New Roman" w:cs="Times New Roman"/>
          <w:color w:val="000000"/>
          <w:sz w:val="24"/>
          <w:szCs w:val="24"/>
        </w:rPr>
      </w:pPr>
      <w:r>
        <w:rPr>
          <w:rFonts w:hint="default" w:ascii="Times New Roman" w:hAnsi="Times New Roman" w:cs="Times New Roman"/>
          <w:color w:val="000000"/>
          <w:sz w:val="24"/>
          <w:szCs w:val="24"/>
          <w:bdr w:val="none" w:color="auto" w:sz="0" w:space="0"/>
          <w:shd w:val="clear" w:fill="FFFFFF"/>
        </w:rPr>
        <w:fldChar w:fldCharType="begin"/>
      </w:r>
      <w:r>
        <w:rPr>
          <w:rFonts w:hint="default" w:ascii="Times New Roman" w:hAnsi="Times New Roman" w:cs="Times New Roman"/>
          <w:color w:val="000000"/>
          <w:sz w:val="24"/>
          <w:szCs w:val="24"/>
          <w:bdr w:val="none" w:color="auto" w:sz="0" w:space="0"/>
          <w:shd w:val="clear" w:fill="FFFFFF"/>
        </w:rPr>
        <w:instrText xml:space="preserve">INCLUDEPICTURE \d "C:\\Users\\lapto\\AppData\\Local\\Temp\\cc6c2d484e634633874284783a301c6b\\docs.google.com\\document\\u\\0\\d\\1G7gI0pZ59qMOn7FNAeeAXcrl1y4eHkMe\\" \* MERGEFORMATINET </w:instrText>
      </w:r>
      <w:r>
        <w:rPr>
          <w:rFonts w:hint="default" w:ascii="Times New Roman" w:hAnsi="Times New Roman" w:cs="Times New Roman"/>
          <w:color w:val="000000"/>
          <w:sz w:val="24"/>
          <w:szCs w:val="24"/>
          <w:bdr w:val="none" w:color="auto" w:sz="0" w:space="0"/>
          <w:shd w:val="clear" w:fill="FFFFFF"/>
        </w:rPr>
        <w:fldChar w:fldCharType="separate"/>
      </w:r>
      <w:r>
        <w:rPr>
          <w:rFonts w:hint="default" w:ascii="Times New Roman" w:hAnsi="Times New Roman" w:cs="Times New Roman"/>
          <w:color w:val="000000"/>
          <w:sz w:val="24"/>
          <w:szCs w:val="24"/>
          <w:bdr w:val="none" w:color="auto" w:sz="0" w:space="0"/>
          <w:shd w:val="clear" w:fill="FFFFFF"/>
        </w:rPr>
        <mc:AlternateContent>
          <mc:Choice Requires="wps">
            <w:drawing>
              <wp:inline distT="0" distB="0" distL="114300" distR="114300">
                <wp:extent cx="304800" cy="304800"/>
                <wp:effectExtent l="4445" t="4445" r="14605" b="14605"/>
                <wp:docPr id="1" name="Pictur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304800" cy="30480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id="Picture 1" o:spid="_x0000_s1026" o:spt="1" style="height:24pt;width:24pt;" filled="f" stroked="t" coordsize="21600,21600" o:gfxdata="UEsDBAoAAAAAAIdO4kAAAAAAAAAAAAAAAAAEAAAAZHJzL1BLAwQUAAAACACHTuJApBl7z9AAAAAD&#10;AQAADwAAAGRycy9kb3ducmV2LnhtbE2PQU/DMAyF70j8h8iTuLF0CNBUmk4DseskxiTg5jVeUq1x&#10;qiZbx7/HwAEutp6e9fy9anEOnTrRkNrIBmbTAhRxE23LzsD2dXU9B5UyssUuMhn4pASL+vKiwtLG&#10;kV/otMlOSQinEg34nPtS69R4CpimsScWbx+HgFnk4LQdcJTw0OmborjXAVuWDx57evLUHDbHYOC5&#10;/1gv71zSy7fs3w/xcVz5tTPmajIrHkBlOue/Y/jGF3SohWkXj2yT6gxIkfwzxbudi9r9bl1X+j97&#10;/QVQSwMEFAAAAAgAh07iQB6ZLMz4AQAAIQQAAA4AAABkcnMvZTJvRG9jLnhtbK1Ty27bMBC8F+g/&#10;ELzXkt2mSAXLQRE3vQRtgKQfsCYpiShf4NKW/fddUoqbpBcfqoOwJGdnd4bL9c3RGnZQEbV3LV8u&#10;as6UE15q17f819Pdh2vOMIGTYLxTLT8p5Deb9+/WY2jUyg/eSBUZkThsxtDyIaXQVBWKQVnAhQ/K&#10;0WHno4VEy9hXMsJI7NZUq7r+XI0+yhC9UIi0u50O+cwYLyH0XaeF2nqxt8qliTUqA4kk4aAD8k3p&#10;tuuUSD+7DlVipuWkNJU/FaF4l//VZg1NHyEMWswtwCUtvNFkQTsqeqbaQgK2j/ofKqtF9Oi7tBDe&#10;VpOQ4gipWNZvvHkcIKiihazGcDYd/x+t+HF4iExLmgTOHFi68Act0j4qtszmjAEbwjyGh5jlYbj3&#10;4jcy528HcL36ioEszsmErV6B8wLntGMXbU4nvexYzD+dzVfHxARtfqw/Xdd0LYKO5jhzQvOcHCKm&#10;78pbloOWRypcLIfDPaYJ+gzJtZy/08bQPjTGsbHlX65WV0QPNLMdzQqFNpBudH2hQW+0zClFZ+x3&#10;tyayA+S5KV9RSA68hOV6W8BhwpWjaaKsTiqW2oMC+c1Jlk6BvHX0pHhuxirJmVH0AnNUkAm0uQRJ&#10;lhg3uz0ZnK3eeXmim9yHqPvh1Y3Q5BQf5ynPo/lyXZj+vuzNH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KQZe8/QAAAAAwEAAA8AAAAAAAAAAQAgAAAAIgAAAGRycy9kb3ducmV2LnhtbFBLAQIUABQA&#10;AAAIAIdO4kAemSzM+AEAACEEAAAOAAAAAAAAAAEAIAAAAB8BAABkcnMvZTJvRG9jLnhtbFBLBQYA&#10;AAAABgAGAFkBAACJBQAAAAA=&#10;">
                <v:fill on="f" focussize="0,0"/>
                <v:stroke color="#000000" joinstyle="miter"/>
                <v:imagedata o:title=""/>
                <o:lock v:ext="edit" aspectratio="t"/>
                <w10:wrap type="none"/>
                <w10:anchorlock/>
              </v:rect>
            </w:pict>
          </mc:Fallback>
        </mc:AlternateContent>
      </w:r>
      <w:r>
        <w:rPr>
          <w:rFonts w:hint="default" w:ascii="Times New Roman" w:hAnsi="Times New Roman" w:cs="Times New Roman"/>
          <w:color w:val="000000"/>
          <w:sz w:val="24"/>
          <w:szCs w:val="24"/>
          <w:bdr w:val="none" w:color="auto" w:sz="0" w:space="0"/>
          <w:shd w:val="clear" w:fill="FFFFFF"/>
        </w:rPr>
        <w:fldChar w:fldCharType="end"/>
      </w:r>
      <w:r>
        <w:rPr>
          <w:rFonts w:hint="default" w:ascii="Times New Roman" w:hAnsi="Times New Roman" w:cs="Times New Roman"/>
          <w:i w:val="0"/>
          <w:iCs w:val="0"/>
          <w:color w:val="000000"/>
          <w:sz w:val="20"/>
          <w:szCs w:val="20"/>
          <w:u w:val="none"/>
          <w:bdr w:val="none" w:color="auto" w:sz="0" w:space="0"/>
          <w:shd w:val="clear" w:fill="FFFFFF"/>
          <w:vertAlign w:val="baseline"/>
        </w:rPr>
        <w:t xml:space="preserve">                                                      </w:t>
      </w:r>
      <w:r>
        <w:rPr>
          <w:rFonts w:hint="default" w:ascii="Times New Roman" w:hAnsi="Times New Roman" w:cs="Times New Roman"/>
          <w:i/>
          <w:iCs/>
          <w:color w:val="000000"/>
          <w:sz w:val="20"/>
          <w:szCs w:val="20"/>
          <w:u w:val="none"/>
          <w:bdr w:val="none" w:color="auto" w:sz="0" w:space="0"/>
          <w:shd w:val="clear" w:fill="FFFFFF"/>
          <w:vertAlign w:val="baseline"/>
        </w:rPr>
        <w:t>        </w:t>
      </w:r>
      <w:r>
        <w:rPr>
          <w:rFonts w:hint="default" w:ascii="Times New Roman" w:hAnsi="Times New Roman" w:cs="Times New Roman"/>
          <w:i w:val="0"/>
          <w:iCs w:val="0"/>
          <w:color w:val="000000"/>
          <w:sz w:val="20"/>
          <w:szCs w:val="20"/>
          <w:u w:val="none"/>
          <w:bdr w:val="none" w:color="auto" w:sz="0" w:space="0"/>
          <w:shd w:val="clear" w:fill="FFFFFF"/>
          <w:vertAlign w:val="baseline"/>
        </w:rPr>
        <w:t xml:space="preserve">                                              </w:t>
      </w:r>
    </w:p>
    <w:p w14:paraId="2101121C">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jc w:val="center"/>
        <w:rPr>
          <w:rFonts w:hint="default" w:ascii="Times New Roman" w:hAnsi="Times New Roman" w:cs="Times New Roman"/>
          <w:b/>
          <w:bCs/>
          <w:i w:val="0"/>
          <w:iCs w:val="0"/>
          <w:color w:val="000000"/>
          <w:sz w:val="24"/>
          <w:szCs w:val="24"/>
          <w:u w:val="none"/>
          <w:bdr w:val="none" w:color="auto" w:sz="0" w:space="0"/>
          <w:shd w:val="clear" w:fill="FFFFFF"/>
          <w:vertAlign w:val="baseline"/>
          <w:lang w:val="en-US"/>
        </w:rPr>
      </w:pPr>
      <w:r>
        <w:rPr>
          <w:rFonts w:hint="default" w:ascii="Times New Roman" w:hAnsi="Times New Roman" w:cs="Times New Roman"/>
          <w:b/>
          <w:bCs/>
          <w:i w:val="0"/>
          <w:iCs w:val="0"/>
          <w:color w:val="000000"/>
          <w:sz w:val="24"/>
          <w:szCs w:val="24"/>
          <w:u w:val="none"/>
          <w:bdr w:val="none" w:color="auto" w:sz="0" w:space="0"/>
          <w:shd w:val="clear" w:fill="FFFFFF"/>
          <w:vertAlign w:val="baseline"/>
          <w:lang w:val="en-US"/>
        </w:rPr>
        <w:t>PENGARUH FIANCIAL DISTRESS, KEPEMILIKAN MANAJERIAL DAN KONSERVATISME AKUNTANSI TERHADAP TAX AVOIDANCE</w:t>
      </w:r>
    </w:p>
    <w:p w14:paraId="54B9431E">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jc w:val="center"/>
        <w:rPr>
          <w:rFonts w:hint="default" w:ascii="Times New Roman" w:hAnsi="Times New Roman" w:cs="Times New Roman"/>
          <w:b/>
          <w:bCs/>
          <w:i w:val="0"/>
          <w:iCs w:val="0"/>
          <w:color w:val="000000"/>
          <w:sz w:val="20"/>
          <w:szCs w:val="20"/>
          <w:u w:val="none"/>
          <w:bdr w:val="none" w:color="auto" w:sz="0" w:space="0"/>
          <w:shd w:val="clear" w:fill="FFFFFF"/>
          <w:vertAlign w:val="baseline"/>
          <w:lang w:val="en-US"/>
        </w:rPr>
      </w:pPr>
      <w:r>
        <w:rPr>
          <w:rFonts w:hint="default" w:ascii="Times New Roman" w:hAnsi="Times New Roman" w:cs="Times New Roman"/>
          <w:b/>
          <w:bCs/>
          <w:i w:val="0"/>
          <w:iCs w:val="0"/>
          <w:color w:val="000000"/>
          <w:sz w:val="20"/>
          <w:szCs w:val="20"/>
          <w:u w:val="none"/>
          <w:bdr w:val="none" w:color="auto" w:sz="0" w:space="0"/>
          <w:shd w:val="clear" w:fill="FFFFFF"/>
          <w:vertAlign w:val="baseline"/>
          <w:lang w:val="en-US"/>
        </w:rPr>
        <w:t>Maria Novita Dee</w:t>
      </w:r>
    </w:p>
    <w:p w14:paraId="62B1D16C">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jc w:val="center"/>
        <w:rPr>
          <w:rFonts w:hint="default" w:ascii="Times New Roman" w:hAnsi="Times New Roman" w:cs="Times New Roman"/>
          <w:color w:val="000000"/>
          <w:sz w:val="24"/>
          <w:szCs w:val="24"/>
          <w:lang w:val="en-US"/>
        </w:rPr>
      </w:pPr>
      <w:r>
        <w:rPr>
          <w:rFonts w:hint="default" w:ascii="Times New Roman" w:hAnsi="Times New Roman" w:cs="Times New Roman"/>
          <w:i w:val="0"/>
          <w:iCs w:val="0"/>
          <w:color w:val="000000"/>
          <w:sz w:val="20"/>
          <w:szCs w:val="20"/>
          <w:u w:val="none"/>
          <w:bdr w:val="none" w:color="auto" w:sz="0" w:space="0"/>
          <w:shd w:val="clear" w:fill="FFFFFF"/>
          <w:vertAlign w:val="baseline"/>
          <w:lang w:val="en-US"/>
        </w:rPr>
        <w:t>Fakultas Ekonomi Dan Bisnis. Universitas Pamulang</w:t>
      </w:r>
    </w:p>
    <w:p w14:paraId="4EEB52FD">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uto"/>
        <w:ind w:left="0" w:right="0"/>
        <w:jc w:val="center"/>
        <w:rPr>
          <w:rFonts w:hint="default" w:ascii="Times New Roman" w:hAnsi="Times New Roman" w:cs="Times New Roman"/>
          <w:color w:val="000000"/>
          <w:sz w:val="24"/>
          <w:szCs w:val="24"/>
          <w:lang w:val="en-US"/>
        </w:rPr>
      </w:pPr>
      <w:r>
        <w:rPr>
          <w:rFonts w:hint="default" w:ascii="Times New Roman" w:hAnsi="Times New Roman" w:cs="Times New Roman"/>
          <w:i w:val="0"/>
          <w:iCs w:val="0"/>
          <w:color w:val="000000"/>
          <w:sz w:val="20"/>
          <w:szCs w:val="20"/>
          <w:u w:val="none"/>
          <w:bdr w:val="none" w:color="auto" w:sz="0" w:space="0"/>
          <w:shd w:val="clear" w:fill="FFFFFF"/>
          <w:vertAlign w:val="baseline"/>
          <w:lang w:val="en-US"/>
        </w:rPr>
        <w:t>deenovhy@gmail.com</w:t>
      </w:r>
    </w:p>
    <w:p w14:paraId="32EF5275">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jc w:val="center"/>
        <w:rPr>
          <w:rFonts w:hint="default" w:ascii="Times New Roman" w:hAnsi="Times New Roman" w:cs="Times New Roman"/>
          <w:color w:val="000000"/>
          <w:sz w:val="24"/>
          <w:szCs w:val="24"/>
        </w:rPr>
      </w:pPr>
      <w:r>
        <w:rPr>
          <w:rFonts w:hint="default" w:ascii="Times New Roman" w:hAnsi="Times New Roman" w:cs="Times New Roman"/>
          <w:color w:val="000000"/>
          <w:sz w:val="18"/>
          <w:szCs w:val="18"/>
          <w:bdr w:val="none" w:color="auto" w:sz="0" w:space="0"/>
          <w:shd w:val="clear" w:fill="FFFFFF"/>
        </w:rPr>
        <w:t> </w:t>
      </w:r>
    </w:p>
    <w:p w14:paraId="3BDBF855">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right="0"/>
        <w:jc w:val="left"/>
        <w:rPr>
          <w:rFonts w:hint="default" w:ascii="Times New Roman" w:hAnsi="Times New Roman" w:cs="Times New Roman"/>
          <w:color w:val="000000"/>
          <w:sz w:val="24"/>
          <w:szCs w:val="24"/>
        </w:rPr>
      </w:pPr>
    </w:p>
    <w:p w14:paraId="5CCC2D72">
      <w:pPr>
        <w:widowControl w:val="0"/>
        <w:spacing w:after="0" w:line="240" w:lineRule="auto"/>
        <w:ind w:right="-1"/>
        <w:jc w:val="both"/>
        <w:rPr>
          <w:rFonts w:ascii="Times New Roman" w:hAnsi="Times New Roman" w:eastAsia="Calibri" w:cs="Times New Roman"/>
          <w:i/>
          <w:iCs/>
          <w:sz w:val="22"/>
          <w:szCs w:val="22"/>
          <w:lang w:val="zh-CN"/>
        </w:rPr>
      </w:pPr>
      <w:r>
        <w:rPr>
          <w:rFonts w:hint="default" w:ascii="Times New Roman" w:hAnsi="Times New Roman" w:cs="Times New Roman"/>
          <w:b/>
          <w:bCs/>
          <w:i/>
          <w:iCs/>
          <w:color w:val="000000"/>
          <w:sz w:val="22"/>
          <w:szCs w:val="22"/>
          <w:u w:val="none"/>
          <w:bdr w:val="none" w:color="auto" w:sz="0" w:space="0"/>
          <w:shd w:val="clear" w:fill="FFFFFF"/>
          <w:vertAlign w:val="baseline"/>
        </w:rPr>
        <w:t>Abstract</w:t>
      </w:r>
      <w:r>
        <w:rPr>
          <w:rFonts w:hint="default" w:ascii="Times New Roman" w:hAnsi="Times New Roman" w:cs="Times New Roman"/>
          <w:b/>
          <w:bCs/>
          <w:i/>
          <w:iCs/>
          <w:color w:val="000000"/>
          <w:sz w:val="22"/>
          <w:szCs w:val="22"/>
          <w:u w:val="none"/>
          <w:bdr w:val="none" w:color="auto" w:sz="0" w:space="0"/>
          <w:shd w:val="clear" w:fill="FFFFFF"/>
          <w:vertAlign w:val="baseline"/>
          <w:lang w:val="en-US"/>
        </w:rPr>
        <w:t>.</w:t>
      </w:r>
      <w:r>
        <w:rPr>
          <w:rFonts w:hint="default" w:ascii="Times New Roman" w:hAnsi="Times New Roman" w:cs="Times New Roman"/>
          <w:b/>
          <w:bCs/>
          <w:i/>
          <w:iCs/>
          <w:color w:val="000000"/>
          <w:sz w:val="22"/>
          <w:szCs w:val="22"/>
          <w:u w:val="none"/>
          <w:bdr w:val="none" w:color="auto" w:sz="0" w:space="0"/>
          <w:shd w:val="clear" w:fill="FFFFFF"/>
          <w:vertAlign w:val="baseline"/>
          <w:lang w:val="en-US"/>
        </w:rPr>
        <w:t xml:space="preserve"> </w:t>
      </w:r>
      <w:r>
        <w:rPr>
          <w:rFonts w:ascii="Times New Roman" w:hAnsi="Times New Roman" w:eastAsia="Calibri" w:cs="Times New Roman"/>
          <w:i/>
          <w:iCs/>
          <w:sz w:val="22"/>
          <w:szCs w:val="22"/>
          <w:lang w:val="zh-CN"/>
        </w:rPr>
        <w:t xml:space="preserve">The purpose of this study is to determine the simultaneous effect of Financial Distress, Managerial Ownership &amp; Accounting Conservatism on tax avoidance both partially and simultaneously. The population used is companies in the Property and Real Estate sector listed on the Indonesia Stock Exchange (IDX) in the 2018-2022 period. Sampling was carried out using the Purposive Sampling method based on predetermined criteria with a total of 12 companies. </w:t>
      </w:r>
      <w:r>
        <w:rPr>
          <w:rFonts w:ascii="Times New Roman" w:hAnsi="Times New Roman" w:eastAsia="Calibri" w:cs="Times New Roman"/>
          <w:i/>
          <w:iCs/>
          <w:sz w:val="22"/>
          <w:szCs w:val="22"/>
        </w:rPr>
        <w:t>S</w:t>
      </w:r>
      <w:r>
        <w:rPr>
          <w:rFonts w:ascii="Times New Roman" w:hAnsi="Times New Roman" w:eastAsia="Calibri" w:cs="Times New Roman"/>
          <w:i/>
          <w:iCs/>
          <w:sz w:val="22"/>
          <w:szCs w:val="22"/>
          <w:lang w:val="zh-CN"/>
        </w:rPr>
        <w:t>imultaneously Financial Distress, Managerial Ownership and Accounting Conservatism have a significant effect on Tax Avoidance. Financial Distress partially has no significant effect on Tax Avoidance</w:t>
      </w:r>
      <w:r>
        <w:rPr>
          <w:rFonts w:ascii="Times New Roman" w:hAnsi="Times New Roman" w:eastAsia="Calibri" w:cs="Times New Roman"/>
          <w:i/>
          <w:iCs/>
          <w:sz w:val="22"/>
          <w:szCs w:val="22"/>
        </w:rPr>
        <w:t>.</w:t>
      </w:r>
      <w:r>
        <w:rPr>
          <w:rFonts w:ascii="Times New Roman" w:hAnsi="Times New Roman" w:eastAsia="Calibri" w:cs="Times New Roman"/>
          <w:i/>
          <w:iCs/>
          <w:sz w:val="22"/>
          <w:szCs w:val="22"/>
          <w:lang w:val="zh-CN"/>
        </w:rPr>
        <w:t xml:space="preserve"> Managerial Ownership partially has no significant effect on Tax Avoidance.  Accounting Conservatism partially has a significant negative effect on Tax Avoidance.</w:t>
      </w:r>
    </w:p>
    <w:p w14:paraId="15F9D4AE">
      <w:pPr>
        <w:widowControl w:val="0"/>
        <w:spacing w:after="0" w:line="240" w:lineRule="auto"/>
        <w:ind w:right="-1"/>
        <w:jc w:val="both"/>
        <w:rPr>
          <w:rFonts w:hint="default" w:ascii="Times New Roman" w:hAnsi="Times New Roman" w:eastAsia="Calibri" w:cs="Times New Roman"/>
          <w:i/>
          <w:iCs/>
          <w:sz w:val="24"/>
          <w:szCs w:val="24"/>
          <w:lang w:val="zh-CN"/>
        </w:rPr>
      </w:pPr>
    </w:p>
    <w:p w14:paraId="74BBF42D">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1120" w:right="0" w:hanging="1120"/>
        <w:jc w:val="both"/>
        <w:rPr>
          <w:rFonts w:hint="default" w:ascii="Times New Roman" w:hAnsi="Times New Roman" w:cs="Times New Roman"/>
          <w:b w:val="0"/>
          <w:bCs/>
          <w:i/>
          <w:iCs/>
          <w:color w:val="000000"/>
          <w:sz w:val="22"/>
          <w:szCs w:val="22"/>
        </w:rPr>
      </w:pPr>
      <w:r>
        <w:rPr>
          <w:rFonts w:hint="default" w:ascii="Times New Roman" w:hAnsi="Times New Roman" w:cs="Times New Roman"/>
          <w:b/>
          <w:bCs/>
          <w:i/>
          <w:iCs/>
          <w:color w:val="000000"/>
          <w:sz w:val="22"/>
          <w:szCs w:val="22"/>
          <w:u w:val="none"/>
          <w:bdr w:val="none" w:color="auto" w:sz="0" w:space="0"/>
          <w:shd w:val="clear" w:fill="FFFFFF"/>
          <w:vertAlign w:val="baseline"/>
        </w:rPr>
        <w:t xml:space="preserve">Keywords: </w:t>
      </w:r>
      <w:r>
        <w:rPr>
          <w:rFonts w:ascii="Times New Roman" w:hAnsi="Times New Roman" w:eastAsia="Calibri" w:cs="Times New Roman"/>
          <w:b w:val="0"/>
          <w:bCs/>
          <w:i/>
          <w:iCs/>
          <w:sz w:val="22"/>
          <w:szCs w:val="22"/>
          <w:lang w:val="zh-CN"/>
        </w:rPr>
        <w:t>Financial Distress, Managerial Ownership, Accounting Conservatism and Tax Avoidance</w:t>
      </w:r>
    </w:p>
    <w:p w14:paraId="488D35F3">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jc w:val="both"/>
        <w:rPr>
          <w:rFonts w:hint="default" w:ascii="Times New Roman" w:hAnsi="Times New Roman" w:cs="Times New Roman"/>
          <w:i w:val="0"/>
          <w:iCs w:val="0"/>
          <w:color w:val="000000"/>
          <w:sz w:val="22"/>
          <w:szCs w:val="22"/>
          <w:u w:val="none"/>
          <w:bdr w:val="none" w:color="auto" w:sz="0" w:space="0"/>
          <w:shd w:val="clear" w:fill="FFFFFF"/>
          <w:vertAlign w:val="baseline"/>
        </w:rPr>
      </w:pPr>
    </w:p>
    <w:p w14:paraId="5D693DB8">
      <w:pPr>
        <w:widowControl w:val="0"/>
        <w:spacing w:after="0" w:line="240" w:lineRule="auto"/>
        <w:jc w:val="both"/>
        <w:rPr>
          <w:rFonts w:ascii="Times New Roman" w:hAnsi="Times New Roman" w:cs="Times New Roman"/>
          <w:sz w:val="22"/>
          <w:szCs w:val="22"/>
        </w:rPr>
      </w:pPr>
      <w:r>
        <w:rPr>
          <w:rFonts w:hint="default" w:ascii="Times New Roman" w:hAnsi="Times New Roman" w:cs="Times New Roman"/>
          <w:b/>
          <w:bCs/>
          <w:i w:val="0"/>
          <w:iCs w:val="0"/>
          <w:color w:val="000000"/>
          <w:sz w:val="22"/>
          <w:szCs w:val="22"/>
          <w:u w:val="none"/>
          <w:bdr w:val="none" w:color="auto" w:sz="0" w:space="0"/>
          <w:shd w:val="clear" w:fill="FFFFFF"/>
          <w:vertAlign w:val="baseline"/>
          <w:lang w:val="en-US"/>
        </w:rPr>
        <w:t xml:space="preserve">Abstrak. </w:t>
      </w:r>
      <w:r>
        <w:rPr>
          <w:rFonts w:ascii="Times New Roman" w:hAnsi="Times New Roman" w:cs="Times New Roman"/>
          <w:sz w:val="22"/>
          <w:szCs w:val="22"/>
          <w:lang w:val="en-US"/>
        </w:rPr>
        <w:t xml:space="preserve">Tujuan penelitian ini adalah untuk mengetahui pengaruh </w:t>
      </w:r>
      <w:r>
        <w:rPr>
          <w:rFonts w:ascii="Times New Roman" w:hAnsi="Times New Roman" w:cs="Times New Roman"/>
          <w:i/>
          <w:sz w:val="22"/>
          <w:szCs w:val="22"/>
          <w:lang w:val="en-US"/>
        </w:rPr>
        <w:t>Financial Distress</w:t>
      </w:r>
      <w:r>
        <w:rPr>
          <w:rFonts w:ascii="Times New Roman" w:hAnsi="Times New Roman" w:cs="Times New Roman"/>
          <w:sz w:val="22"/>
          <w:szCs w:val="22"/>
          <w:lang w:val="en-US"/>
        </w:rPr>
        <w:t xml:space="preserve">, Kepemilikan Manajerial &amp; Konservatisme Akuntansi terhadap </w:t>
      </w:r>
      <w:r>
        <w:rPr>
          <w:rFonts w:ascii="Times New Roman" w:hAnsi="Times New Roman" w:cs="Times New Roman"/>
          <w:i/>
          <w:sz w:val="22"/>
          <w:szCs w:val="22"/>
          <w:lang w:val="en-US"/>
        </w:rPr>
        <w:t>tax avoidance</w:t>
      </w:r>
      <w:r>
        <w:rPr>
          <w:rFonts w:ascii="Times New Roman" w:hAnsi="Times New Roman" w:cs="Times New Roman"/>
          <w:sz w:val="22"/>
          <w:szCs w:val="22"/>
          <w:lang w:val="en-US"/>
        </w:rPr>
        <w:t xml:space="preserve"> baik secara parsial maupun simultan. </w:t>
      </w:r>
      <w:r>
        <w:rPr>
          <w:rFonts w:ascii="Times New Roman" w:hAnsi="Times New Roman" w:cs="Times New Roman"/>
          <w:sz w:val="22"/>
          <w:szCs w:val="22"/>
        </w:rPr>
        <w:t xml:space="preserve">Populasi yang digunakan adalah perusahaan di sektor </w:t>
      </w:r>
      <w:r>
        <w:rPr>
          <w:rFonts w:ascii="Times New Roman" w:hAnsi="Times New Roman" w:cs="Times New Roman"/>
          <w:i/>
          <w:sz w:val="22"/>
          <w:szCs w:val="22"/>
        </w:rPr>
        <w:t xml:space="preserve">Property dan Real Estate </w:t>
      </w:r>
      <w:r>
        <w:rPr>
          <w:rFonts w:ascii="Times New Roman" w:hAnsi="Times New Roman" w:cs="Times New Roman"/>
          <w:sz w:val="22"/>
          <w:szCs w:val="22"/>
        </w:rPr>
        <w:t xml:space="preserve">yang terdaftar di Bursa Efek Indonesia ( BEI ) pada Periode 2018-2022. </w:t>
      </w:r>
      <w:r>
        <w:rPr>
          <w:rFonts w:ascii="Times New Roman" w:hAnsi="Times New Roman" w:eastAsia="Calibri" w:cs="Times New Roman"/>
          <w:sz w:val="22"/>
          <w:szCs w:val="22"/>
          <w:lang w:val="en-US"/>
        </w:rPr>
        <w:t xml:space="preserve">Pengambilan sampel dilakukan dengan metode </w:t>
      </w:r>
      <w:r>
        <w:rPr>
          <w:rFonts w:ascii="Times New Roman" w:hAnsi="Times New Roman" w:eastAsia="Calibri" w:cs="Times New Roman"/>
          <w:i/>
          <w:iCs/>
          <w:sz w:val="22"/>
          <w:szCs w:val="22"/>
          <w:lang w:val="en-US"/>
        </w:rPr>
        <w:t>Purposive Sampling</w:t>
      </w:r>
      <w:r>
        <w:rPr>
          <w:rFonts w:ascii="Times New Roman" w:hAnsi="Times New Roman" w:eastAsia="Calibri" w:cs="Times New Roman"/>
          <w:sz w:val="22"/>
          <w:szCs w:val="22"/>
          <w:lang w:val="zh-CN"/>
        </w:rPr>
        <w:t xml:space="preserve"> berdasarkan kriteria yang telah ditentukan dengan jumlah 1</w:t>
      </w:r>
      <w:r>
        <w:rPr>
          <w:rFonts w:ascii="Times New Roman" w:hAnsi="Times New Roman" w:eastAsia="Calibri" w:cs="Times New Roman"/>
          <w:sz w:val="22"/>
          <w:szCs w:val="22"/>
          <w:lang w:val="en-US"/>
        </w:rPr>
        <w:t>2</w:t>
      </w:r>
      <w:r>
        <w:rPr>
          <w:rFonts w:ascii="Times New Roman" w:hAnsi="Times New Roman" w:eastAsia="Calibri" w:cs="Times New Roman"/>
          <w:sz w:val="22"/>
          <w:szCs w:val="22"/>
          <w:lang w:val="zh-CN"/>
        </w:rPr>
        <w:t xml:space="preserve"> perusahaan.</w:t>
      </w:r>
      <w:r>
        <w:rPr>
          <w:rFonts w:ascii="Times New Roman" w:hAnsi="Times New Roman" w:eastAsia="Calibri" w:cs="Times New Roman"/>
          <w:sz w:val="22"/>
          <w:szCs w:val="22"/>
          <w:lang w:val="en-US"/>
        </w:rPr>
        <w:t xml:space="preserve"> </w:t>
      </w:r>
      <w:r>
        <w:rPr>
          <w:rFonts w:ascii="Times New Roman" w:hAnsi="Times New Roman" w:eastAsia="Times New Roman" w:cs="Times New Roman"/>
          <w:sz w:val="22"/>
          <w:szCs w:val="22"/>
        </w:rPr>
        <w:t xml:space="preserve">Secara simultan </w:t>
      </w:r>
      <w:r>
        <w:rPr>
          <w:rFonts w:ascii="Times New Roman" w:hAnsi="Times New Roman" w:cs="Times New Roman"/>
          <w:i/>
          <w:sz w:val="22"/>
          <w:szCs w:val="22"/>
        </w:rPr>
        <w:t>Financial Distress</w:t>
      </w:r>
      <w:r>
        <w:rPr>
          <w:rFonts w:ascii="Times New Roman" w:hAnsi="Times New Roman" w:cs="Times New Roman"/>
          <w:sz w:val="22"/>
          <w:szCs w:val="22"/>
        </w:rPr>
        <w:t xml:space="preserve">, Kepemilikan Manajerial dan Konservatisme Akuntansi berpengaruh signifikan terhadap </w:t>
      </w:r>
      <w:r>
        <w:rPr>
          <w:rFonts w:ascii="Times New Roman" w:hAnsi="Times New Roman" w:cs="Times New Roman"/>
          <w:i/>
          <w:sz w:val="22"/>
          <w:szCs w:val="22"/>
        </w:rPr>
        <w:t>Tax Avoidance</w:t>
      </w:r>
      <w:r>
        <w:rPr>
          <w:rFonts w:ascii="Times New Roman" w:hAnsi="Times New Roman" w:cs="Times New Roman"/>
          <w:sz w:val="22"/>
          <w:szCs w:val="22"/>
        </w:rPr>
        <w:t xml:space="preserve">. </w:t>
      </w:r>
      <w:r>
        <w:rPr>
          <w:rFonts w:ascii="Times New Roman" w:hAnsi="Times New Roman" w:eastAsia="Times New Roman" w:cs="Times New Roman"/>
          <w:i/>
          <w:sz w:val="22"/>
          <w:szCs w:val="22"/>
        </w:rPr>
        <w:t>Financial Distress</w:t>
      </w:r>
      <w:r>
        <w:rPr>
          <w:rFonts w:ascii="Times New Roman" w:hAnsi="Times New Roman" w:eastAsia="Times New Roman" w:cs="Times New Roman"/>
          <w:sz w:val="22"/>
          <w:szCs w:val="22"/>
        </w:rPr>
        <w:t xml:space="preserve"> secara parsial tidak terdapat pengaruh signifikan terhadap </w:t>
      </w:r>
      <w:r>
        <w:rPr>
          <w:rFonts w:ascii="Times New Roman" w:hAnsi="Times New Roman" w:eastAsia="Times New Roman" w:cs="Times New Roman"/>
          <w:i/>
          <w:sz w:val="22"/>
          <w:szCs w:val="22"/>
        </w:rPr>
        <w:t>Tax Avoidance</w:t>
      </w:r>
      <w:r>
        <w:rPr>
          <w:rFonts w:ascii="Times New Roman" w:hAnsi="Times New Roman" w:cs="Times New Roman"/>
          <w:sz w:val="22"/>
          <w:szCs w:val="22"/>
        </w:rPr>
        <w:t xml:space="preserve">. </w:t>
      </w:r>
      <w:r>
        <w:rPr>
          <w:rFonts w:ascii="Times New Roman" w:hAnsi="Times New Roman" w:eastAsia="Times New Roman" w:cs="Times New Roman"/>
          <w:sz w:val="22"/>
          <w:szCs w:val="22"/>
        </w:rPr>
        <w:t xml:space="preserve"> Kepemilikan Manajerial secara parsial tidak terdapat pengaruh signifikan terhadap </w:t>
      </w:r>
      <w:r>
        <w:rPr>
          <w:rFonts w:ascii="Times New Roman" w:hAnsi="Times New Roman" w:eastAsia="Times New Roman" w:cs="Times New Roman"/>
          <w:i/>
          <w:sz w:val="22"/>
          <w:szCs w:val="22"/>
        </w:rPr>
        <w:t>Tax Avoidance</w:t>
      </w:r>
      <w:r>
        <w:rPr>
          <w:rFonts w:ascii="Times New Roman" w:hAnsi="Times New Roman" w:cs="Times New Roman"/>
          <w:sz w:val="22"/>
          <w:szCs w:val="22"/>
        </w:rPr>
        <w:t xml:space="preserve">. </w:t>
      </w:r>
      <w:r>
        <w:rPr>
          <w:rFonts w:ascii="Times New Roman" w:hAnsi="Times New Roman" w:eastAsia="Times New Roman" w:cs="Times New Roman"/>
          <w:sz w:val="22"/>
          <w:szCs w:val="22"/>
        </w:rPr>
        <w:t xml:space="preserve">Konservatisme Akuntansi secara parsial berpengaruh dengan araf negatif signifikan terhadap </w:t>
      </w:r>
      <w:r>
        <w:rPr>
          <w:rFonts w:ascii="Times New Roman" w:hAnsi="Times New Roman" w:eastAsia="Times New Roman" w:cs="Times New Roman"/>
          <w:i/>
          <w:sz w:val="22"/>
          <w:szCs w:val="22"/>
        </w:rPr>
        <w:t>Tax Avoidance</w:t>
      </w:r>
      <w:r>
        <w:rPr>
          <w:rFonts w:ascii="Times New Roman" w:hAnsi="Times New Roman" w:cs="Times New Roman"/>
          <w:sz w:val="22"/>
          <w:szCs w:val="22"/>
        </w:rPr>
        <w:t>.</w:t>
      </w:r>
    </w:p>
    <w:p w14:paraId="5EBA1526">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jc w:val="both"/>
        <w:rPr>
          <w:rFonts w:hint="default" w:ascii="Times New Roman" w:hAnsi="Times New Roman" w:cs="Times New Roman"/>
          <w:i w:val="0"/>
          <w:iCs w:val="0"/>
          <w:color w:val="000000"/>
          <w:sz w:val="22"/>
          <w:szCs w:val="22"/>
          <w:u w:val="none"/>
          <w:bdr w:val="none" w:color="auto" w:sz="0" w:space="0"/>
          <w:shd w:val="clear" w:fill="FFFFFF"/>
          <w:vertAlign w:val="baseline"/>
          <w:lang w:val="en-US"/>
        </w:rPr>
      </w:pPr>
    </w:p>
    <w:p w14:paraId="65646AFF">
      <w:pPr>
        <w:widowControl w:val="0"/>
        <w:spacing w:after="0" w:line="240" w:lineRule="auto"/>
        <w:ind w:left="1560" w:hanging="1560"/>
        <w:jc w:val="both"/>
        <w:rPr>
          <w:rFonts w:ascii="Times New Roman" w:hAnsi="Times New Roman" w:cs="Times New Roman"/>
          <w:sz w:val="24"/>
          <w:szCs w:val="24"/>
        </w:rPr>
      </w:pPr>
      <w:r>
        <w:rPr>
          <w:rFonts w:ascii="Times New Roman" w:hAnsi="Times New Roman" w:cs="Times New Roman"/>
          <w:b/>
          <w:sz w:val="22"/>
          <w:szCs w:val="22"/>
        </w:rPr>
        <w:t>Kata Kunci</w:t>
      </w:r>
      <w:r>
        <w:rPr>
          <w:rFonts w:ascii="Times New Roman" w:hAnsi="Times New Roman" w:cs="Times New Roman"/>
          <w:b/>
          <w:sz w:val="24"/>
          <w:szCs w:val="24"/>
        </w:rPr>
        <w:t xml:space="preserve"> </w:t>
      </w:r>
      <w:r>
        <w:rPr>
          <w:rFonts w:ascii="Times New Roman" w:hAnsi="Times New Roman" w:cs="Times New Roman"/>
          <w:b w:val="0"/>
          <w:bCs/>
          <w:sz w:val="22"/>
          <w:szCs w:val="22"/>
        </w:rPr>
        <w:t xml:space="preserve">: </w:t>
      </w:r>
      <w:r>
        <w:rPr>
          <w:rFonts w:ascii="Times New Roman" w:hAnsi="Times New Roman" w:cs="Times New Roman"/>
          <w:b w:val="0"/>
          <w:bCs/>
          <w:i/>
          <w:sz w:val="22"/>
          <w:szCs w:val="22"/>
          <w:lang w:val="en-US"/>
        </w:rPr>
        <w:t>Financial Distress</w:t>
      </w:r>
      <w:r>
        <w:rPr>
          <w:rFonts w:ascii="Times New Roman" w:hAnsi="Times New Roman" w:cs="Times New Roman"/>
          <w:b w:val="0"/>
          <w:bCs/>
          <w:sz w:val="22"/>
          <w:szCs w:val="22"/>
          <w:lang w:val="en-US"/>
        </w:rPr>
        <w:t xml:space="preserve">, Kepemilikan Manajerial, Konservatisme Akuntansi dan </w:t>
      </w:r>
      <w:r>
        <w:rPr>
          <w:rFonts w:ascii="Times New Roman" w:hAnsi="Times New Roman" w:cs="Times New Roman"/>
          <w:b w:val="0"/>
          <w:bCs/>
          <w:i/>
          <w:sz w:val="22"/>
          <w:szCs w:val="22"/>
          <w:lang w:val="en-US"/>
        </w:rPr>
        <w:t>tax avoidance</w:t>
      </w:r>
    </w:p>
    <w:p w14:paraId="34E26A5B">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jc w:val="both"/>
        <w:rPr>
          <w:rFonts w:hint="default" w:ascii="Times New Roman" w:hAnsi="Times New Roman" w:cs="Times New Roman"/>
          <w:i w:val="0"/>
          <w:iCs w:val="0"/>
          <w:color w:val="000000"/>
          <w:sz w:val="22"/>
          <w:szCs w:val="22"/>
          <w:u w:val="none"/>
          <w:bdr w:val="none" w:color="auto" w:sz="0" w:space="0"/>
          <w:shd w:val="clear" w:fill="FFFFFF"/>
          <w:vertAlign w:val="baseline"/>
          <w:lang w:val="en-US"/>
        </w:rPr>
      </w:pPr>
    </w:p>
    <w:p w14:paraId="28A09B7B">
      <w:pPr>
        <w:pStyle w:val="12"/>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jc w:val="both"/>
        <w:rPr>
          <w:rFonts w:hint="default" w:ascii="Times New Roman" w:hAnsi="Times New Roman" w:cs="Times New Roman"/>
          <w:b/>
          <w:bCs/>
          <w:i w:val="0"/>
          <w:iCs w:val="0"/>
          <w:color w:val="000000"/>
          <w:sz w:val="22"/>
          <w:szCs w:val="22"/>
          <w:u w:val="none"/>
          <w:bdr w:val="none" w:color="auto" w:sz="0" w:space="0"/>
          <w:shd w:val="clear" w:fill="FFFFFF"/>
          <w:vertAlign w:val="baseline"/>
          <w:lang w:val="en-US"/>
        </w:rPr>
      </w:pPr>
      <w:r>
        <w:rPr>
          <w:rFonts w:hint="default" w:ascii="Times New Roman" w:hAnsi="Times New Roman" w:cs="Times New Roman"/>
          <w:b/>
          <w:bCs/>
          <w:i w:val="0"/>
          <w:iCs w:val="0"/>
          <w:color w:val="000000"/>
          <w:sz w:val="22"/>
          <w:szCs w:val="22"/>
          <w:u w:val="none"/>
          <w:bdr w:val="none" w:color="auto" w:sz="0" w:space="0"/>
          <w:shd w:val="clear" w:fill="FFFFFF"/>
          <w:vertAlign w:val="baseline"/>
          <w:lang w:val="en-US"/>
        </w:rPr>
        <w:t>PENDAHULUAN</w:t>
      </w:r>
    </w:p>
    <w:p w14:paraId="369ED68B">
      <w:pPr>
        <w:pStyle w:val="12"/>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right="0" w:rightChars="0"/>
        <w:jc w:val="both"/>
        <w:rPr>
          <w:rFonts w:hint="default" w:ascii="Times New Roman" w:hAnsi="Times New Roman" w:cs="Times New Roman"/>
          <w:b/>
          <w:bCs/>
          <w:i w:val="0"/>
          <w:iCs w:val="0"/>
          <w:color w:val="000000"/>
          <w:sz w:val="22"/>
          <w:szCs w:val="22"/>
          <w:u w:val="none"/>
          <w:bdr w:val="none" w:color="auto" w:sz="0" w:space="0"/>
          <w:shd w:val="clear" w:fill="FFFFFF"/>
          <w:vertAlign w:val="baseline"/>
          <w:lang w:val="en-US"/>
        </w:rPr>
      </w:pPr>
    </w:p>
    <w:p w14:paraId="6A215720">
      <w:pPr>
        <w:keepNext w:val="0"/>
        <w:keepLines w:val="0"/>
        <w:pageBreakBefore w:val="0"/>
        <w:widowControl/>
        <w:kinsoku/>
        <w:wordWrap/>
        <w:overflowPunct/>
        <w:topLinePunct w:val="0"/>
        <w:autoSpaceDE/>
        <w:autoSpaceDN/>
        <w:bidi w:val="0"/>
        <w:adjustRightInd/>
        <w:snapToGrid/>
        <w:spacing w:after="0" w:line="276" w:lineRule="auto"/>
        <w:ind w:firstLine="250" w:firstLineChars="114"/>
        <w:jc w:val="both"/>
        <w:textAlignment w:val="auto"/>
        <w:rPr>
          <w:rFonts w:ascii="Times New Roman" w:hAnsi="Times New Roman" w:cs="Times New Roman"/>
          <w:sz w:val="22"/>
          <w:szCs w:val="22"/>
          <w:lang w:val="en-US"/>
        </w:rPr>
      </w:pPr>
      <w:r>
        <w:rPr>
          <w:rFonts w:ascii="Times New Roman" w:hAnsi="Times New Roman" w:cs="Times New Roman"/>
          <w:sz w:val="22"/>
          <w:szCs w:val="22"/>
        </w:rPr>
        <w:t xml:space="preserve">Pajak adalah </w:t>
      </w:r>
      <w:r>
        <w:rPr>
          <w:rFonts w:ascii="Times New Roman" w:hAnsi="Times New Roman" w:cs="Times New Roman"/>
          <w:sz w:val="22"/>
          <w:szCs w:val="22"/>
          <w:lang w:val="en-US"/>
        </w:rPr>
        <w:t>unsur penting dalam rangka penerimaan anggaran negara. Bagi negara Pajak merupakan sumber penting pemasukan negara yang digunakan untuk membiayai anggaran pengeluaran negara. Pada hakikatnya setiap warga negara memiliki kewajiban dalam perpajakan yang harus sesuai dengan undang-undang yang berlaku. Tapi bagi perusahaan pajak merupakan beban yang akan mengurangi laba yang diperoleh. Maka dari itu, perusaaan melakukan berbagai cara untuk menghindari pajak salah satu dengan memanfaatkan kelemahaan ketentuan perpajakan. Peghindaran pajak sebagai cara untuk mengurangi pajak yang bersifat legal, karena tidak melanggar peraturan yang ada ada ( Pohan  dalam Anggiyani Maghfiroh, 2023 ).</w:t>
      </w:r>
    </w:p>
    <w:p w14:paraId="283909EB">
      <w:pPr>
        <w:keepNext w:val="0"/>
        <w:keepLines w:val="0"/>
        <w:pageBreakBefore w:val="0"/>
        <w:widowControl/>
        <w:kinsoku/>
        <w:wordWrap/>
        <w:overflowPunct/>
        <w:topLinePunct w:val="0"/>
        <w:autoSpaceDE/>
        <w:autoSpaceDN/>
        <w:bidi w:val="0"/>
        <w:adjustRightInd/>
        <w:snapToGrid/>
        <w:spacing w:after="0" w:line="276" w:lineRule="auto"/>
        <w:ind w:firstLine="250" w:firstLineChars="114"/>
        <w:jc w:val="both"/>
        <w:textAlignment w:val="auto"/>
        <w:rPr>
          <w:rFonts w:ascii="Times New Roman" w:hAnsi="Times New Roman" w:cs="Times New Roman"/>
          <w:sz w:val="22"/>
          <w:szCs w:val="22"/>
          <w:lang w:val="en-US"/>
        </w:rPr>
      </w:pPr>
      <w:r>
        <w:rPr>
          <w:rFonts w:ascii="Times New Roman" w:hAnsi="Times New Roman" w:cs="Times New Roman"/>
          <w:sz w:val="22"/>
          <w:szCs w:val="22"/>
          <w:lang w:val="en-US"/>
        </w:rPr>
        <w:t>Fenomena yang digunakan untuk mendukung penelitian ini adalah salah satu kecurangan penghindaran pajak pada sector property dan real estate yang terjadi di Indonesia atas transaksi property yang dilakukan pengembang (developer) Perumhan Bukit Semarang Baru yang dikembangkan oleh PT. Karyadeka Alam Lestari yakni penjualan rumah mewah seharga Rp.7,1 Miliyar di Semarang. Namaun diakta notaris hanya tertulis Rp.940 Juta. Itu artinya masih terdapat selisih harga Rp.6,1 Miliyar. Atas transaksi ini,ada potensi PPN ( pajak pertambahan nilai ) yang harus setor 10% dikali Rp.6,1 Miliyar yaitu sebesar Rp.610 Juta.Kekurangan lain PPh ( pajak pengasilan ) final sebesar 5% dikali dengan Rp.6,1 Miliyar yaitu sebesar Rp.300 Juta, dengan total keseluruhan kekurangan pajak senilai Rp.910 Juta. Jika developer ini menjual ratusan unit rumah mewah berakibat kerugian negara yang bisa mencapai puluhan miliyar rupiah dari satu proyek perumahan. (www.pajak.go.id)</w:t>
      </w:r>
    </w:p>
    <w:p w14:paraId="0FC83392">
      <w:pPr>
        <w:keepNext w:val="0"/>
        <w:keepLines w:val="0"/>
        <w:pageBreakBefore w:val="0"/>
        <w:widowControl/>
        <w:kinsoku/>
        <w:wordWrap/>
        <w:overflowPunct/>
        <w:topLinePunct w:val="0"/>
        <w:autoSpaceDE/>
        <w:autoSpaceDN/>
        <w:bidi w:val="0"/>
        <w:adjustRightInd/>
        <w:snapToGrid/>
        <w:spacing w:after="0" w:line="276" w:lineRule="auto"/>
        <w:ind w:firstLine="250" w:firstLineChars="114"/>
        <w:jc w:val="both"/>
        <w:textAlignment w:val="auto"/>
        <w:rPr>
          <w:rFonts w:ascii="Times New Roman" w:hAnsi="Times New Roman" w:cs="Times New Roman"/>
          <w:sz w:val="22"/>
          <w:szCs w:val="22"/>
          <w:lang w:val="en-US"/>
        </w:rPr>
      </w:pPr>
      <w:r>
        <w:rPr>
          <w:rFonts w:ascii="Times New Roman" w:hAnsi="Times New Roman" w:cs="Times New Roman"/>
          <w:i/>
          <w:sz w:val="22"/>
          <w:szCs w:val="22"/>
          <w:lang w:val="en-US"/>
        </w:rPr>
        <w:t>Tax Avoidance</w:t>
      </w:r>
      <w:r>
        <w:rPr>
          <w:rFonts w:ascii="Times New Roman" w:hAnsi="Times New Roman" w:cs="Times New Roman"/>
          <w:sz w:val="22"/>
          <w:szCs w:val="22"/>
          <w:lang w:val="en-US"/>
        </w:rPr>
        <w:t xml:space="preserve"> merupakan kontribusi wajib bagi perorangan atau badan yang disetorkan kepada negara. Tetapi wajib pajak selalu menginginkan pembayaran pajak yang kecil. Perusahaana berkontribusi besar dalam pembayaran pajak mereka kepada pemerintah, tetapi sebagian besar perusahaan menganggap pajak sebagai beban yang dapat mengurangi laba perusahaan. Apabila keuntungan dari hasil operasional perusahaan besar, maka pajak yang dibayarkan oleh perusahaan akan besar pula. Oleh karena itu, sebagian perusahaan akan melakukan penghindaran pajak sebagai upaya agar dapat membbayar pajak dengan seefisien mungkin baik bersifat legal maupun illegal ( Salma, 2028 ).</w:t>
      </w:r>
    </w:p>
    <w:p w14:paraId="5895C84F">
      <w:pPr>
        <w:keepNext w:val="0"/>
        <w:keepLines w:val="0"/>
        <w:pageBreakBefore w:val="0"/>
        <w:widowControl/>
        <w:kinsoku/>
        <w:wordWrap/>
        <w:overflowPunct/>
        <w:topLinePunct w:val="0"/>
        <w:autoSpaceDE/>
        <w:autoSpaceDN/>
        <w:bidi w:val="0"/>
        <w:adjustRightInd/>
        <w:snapToGrid/>
        <w:spacing w:after="0" w:line="276" w:lineRule="auto"/>
        <w:ind w:firstLine="250" w:firstLineChars="114"/>
        <w:jc w:val="both"/>
        <w:textAlignment w:val="auto"/>
        <w:rPr>
          <w:rFonts w:ascii="Times New Roman" w:hAnsi="Times New Roman" w:cs="Times New Roman"/>
          <w:sz w:val="22"/>
          <w:szCs w:val="22"/>
          <w:lang w:val="en-US"/>
        </w:rPr>
      </w:pPr>
      <w:r>
        <w:rPr>
          <w:rFonts w:ascii="Times New Roman" w:hAnsi="Times New Roman" w:cs="Times New Roman"/>
          <w:i/>
          <w:sz w:val="22"/>
          <w:szCs w:val="22"/>
          <w:lang w:val="en-US"/>
        </w:rPr>
        <w:t>Financial Distress</w:t>
      </w:r>
      <w:r>
        <w:rPr>
          <w:rFonts w:ascii="Times New Roman" w:hAnsi="Times New Roman" w:cs="Times New Roman"/>
          <w:sz w:val="22"/>
          <w:szCs w:val="22"/>
          <w:lang w:val="en-US"/>
        </w:rPr>
        <w:t xml:space="preserve"> adalah adalah situasi dimana aliran kas operasi sebuah perusahaan tidak cukup untuk memenuhi kewajiban-kewajiban sekarang yang memaksa perusahaan untuk melakukan tindakan korektif ( Jayanto Purba dan Dwi 2020 ). Perusahaan yang mengalami </w:t>
      </w:r>
      <w:r>
        <w:rPr>
          <w:rFonts w:ascii="Times New Roman" w:hAnsi="Times New Roman" w:cs="Times New Roman"/>
          <w:i/>
          <w:sz w:val="22"/>
          <w:szCs w:val="22"/>
          <w:lang w:val="en-US"/>
        </w:rPr>
        <w:t>financial distress</w:t>
      </w:r>
      <w:r>
        <w:rPr>
          <w:rFonts w:ascii="Times New Roman" w:hAnsi="Times New Roman" w:cs="Times New Roman"/>
          <w:sz w:val="22"/>
          <w:szCs w:val="22"/>
          <w:lang w:val="en-US"/>
        </w:rPr>
        <w:t xml:space="preserve"> cenderung menghadapi masalah yang berkitan dengan peningkatan biaya, penurunan akses kesumber biaya dan tidak mampu membayar kredit saat jatuh tempo sehingga membuat para manajer cenderung mencari solusi dengan melakukan agresitifitas pajak. </w:t>
      </w:r>
    </w:p>
    <w:p w14:paraId="44E1A7D2">
      <w:pPr>
        <w:keepNext w:val="0"/>
        <w:keepLines w:val="0"/>
        <w:pageBreakBefore w:val="0"/>
        <w:widowControl/>
        <w:kinsoku/>
        <w:wordWrap/>
        <w:overflowPunct/>
        <w:topLinePunct w:val="0"/>
        <w:autoSpaceDE/>
        <w:autoSpaceDN/>
        <w:bidi w:val="0"/>
        <w:adjustRightInd/>
        <w:snapToGrid/>
        <w:spacing w:after="0" w:line="276" w:lineRule="auto"/>
        <w:ind w:firstLine="250" w:firstLineChars="114"/>
        <w:jc w:val="both"/>
        <w:textAlignment w:val="auto"/>
        <w:rPr>
          <w:rFonts w:ascii="Times New Roman" w:hAnsi="Times New Roman" w:cs="Times New Roman"/>
          <w:sz w:val="22"/>
          <w:szCs w:val="22"/>
          <w:lang w:val="en-US"/>
        </w:rPr>
      </w:pPr>
      <w:r>
        <w:rPr>
          <w:rFonts w:ascii="Times New Roman" w:hAnsi="Times New Roman" w:cs="Times New Roman"/>
          <w:sz w:val="22"/>
          <w:szCs w:val="22"/>
          <w:lang w:val="en-US"/>
        </w:rPr>
        <w:t>Kepemilikan Manajerial adalah bentuk pemisahaan kekayaan anatara pihak internal dan eksternal perusahaan. Para pemegang saham yang terdiri atas beberapa individu atau kelompok yang berbeda membuat perusahaan membutuhkan dewan komisaris nuntuk mengawasi kegiatan perusahaan struktur kepemilikan tersebut mendefenisikan bahwa adanya perbedaan antara pemilik dan manajer perusahaan sebagai pelaksana kegiatan. Oleh karena itu, adanya perbedaan kepemilikan ini dapat memberi stabilitas bagi perusahaan yang tidak dimiliki oleh perusahaan dengan pemilik merangkap manajer.( Bodie, K.Alex dalam Mutmainnah dkk, 2019).</w:t>
      </w:r>
    </w:p>
    <w:p w14:paraId="215EB6C7">
      <w:pPr>
        <w:keepNext w:val="0"/>
        <w:keepLines w:val="0"/>
        <w:pageBreakBefore w:val="0"/>
        <w:widowControl/>
        <w:kinsoku/>
        <w:wordWrap/>
        <w:overflowPunct/>
        <w:topLinePunct w:val="0"/>
        <w:autoSpaceDE/>
        <w:autoSpaceDN/>
        <w:bidi w:val="0"/>
        <w:adjustRightInd/>
        <w:snapToGrid/>
        <w:spacing w:after="0" w:line="276" w:lineRule="auto"/>
        <w:ind w:firstLine="250" w:firstLineChars="114"/>
        <w:jc w:val="both"/>
        <w:textAlignment w:val="auto"/>
        <w:rPr>
          <w:rFonts w:ascii="Times New Roman" w:hAnsi="Times New Roman" w:cs="Times New Roman"/>
          <w:sz w:val="22"/>
          <w:szCs w:val="22"/>
          <w:lang w:val="en-US"/>
        </w:rPr>
      </w:pPr>
      <w:r>
        <w:rPr>
          <w:rFonts w:ascii="Times New Roman" w:hAnsi="Times New Roman" w:cs="Times New Roman"/>
          <w:sz w:val="22"/>
          <w:szCs w:val="22"/>
          <w:lang w:val="en-US"/>
        </w:rPr>
        <w:t>Konservatisme Akuntansi adalah tindakan atau prinsip kehati-hatian yang dilakukan oleh seorang akuntansi untuk menghadapi dua atau lebih alternatif dalam penyusunan laporan keuangan dimana keuntungan tidak ada diakui sebelum ditemukannya bukti yang kredibel sementara kerugian harus segera diakui. Konservatisme Akuntansi menurut Standar Akuntansi Keuangan (SAK) adalah metode akuntansi yang diperbolehkan mengakui pendapatan selambat mungkin, pengakuan beban secepat mungkin, penilaian persediaan yang lebih rendah  penilaian kewajiban yang lebih tinggi.</w:t>
      </w:r>
    </w:p>
    <w:p w14:paraId="79CCCFF2">
      <w:pPr>
        <w:keepNext w:val="0"/>
        <w:keepLines w:val="0"/>
        <w:pageBreakBefore w:val="0"/>
        <w:widowControl/>
        <w:kinsoku/>
        <w:wordWrap/>
        <w:overflowPunct/>
        <w:topLinePunct w:val="0"/>
        <w:autoSpaceDE/>
        <w:autoSpaceDN/>
        <w:bidi w:val="0"/>
        <w:adjustRightInd/>
        <w:snapToGrid/>
        <w:spacing w:after="0" w:line="276" w:lineRule="auto"/>
        <w:ind w:firstLine="250" w:firstLineChars="114"/>
        <w:jc w:val="both"/>
        <w:textAlignment w:val="auto"/>
        <w:rPr>
          <w:rFonts w:ascii="Times New Roman" w:hAnsi="Times New Roman" w:cs="Times New Roman"/>
          <w:sz w:val="22"/>
          <w:szCs w:val="22"/>
          <w:lang w:val="en-US"/>
        </w:rPr>
      </w:pPr>
    </w:p>
    <w:p w14:paraId="2F45E19C">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jc w:val="both"/>
        <w:rPr>
          <w:rFonts w:hint="default" w:ascii="Times New Roman" w:hAnsi="Times New Roman" w:cs="Times New Roman"/>
          <w:color w:val="000000"/>
          <w:sz w:val="24"/>
          <w:szCs w:val="24"/>
        </w:rPr>
      </w:pPr>
      <w:r>
        <w:rPr>
          <w:rFonts w:hint="default" w:ascii="Times New Roman" w:hAnsi="Times New Roman" w:cs="Times New Roman"/>
          <w:b/>
          <w:bCs/>
          <w:i w:val="0"/>
          <w:iCs w:val="0"/>
          <w:color w:val="000000"/>
          <w:sz w:val="22"/>
          <w:szCs w:val="22"/>
          <w:u w:val="none"/>
          <w:bdr w:val="none" w:color="auto" w:sz="0" w:space="0"/>
          <w:shd w:val="clear" w:fill="FFFFFF"/>
          <w:vertAlign w:val="baseline"/>
        </w:rPr>
        <w:t xml:space="preserve">II. METODE PENELITIAN </w:t>
      </w:r>
    </w:p>
    <w:p w14:paraId="399B131B">
      <w:pPr>
        <w:pStyle w:val="10"/>
        <w:keepNext w:val="0"/>
        <w:keepLines w:val="0"/>
        <w:pageBreakBefore w:val="0"/>
        <w:widowControl w:val="0"/>
        <w:kinsoku/>
        <w:wordWrap/>
        <w:overflowPunct/>
        <w:topLinePunct w:val="0"/>
        <w:autoSpaceDE w:val="0"/>
        <w:autoSpaceDN w:val="0"/>
        <w:bidi w:val="0"/>
        <w:adjustRightInd/>
        <w:snapToGrid/>
        <w:spacing w:line="276" w:lineRule="auto"/>
        <w:ind w:right="0" w:firstLine="652"/>
        <w:jc w:val="both"/>
        <w:textAlignment w:val="auto"/>
        <w:rPr>
          <w:sz w:val="22"/>
          <w:szCs w:val="22"/>
        </w:rPr>
      </w:pPr>
      <w:r>
        <w:rPr>
          <w:sz w:val="22"/>
          <w:szCs w:val="22"/>
        </w:rPr>
        <w:t>Penelitian ini merupakan jenis penelitian kuantitatif dan metode asosiatif. Penelitian kuantitatif dapat diartikan sebagai prosedur penelitian yang menghasilkan data berupa angka-angka dan umumnya dianalisis dengan menggunakan statistik deskriptif atau inferensial. Artinya, angka yang didapatkan diolah dan dicari tahu pengaruhnya terhadap rumus masalah penelitian yang telah ditentukan ( Sugiyono 2019 : 16 ).</w:t>
      </w:r>
    </w:p>
    <w:p w14:paraId="4F3979A5">
      <w:pPr>
        <w:pStyle w:val="10"/>
        <w:keepNext w:val="0"/>
        <w:keepLines w:val="0"/>
        <w:pageBreakBefore w:val="0"/>
        <w:widowControl w:val="0"/>
        <w:kinsoku/>
        <w:wordWrap/>
        <w:overflowPunct/>
        <w:topLinePunct w:val="0"/>
        <w:autoSpaceDE w:val="0"/>
        <w:autoSpaceDN w:val="0"/>
        <w:bidi w:val="0"/>
        <w:adjustRightInd/>
        <w:snapToGrid/>
        <w:spacing w:line="276" w:lineRule="auto"/>
        <w:ind w:right="0" w:firstLine="652"/>
        <w:jc w:val="both"/>
        <w:textAlignment w:val="auto"/>
        <w:rPr>
          <w:sz w:val="22"/>
          <w:szCs w:val="22"/>
        </w:rPr>
      </w:pPr>
      <w:r>
        <w:rPr>
          <w:sz w:val="22"/>
          <w:szCs w:val="22"/>
        </w:rPr>
        <w:t xml:space="preserve">Sedangkan metode asosiatif adalah suatu rumusan masalah penelitian yang bersifat menanyakan hubungan dua variabel atau lebih. Dalam penelitian ini strategi penelitian asosiatif digunakan untuk mengidentifikasi sejauh mana pengaruh variabel X ( variabel bebas ) yang Terdiri atas </w:t>
      </w:r>
      <w:r>
        <w:rPr>
          <w:i/>
          <w:sz w:val="22"/>
          <w:szCs w:val="22"/>
        </w:rPr>
        <w:t>Financial Distress</w:t>
      </w:r>
      <w:r>
        <w:rPr>
          <w:sz w:val="22"/>
          <w:szCs w:val="22"/>
        </w:rPr>
        <w:t xml:space="preserve"> ( X</w:t>
      </w:r>
      <w:r>
        <w:rPr>
          <w:sz w:val="22"/>
          <w:szCs w:val="22"/>
          <w:vertAlign w:val="subscript"/>
        </w:rPr>
        <w:t>1</w:t>
      </w:r>
      <w:r>
        <w:rPr>
          <w:sz w:val="22"/>
          <w:szCs w:val="22"/>
        </w:rPr>
        <w:t xml:space="preserve"> ), Kepemilikan Manajerial ( X</w:t>
      </w:r>
      <w:r>
        <w:rPr>
          <w:sz w:val="22"/>
          <w:szCs w:val="22"/>
          <w:vertAlign w:val="subscript"/>
        </w:rPr>
        <w:t>2</w:t>
      </w:r>
      <w:r>
        <w:rPr>
          <w:sz w:val="22"/>
          <w:szCs w:val="22"/>
        </w:rPr>
        <w:t xml:space="preserve"> ), Konservatisme Akuntansi ( X</w:t>
      </w:r>
      <w:r>
        <w:rPr>
          <w:sz w:val="22"/>
          <w:szCs w:val="22"/>
          <w:vertAlign w:val="subscript"/>
        </w:rPr>
        <w:t>3</w:t>
      </w:r>
      <w:r>
        <w:rPr>
          <w:sz w:val="22"/>
          <w:szCs w:val="22"/>
        </w:rPr>
        <w:t xml:space="preserve"> ), Terhadap variabel Y </w:t>
      </w:r>
      <w:r>
        <w:rPr>
          <w:i/>
          <w:sz w:val="22"/>
          <w:szCs w:val="22"/>
        </w:rPr>
        <w:t>Tax Avoidance</w:t>
      </w:r>
      <w:r>
        <w:rPr>
          <w:sz w:val="22"/>
          <w:szCs w:val="22"/>
        </w:rPr>
        <w:t xml:space="preserve"> ( variabel terikat ), baik secara parsial maupun simultan ( Sugiyono, 2019 : 17 ).</w:t>
      </w:r>
    </w:p>
    <w:p w14:paraId="7B93E1AC">
      <w:pPr>
        <w:keepNext w:val="0"/>
        <w:keepLines w:val="0"/>
        <w:pageBreakBefore w:val="0"/>
        <w:kinsoku/>
        <w:wordWrap/>
        <w:overflowPunct/>
        <w:topLinePunct w:val="0"/>
        <w:bidi w:val="0"/>
        <w:adjustRightInd/>
        <w:snapToGrid/>
        <w:spacing w:after="0" w:line="276" w:lineRule="auto"/>
        <w:ind w:firstLine="250" w:firstLineChars="114"/>
        <w:contextualSpacing/>
        <w:jc w:val="both"/>
        <w:textAlignment w:val="auto"/>
        <w:rPr>
          <w:sz w:val="22"/>
          <w:szCs w:val="22"/>
        </w:rPr>
      </w:pPr>
      <w:r>
        <w:rPr>
          <w:rFonts w:ascii="Times New Roman" w:hAnsi="Times New Roman" w:eastAsia="Calibri" w:cs="Times New Roman"/>
          <w:sz w:val="22"/>
          <w:szCs w:val="22"/>
          <w:lang w:val="en-US"/>
        </w:rPr>
        <w:t xml:space="preserve">Jenis data yang digunakan dalam penelitian ini adalah data sekunder. Data sekunder yang dimaksud yaitu data yang diambil secara tidak langsung melainkan melalui perantara atau data yang berasal dari internal perusahaan yang diperoleh dari pihak eksternal, yaitu dari </w:t>
      </w:r>
      <w:r>
        <w:rPr>
          <w:rFonts w:ascii="Times New Roman" w:hAnsi="Times New Roman" w:eastAsia="Calibri" w:cs="Times New Roman"/>
          <w:i/>
          <w:sz w:val="22"/>
          <w:szCs w:val="22"/>
          <w:lang w:val="en-US"/>
        </w:rPr>
        <w:t>website</w:t>
      </w:r>
      <w:r>
        <w:rPr>
          <w:rFonts w:ascii="Times New Roman" w:hAnsi="Times New Roman" w:eastAsia="Calibri" w:cs="Times New Roman"/>
          <w:sz w:val="22"/>
          <w:szCs w:val="22"/>
          <w:lang w:val="en-US"/>
        </w:rPr>
        <w:t xml:space="preserve"> di Bursa Efek Indonesia (BEI) dalam bentuk </w:t>
      </w:r>
      <w:r>
        <w:rPr>
          <w:rFonts w:ascii="Times New Roman" w:hAnsi="Times New Roman" w:eastAsia="Calibri" w:cs="Times New Roman"/>
          <w:i/>
          <w:iCs/>
          <w:sz w:val="22"/>
          <w:szCs w:val="22"/>
          <w:lang w:val="en-US"/>
        </w:rPr>
        <w:t>annual report</w:t>
      </w:r>
      <w:r>
        <w:rPr>
          <w:rFonts w:ascii="Times New Roman" w:hAnsi="Times New Roman" w:eastAsia="Calibri" w:cs="Times New Roman"/>
          <w:sz w:val="22"/>
          <w:szCs w:val="22"/>
          <w:lang w:val="en-US"/>
        </w:rPr>
        <w:t xml:space="preserve"> dan laporan keuangan dengan periode penelitian 5 tahun yaitu periode tahun 2018-2022.Objek dari penelitan ini perusahaan tambang yang terdaftar di BEI dan mengikuti Proper tahun 2018-2022. Metode pengambilan sampel dalam penelitian ini menggunakan </w:t>
      </w:r>
      <w:r>
        <w:rPr>
          <w:rFonts w:ascii="Times New Roman" w:hAnsi="Times New Roman" w:eastAsia="Calibri" w:cs="Times New Roman"/>
          <w:i/>
          <w:iCs/>
          <w:sz w:val="22"/>
          <w:szCs w:val="22"/>
          <w:lang w:val="en-US"/>
        </w:rPr>
        <w:t>purposive sampling</w:t>
      </w:r>
      <w:r>
        <w:rPr>
          <w:rFonts w:ascii="Times New Roman" w:hAnsi="Times New Roman" w:eastAsia="Calibri" w:cs="Times New Roman"/>
          <w:sz w:val="22"/>
          <w:szCs w:val="22"/>
          <w:lang w:val="en-US"/>
        </w:rPr>
        <w:t xml:space="preserve"> yang dipilih sesuai kriteria yang telah ditentukan. </w:t>
      </w:r>
    </w:p>
    <w:p w14:paraId="2E090732">
      <w:pPr>
        <w:pStyle w:val="10"/>
        <w:keepNext w:val="0"/>
        <w:keepLines w:val="0"/>
        <w:pageBreakBefore w:val="0"/>
        <w:widowControl w:val="0"/>
        <w:kinsoku/>
        <w:wordWrap/>
        <w:overflowPunct/>
        <w:topLinePunct w:val="0"/>
        <w:autoSpaceDE w:val="0"/>
        <w:autoSpaceDN w:val="0"/>
        <w:bidi w:val="0"/>
        <w:adjustRightInd/>
        <w:snapToGrid/>
        <w:spacing w:line="276" w:lineRule="auto"/>
        <w:ind w:right="0" w:firstLine="652"/>
        <w:jc w:val="both"/>
        <w:textAlignment w:val="auto"/>
        <w:rPr>
          <w:sz w:val="22"/>
          <w:szCs w:val="22"/>
        </w:rPr>
      </w:pPr>
    </w:p>
    <w:p w14:paraId="69C0A0AC">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jc w:val="both"/>
        <w:rPr>
          <w:rFonts w:hint="default" w:ascii="Times New Roman" w:hAnsi="Times New Roman" w:cs="Times New Roman"/>
          <w:b/>
          <w:bCs/>
          <w:i w:val="0"/>
          <w:iCs w:val="0"/>
          <w:color w:val="000000"/>
          <w:sz w:val="22"/>
          <w:szCs w:val="22"/>
          <w:u w:val="none"/>
          <w:bdr w:val="none" w:color="auto" w:sz="0" w:space="0"/>
          <w:shd w:val="clear" w:fill="FFFFFF"/>
          <w:vertAlign w:val="baseline"/>
        </w:rPr>
      </w:pPr>
      <w:r>
        <w:rPr>
          <w:rFonts w:hint="default" w:ascii="Times New Roman" w:hAnsi="Times New Roman" w:cs="Times New Roman"/>
          <w:b/>
          <w:bCs/>
          <w:i w:val="0"/>
          <w:iCs w:val="0"/>
          <w:color w:val="000000"/>
          <w:sz w:val="22"/>
          <w:szCs w:val="22"/>
          <w:u w:val="none"/>
          <w:bdr w:val="none" w:color="auto" w:sz="0" w:space="0"/>
          <w:shd w:val="clear" w:fill="FFFFFF"/>
          <w:vertAlign w:val="baseline"/>
        </w:rPr>
        <w:t xml:space="preserve">III. HASIL DAN PEMBAHASAN </w:t>
      </w:r>
    </w:p>
    <w:p w14:paraId="795324BE">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jc w:val="both"/>
        <w:rPr>
          <w:rFonts w:hint="default" w:ascii="Times New Roman" w:hAnsi="Times New Roman" w:cs="Times New Roman"/>
          <w:b/>
          <w:bCs/>
          <w:i w:val="0"/>
          <w:iCs w:val="0"/>
          <w:color w:val="000000"/>
          <w:sz w:val="22"/>
          <w:szCs w:val="22"/>
          <w:u w:val="none"/>
          <w:bdr w:val="none" w:color="auto" w:sz="0" w:space="0"/>
          <w:shd w:val="clear" w:fill="FFFFFF"/>
          <w:vertAlign w:val="baseline"/>
        </w:rPr>
      </w:pPr>
    </w:p>
    <w:p w14:paraId="0F1CF11F">
      <w:pPr>
        <w:pStyle w:val="13"/>
        <w:keepNext w:val="0"/>
        <w:keepLines w:val="0"/>
        <w:pageBreakBefore w:val="0"/>
        <w:widowControl w:val="0"/>
        <w:numPr>
          <w:numId w:val="0"/>
        </w:numPr>
        <w:kinsoku/>
        <w:wordWrap/>
        <w:overflowPunct/>
        <w:topLinePunct w:val="0"/>
        <w:autoSpaceDE/>
        <w:autoSpaceDN/>
        <w:bidi w:val="0"/>
        <w:adjustRightInd/>
        <w:snapToGrid/>
        <w:spacing w:line="276" w:lineRule="auto"/>
        <w:textAlignment w:val="auto"/>
        <w:rPr>
          <w:sz w:val="22"/>
          <w:szCs w:val="22"/>
        </w:rPr>
      </w:pPr>
      <w:bookmarkStart w:id="0" w:name="_Toc173478352"/>
      <w:r>
        <w:rPr>
          <w:sz w:val="22"/>
          <w:szCs w:val="22"/>
        </w:rPr>
        <w:t xml:space="preserve">Pengaruh </w:t>
      </w:r>
      <w:r>
        <w:rPr>
          <w:i/>
          <w:iCs/>
          <w:sz w:val="22"/>
          <w:szCs w:val="22"/>
        </w:rPr>
        <w:t>Financial Distress</w:t>
      </w:r>
      <w:r>
        <w:rPr>
          <w:sz w:val="22"/>
          <w:szCs w:val="22"/>
        </w:rPr>
        <w:t xml:space="preserve">, Kepemilikan Manajerial dan Konservatisme Akuntansi terhadap </w:t>
      </w:r>
      <w:r>
        <w:rPr>
          <w:i/>
          <w:sz w:val="22"/>
          <w:szCs w:val="22"/>
        </w:rPr>
        <w:t>Tax Avoidance</w:t>
      </w:r>
      <w:bookmarkEnd w:id="0"/>
    </w:p>
    <w:p w14:paraId="5C773A29">
      <w:pPr>
        <w:pStyle w:val="17"/>
        <w:keepNext w:val="0"/>
        <w:keepLines w:val="0"/>
        <w:pageBreakBefore w:val="0"/>
        <w:widowControl w:val="0"/>
        <w:kinsoku/>
        <w:wordWrap/>
        <w:overflowPunct/>
        <w:topLinePunct w:val="0"/>
        <w:autoSpaceDE/>
        <w:autoSpaceDN/>
        <w:bidi w:val="0"/>
        <w:adjustRightInd/>
        <w:snapToGrid/>
        <w:spacing w:line="276" w:lineRule="auto"/>
        <w:ind w:firstLine="250" w:firstLineChars="114"/>
        <w:textAlignment w:val="auto"/>
        <w:rPr>
          <w:sz w:val="22"/>
          <w:szCs w:val="22"/>
        </w:rPr>
      </w:pPr>
      <w:r>
        <w:rPr>
          <w:rFonts w:eastAsia="Times New Roman"/>
          <w:sz w:val="22"/>
          <w:szCs w:val="22"/>
        </w:rPr>
        <w:t xml:space="preserve">Hasil uji hipotesis pertama </w:t>
      </w:r>
      <w:r>
        <w:rPr>
          <w:sz w:val="22"/>
          <w:szCs w:val="22"/>
        </w:rPr>
        <w:t>diperoleh</w:t>
      </w:r>
      <w:r>
        <w:rPr>
          <w:rFonts w:eastAsia="Times New Roman"/>
          <w:sz w:val="22"/>
          <w:szCs w:val="22"/>
        </w:rPr>
        <w:t xml:space="preserve"> nilai </w:t>
      </w:r>
      <w:r>
        <w:rPr>
          <w:rFonts w:eastAsia="Times New Roman"/>
          <w:i/>
          <w:sz w:val="22"/>
          <w:szCs w:val="22"/>
        </w:rPr>
        <w:t>f</w:t>
      </w:r>
      <w:r>
        <w:rPr>
          <w:rFonts w:eastAsia="Times New Roman"/>
          <w:i/>
          <w:sz w:val="22"/>
          <w:szCs w:val="22"/>
          <w:vertAlign w:val="subscript"/>
        </w:rPr>
        <w:t xml:space="preserve">hitung </w:t>
      </w:r>
      <w:r>
        <w:rPr>
          <w:rFonts w:eastAsia="Times New Roman"/>
          <w:sz w:val="22"/>
          <w:szCs w:val="22"/>
        </w:rPr>
        <w:t xml:space="preserve">&gt; </w:t>
      </w:r>
      <w:r>
        <w:rPr>
          <w:rFonts w:eastAsia="Times New Roman"/>
          <w:i/>
          <w:sz w:val="22"/>
          <w:szCs w:val="22"/>
        </w:rPr>
        <w:t>f</w:t>
      </w:r>
      <w:r>
        <w:rPr>
          <w:rFonts w:eastAsia="Times New Roman"/>
          <w:i/>
          <w:sz w:val="22"/>
          <w:szCs w:val="22"/>
          <w:vertAlign w:val="subscript"/>
        </w:rPr>
        <w:t>tabel</w:t>
      </w:r>
      <w:r>
        <w:rPr>
          <w:rFonts w:eastAsia="Times New Roman"/>
          <w:sz w:val="22"/>
          <w:szCs w:val="22"/>
        </w:rPr>
        <w:t xml:space="preserve"> atau </w:t>
      </w:r>
      <w:r>
        <w:rPr>
          <w:color w:val="000000"/>
          <w:sz w:val="22"/>
          <w:szCs w:val="22"/>
          <w:lang w:val="zh-CN"/>
        </w:rPr>
        <w:t xml:space="preserve">4.565893 </w:t>
      </w:r>
      <w:r>
        <w:rPr>
          <w:rFonts w:eastAsia="Times New Roman"/>
          <w:sz w:val="22"/>
          <w:szCs w:val="22"/>
        </w:rPr>
        <w:t xml:space="preserve">&gt; 2,77. Hal tersebut juga diperkuat dengan nilai </w:t>
      </w:r>
      <w:r>
        <w:rPr>
          <w:rFonts w:eastAsia="Times New Roman"/>
          <w:i/>
          <w:sz w:val="22"/>
          <w:szCs w:val="22"/>
        </w:rPr>
        <w:t>Sig</w:t>
      </w:r>
      <w:r>
        <w:rPr>
          <w:rFonts w:eastAsia="Times New Roman"/>
          <w:sz w:val="22"/>
          <w:szCs w:val="22"/>
        </w:rPr>
        <w:t xml:space="preserve">. &lt; 0,05 atau </w:t>
      </w:r>
      <w:r>
        <w:rPr>
          <w:color w:val="000000"/>
          <w:sz w:val="22"/>
          <w:szCs w:val="22"/>
          <w:lang w:val="zh-CN"/>
        </w:rPr>
        <w:t xml:space="preserve">0,006246 </w:t>
      </w:r>
      <w:r>
        <w:rPr>
          <w:rFonts w:eastAsia="Times New Roman"/>
          <w:sz w:val="22"/>
          <w:szCs w:val="22"/>
        </w:rPr>
        <w:t>&lt; 0,05. Dengan demikian maka H</w:t>
      </w:r>
      <w:r>
        <w:rPr>
          <w:rFonts w:eastAsia="Times New Roman"/>
          <w:sz w:val="22"/>
          <w:szCs w:val="22"/>
          <w:vertAlign w:val="subscript"/>
        </w:rPr>
        <w:t>0</w:t>
      </w:r>
      <w:r>
        <w:rPr>
          <w:rFonts w:eastAsia="Times New Roman"/>
          <w:sz w:val="22"/>
          <w:szCs w:val="22"/>
        </w:rPr>
        <w:t xml:space="preserve"> ditolak dan H</w:t>
      </w:r>
      <w:r>
        <w:rPr>
          <w:rFonts w:eastAsia="Times New Roman"/>
          <w:sz w:val="22"/>
          <w:szCs w:val="22"/>
          <w:vertAlign w:val="subscript"/>
        </w:rPr>
        <w:t xml:space="preserve">1 </w:t>
      </w:r>
      <w:r>
        <w:rPr>
          <w:rFonts w:eastAsia="Times New Roman"/>
          <w:sz w:val="22"/>
          <w:szCs w:val="22"/>
        </w:rPr>
        <w:t xml:space="preserve">diterima. Maka dapat disimpulkan bahwa secara simultan </w:t>
      </w:r>
      <w:r>
        <w:rPr>
          <w:i/>
          <w:sz w:val="22"/>
          <w:szCs w:val="22"/>
        </w:rPr>
        <w:t>Financial Distress</w:t>
      </w:r>
      <w:r>
        <w:rPr>
          <w:sz w:val="22"/>
          <w:szCs w:val="22"/>
        </w:rPr>
        <w:t xml:space="preserve">, Kepemilikan Manajerial dan Konservatisme Akuntansi berpengaruh signifikan terhadap </w:t>
      </w:r>
      <w:r>
        <w:rPr>
          <w:i/>
          <w:sz w:val="22"/>
          <w:szCs w:val="22"/>
        </w:rPr>
        <w:t>Tax Avoidance</w:t>
      </w:r>
      <w:r>
        <w:rPr>
          <w:sz w:val="22"/>
          <w:szCs w:val="22"/>
        </w:rPr>
        <w:t>.</w:t>
      </w:r>
    </w:p>
    <w:p w14:paraId="0E47F93F">
      <w:pPr>
        <w:pStyle w:val="17"/>
        <w:keepNext w:val="0"/>
        <w:keepLines w:val="0"/>
        <w:pageBreakBefore w:val="0"/>
        <w:widowControl w:val="0"/>
        <w:kinsoku/>
        <w:wordWrap/>
        <w:overflowPunct/>
        <w:topLinePunct w:val="0"/>
        <w:autoSpaceDE/>
        <w:autoSpaceDN/>
        <w:bidi w:val="0"/>
        <w:adjustRightInd/>
        <w:snapToGrid/>
        <w:spacing w:line="276" w:lineRule="auto"/>
        <w:ind w:firstLine="250" w:firstLineChars="114"/>
        <w:textAlignment w:val="auto"/>
        <w:rPr>
          <w:sz w:val="22"/>
          <w:szCs w:val="22"/>
        </w:rPr>
      </w:pPr>
      <w:r>
        <w:rPr>
          <w:sz w:val="22"/>
          <w:szCs w:val="22"/>
        </w:rPr>
        <w:t>Dalam penelitian yang dilakukan oleh Mahdina dan Amin (2020), Penghindaran pajak adalah hambatan-hambatan yang terjadi dalam pemungutan pajak sehingga mengakibatkan berkurangnya penerimaan kas negara. Penghindaran pajak (tax avoidance) selalu diartikan sebagai kegiatan yang legal misalnya meminimalkan beban pajak tanpa melawan ketentuan perpajakan, singkatnya tax avoidance merupakan langkah-langkah yang dilakukan oleh seseorang untuk menghindari pajak namun dengan cara-cara yang legal. Menurut Astuti dalam Rahma Jesika 2022), Penerapan undang-undang perpajakan ini seakan-akan memberikan kesempatan bagi wajib pajak, dalam hal ini perusahaan untuk mengurangi jumlah pajak yang harus dibayar dengan cara menekan biaya perusahaan, termasuk didalamnya beban pajak.</w:t>
      </w:r>
    </w:p>
    <w:p w14:paraId="75BCE23E">
      <w:pPr>
        <w:pStyle w:val="17"/>
        <w:keepNext w:val="0"/>
        <w:keepLines w:val="0"/>
        <w:pageBreakBefore w:val="0"/>
        <w:widowControl w:val="0"/>
        <w:kinsoku/>
        <w:wordWrap/>
        <w:overflowPunct/>
        <w:topLinePunct w:val="0"/>
        <w:autoSpaceDE/>
        <w:autoSpaceDN/>
        <w:bidi w:val="0"/>
        <w:adjustRightInd/>
        <w:snapToGrid/>
        <w:spacing w:line="276" w:lineRule="auto"/>
        <w:ind w:firstLine="250" w:firstLineChars="114"/>
        <w:textAlignment w:val="auto"/>
        <w:rPr>
          <w:sz w:val="22"/>
          <w:szCs w:val="22"/>
        </w:rPr>
      </w:pPr>
      <w:r>
        <w:rPr>
          <w:sz w:val="22"/>
          <w:szCs w:val="22"/>
        </w:rPr>
        <w:t xml:space="preserve">Adanya indikasi perusahaan melakukan tax avoidance juga dapat dilihat dari kebijakan-kebijakan yang diterapkan oleh perusahaan seperti </w:t>
      </w:r>
      <w:r>
        <w:rPr>
          <w:i/>
          <w:iCs/>
          <w:sz w:val="22"/>
          <w:szCs w:val="22"/>
        </w:rPr>
        <w:t>Financial Distress</w:t>
      </w:r>
      <w:r>
        <w:rPr>
          <w:sz w:val="22"/>
          <w:szCs w:val="22"/>
        </w:rPr>
        <w:t>. Hal ini sesuai dengan hasil penelitian yang dilakukan oleh Meilia dan Adnan dalam Rahma Jesika, 2022) menyatakan bahwa Financial Distress berpengaruh signifikan tehadap Tax Avoidance dimana intensifikasi financial distress di dalam suatu perusahaan akan menggiring perusahaan untuk melakukan tax avoidance</w:t>
      </w:r>
    </w:p>
    <w:p w14:paraId="48C052D7">
      <w:pPr>
        <w:pStyle w:val="17"/>
        <w:keepNext w:val="0"/>
        <w:keepLines w:val="0"/>
        <w:pageBreakBefore w:val="0"/>
        <w:widowControl w:val="0"/>
        <w:kinsoku/>
        <w:wordWrap/>
        <w:overflowPunct/>
        <w:topLinePunct w:val="0"/>
        <w:autoSpaceDE/>
        <w:autoSpaceDN/>
        <w:bidi w:val="0"/>
        <w:adjustRightInd/>
        <w:snapToGrid/>
        <w:spacing w:line="276" w:lineRule="auto"/>
        <w:ind w:firstLine="250" w:firstLineChars="114"/>
        <w:textAlignment w:val="auto"/>
        <w:rPr>
          <w:sz w:val="22"/>
          <w:szCs w:val="22"/>
        </w:rPr>
      </w:pPr>
      <w:r>
        <w:rPr>
          <w:sz w:val="22"/>
          <w:szCs w:val="22"/>
        </w:rPr>
        <w:t>Konservatisme Akuntansi juga mengidentifikasikan terjadinya praktik tax avoidance. Dalam sebuah penelitian yang dilakukan oleh Verawaty dkk. Dalam Rahma Jesika, 2022) menjelaskan bahwa perusahaan dengan pajak yang lebih tinggi pada umumnya akan memilih strategi konservatisme akuntansi untuk mengurangi tarif pajak yang mereka miliki dengan cara yang diperolehkan. Dengan laba yang lebih rendah, maka beban pajak yang dibayarkan juga lebih rendah, karena laba perusahaan adalah dasar pengenaan pajak. Hal ini sejalan dengan hasil penelitian yang dilakukan oleh Sundari dan Aprilina dalam Rahma Jesika, 2022) yang menyatakan bahwa Konservatisme Akuntansi berpengaruh signifikan terhadap Tax Avoidance.</w:t>
      </w:r>
    </w:p>
    <w:p w14:paraId="3BC1A0AC">
      <w:pPr>
        <w:pStyle w:val="15"/>
        <w:keepNext w:val="0"/>
        <w:keepLines w:val="0"/>
        <w:pageBreakBefore w:val="0"/>
        <w:widowControl w:val="0"/>
        <w:kinsoku/>
        <w:wordWrap/>
        <w:overflowPunct/>
        <w:topLinePunct w:val="0"/>
        <w:autoSpaceDE/>
        <w:autoSpaceDN/>
        <w:bidi w:val="0"/>
        <w:adjustRightInd/>
        <w:snapToGrid/>
        <w:spacing w:line="276" w:lineRule="auto"/>
        <w:ind w:firstLine="250" w:firstLineChars="114"/>
        <w:textAlignment w:val="auto"/>
        <w:rPr>
          <w:sz w:val="22"/>
          <w:szCs w:val="22"/>
        </w:rPr>
      </w:pPr>
      <w:r>
        <w:rPr>
          <w:sz w:val="22"/>
          <w:szCs w:val="22"/>
        </w:rPr>
        <w:t>Kepemilikan manajerial sebagai salah satu komponen yang mempengaruhi penghindaran pajak, dimana kepemilikan manajerial sebagai suatu alat yang dipakai untuk mengurangi masalah keagenan dari banyaknya klaim terhadap suatu perusahaan. Teori Keagenan menyatakan bahwa manajer dalam mengelola suatu perusahaan memiliki tanggung jawab yang besar. Manajer sudah seharusnya mengoptimalkan laba perusahaan, yang nantinya akan dilaporkan kepada pemilik perusahaan Walidayni &amp; Fidiana, 2022).</w:t>
      </w:r>
    </w:p>
    <w:p w14:paraId="2A08BA98">
      <w:pPr>
        <w:pStyle w:val="13"/>
        <w:keepNext w:val="0"/>
        <w:keepLines w:val="0"/>
        <w:pageBreakBefore w:val="0"/>
        <w:widowControl w:val="0"/>
        <w:numPr>
          <w:numId w:val="0"/>
        </w:numPr>
        <w:kinsoku/>
        <w:wordWrap/>
        <w:overflowPunct/>
        <w:topLinePunct w:val="0"/>
        <w:autoSpaceDE/>
        <w:autoSpaceDN/>
        <w:bidi w:val="0"/>
        <w:adjustRightInd/>
        <w:snapToGrid/>
        <w:spacing w:line="276" w:lineRule="auto"/>
        <w:ind w:leftChars="0" w:firstLine="251" w:firstLineChars="114"/>
        <w:textAlignment w:val="auto"/>
        <w:rPr>
          <w:sz w:val="22"/>
          <w:szCs w:val="22"/>
        </w:rPr>
      </w:pPr>
      <w:bookmarkStart w:id="1" w:name="_Toc173478353"/>
    </w:p>
    <w:p w14:paraId="7EA6B155">
      <w:pPr>
        <w:pStyle w:val="13"/>
        <w:keepNext w:val="0"/>
        <w:keepLines w:val="0"/>
        <w:pageBreakBefore w:val="0"/>
        <w:widowControl w:val="0"/>
        <w:numPr>
          <w:numId w:val="0"/>
        </w:numPr>
        <w:kinsoku/>
        <w:wordWrap/>
        <w:overflowPunct/>
        <w:topLinePunct w:val="0"/>
        <w:autoSpaceDE/>
        <w:autoSpaceDN/>
        <w:bidi w:val="0"/>
        <w:adjustRightInd/>
        <w:snapToGrid/>
        <w:spacing w:line="276" w:lineRule="auto"/>
        <w:textAlignment w:val="auto"/>
        <w:rPr>
          <w:sz w:val="22"/>
          <w:szCs w:val="22"/>
        </w:rPr>
      </w:pPr>
      <w:r>
        <w:rPr>
          <w:sz w:val="22"/>
          <w:szCs w:val="22"/>
        </w:rPr>
        <w:t xml:space="preserve">Pengaruh </w:t>
      </w:r>
      <w:r>
        <w:rPr>
          <w:i/>
          <w:iCs/>
          <w:sz w:val="22"/>
          <w:szCs w:val="22"/>
        </w:rPr>
        <w:t>Financial Distress</w:t>
      </w:r>
      <w:r>
        <w:rPr>
          <w:iCs/>
          <w:sz w:val="22"/>
          <w:szCs w:val="22"/>
        </w:rPr>
        <w:t xml:space="preserve">  </w:t>
      </w:r>
      <w:r>
        <w:rPr>
          <w:sz w:val="22"/>
          <w:szCs w:val="22"/>
        </w:rPr>
        <w:t xml:space="preserve">terhadap </w:t>
      </w:r>
      <w:r>
        <w:rPr>
          <w:i/>
          <w:sz w:val="22"/>
          <w:szCs w:val="22"/>
        </w:rPr>
        <w:t>Tax Avoidance</w:t>
      </w:r>
      <w:bookmarkEnd w:id="1"/>
    </w:p>
    <w:p w14:paraId="3DCFB869">
      <w:pPr>
        <w:pStyle w:val="17"/>
        <w:keepNext w:val="0"/>
        <w:keepLines w:val="0"/>
        <w:pageBreakBefore w:val="0"/>
        <w:widowControl w:val="0"/>
        <w:kinsoku/>
        <w:wordWrap/>
        <w:overflowPunct/>
        <w:topLinePunct w:val="0"/>
        <w:autoSpaceDE/>
        <w:autoSpaceDN/>
        <w:bidi w:val="0"/>
        <w:adjustRightInd/>
        <w:snapToGrid/>
        <w:spacing w:line="276" w:lineRule="auto"/>
        <w:ind w:firstLine="250" w:firstLineChars="114"/>
        <w:textAlignment w:val="auto"/>
        <w:rPr>
          <w:sz w:val="22"/>
          <w:szCs w:val="22"/>
        </w:rPr>
      </w:pPr>
      <w:r>
        <w:rPr>
          <w:rFonts w:eastAsia="Times New Roman"/>
          <w:sz w:val="22"/>
          <w:szCs w:val="22"/>
        </w:rPr>
        <w:t xml:space="preserve">Hasil uji hipotesis kedua diperoleh nilai </w:t>
      </w:r>
      <w:r>
        <w:rPr>
          <w:rFonts w:eastAsia="Times New Roman"/>
          <w:i/>
          <w:sz w:val="22"/>
          <w:szCs w:val="22"/>
        </w:rPr>
        <w:t>t</w:t>
      </w:r>
      <w:r>
        <w:rPr>
          <w:rFonts w:eastAsia="Times New Roman"/>
          <w:i/>
          <w:sz w:val="22"/>
          <w:szCs w:val="22"/>
          <w:vertAlign w:val="subscript"/>
        </w:rPr>
        <w:t xml:space="preserve">hitung </w:t>
      </w:r>
      <w:r>
        <w:rPr>
          <w:rFonts w:eastAsia="Times New Roman"/>
          <w:sz w:val="22"/>
          <w:szCs w:val="22"/>
        </w:rPr>
        <w:t xml:space="preserve">&lt; </w:t>
      </w:r>
      <w:r>
        <w:rPr>
          <w:rFonts w:eastAsia="Times New Roman"/>
          <w:i/>
          <w:sz w:val="22"/>
          <w:szCs w:val="22"/>
        </w:rPr>
        <w:t>t</w:t>
      </w:r>
      <w:r>
        <w:rPr>
          <w:rFonts w:eastAsia="Times New Roman"/>
          <w:i/>
          <w:sz w:val="22"/>
          <w:szCs w:val="22"/>
          <w:vertAlign w:val="subscript"/>
        </w:rPr>
        <w:t>tabel</w:t>
      </w:r>
      <w:r>
        <w:rPr>
          <w:rFonts w:eastAsia="Times New Roman"/>
          <w:sz w:val="22"/>
          <w:szCs w:val="22"/>
        </w:rPr>
        <w:t xml:space="preserve"> atau </w:t>
      </w:r>
      <w:r>
        <w:rPr>
          <w:color w:val="000000"/>
          <w:sz w:val="22"/>
          <w:szCs w:val="22"/>
          <w:lang w:val="zh-CN"/>
        </w:rPr>
        <w:t xml:space="preserve">-1.673440 </w:t>
      </w:r>
      <w:r>
        <w:rPr>
          <w:rFonts w:eastAsia="Times New Roman"/>
          <w:sz w:val="22"/>
          <w:szCs w:val="22"/>
        </w:rPr>
        <w:t xml:space="preserve">&lt; 2,00172. Hal tersebut juga diperkuat dengan nilai </w:t>
      </w:r>
      <w:r>
        <w:rPr>
          <w:rFonts w:eastAsia="Times New Roman"/>
          <w:i/>
          <w:sz w:val="22"/>
          <w:szCs w:val="22"/>
        </w:rPr>
        <w:t>Sig</w:t>
      </w:r>
      <w:r>
        <w:rPr>
          <w:rFonts w:eastAsia="Times New Roman"/>
          <w:sz w:val="22"/>
          <w:szCs w:val="22"/>
        </w:rPr>
        <w:t>. &gt; 0,05 atau (</w:t>
      </w:r>
      <w:r>
        <w:rPr>
          <w:color w:val="000000"/>
          <w:sz w:val="22"/>
          <w:szCs w:val="22"/>
          <w:lang w:val="zh-CN"/>
        </w:rPr>
        <w:t xml:space="preserve">0,0998 </w:t>
      </w:r>
      <w:r>
        <w:rPr>
          <w:rFonts w:eastAsia="Times New Roman"/>
          <w:sz w:val="22"/>
          <w:szCs w:val="22"/>
        </w:rPr>
        <w:t>&gt; 0,05). Dengan demikian maka H</w:t>
      </w:r>
      <w:r>
        <w:rPr>
          <w:rFonts w:eastAsia="Times New Roman"/>
          <w:sz w:val="22"/>
          <w:szCs w:val="22"/>
          <w:vertAlign w:val="subscript"/>
        </w:rPr>
        <w:t>0</w:t>
      </w:r>
      <w:r>
        <w:rPr>
          <w:rFonts w:eastAsia="Times New Roman"/>
          <w:sz w:val="22"/>
          <w:szCs w:val="22"/>
        </w:rPr>
        <w:t xml:space="preserve"> diterima dan H</w:t>
      </w:r>
      <w:r>
        <w:rPr>
          <w:rFonts w:eastAsia="Times New Roman"/>
          <w:sz w:val="22"/>
          <w:szCs w:val="22"/>
          <w:vertAlign w:val="subscript"/>
        </w:rPr>
        <w:t>2</w:t>
      </w:r>
      <w:r>
        <w:rPr>
          <w:rFonts w:eastAsia="Times New Roman"/>
          <w:sz w:val="22"/>
          <w:szCs w:val="22"/>
        </w:rPr>
        <w:t xml:space="preserve"> ditolak. Maka dapat disimpulkan bahwa </w:t>
      </w:r>
      <w:r>
        <w:rPr>
          <w:rFonts w:eastAsia="Times New Roman"/>
          <w:i/>
          <w:sz w:val="22"/>
          <w:szCs w:val="22"/>
        </w:rPr>
        <w:t>Financial Distress</w:t>
      </w:r>
      <w:r>
        <w:rPr>
          <w:rFonts w:eastAsia="Times New Roman"/>
          <w:sz w:val="22"/>
          <w:szCs w:val="22"/>
        </w:rPr>
        <w:t xml:space="preserve"> secara parsial tidak terdapat pengaruh signifikan terhadap </w:t>
      </w:r>
      <w:r>
        <w:rPr>
          <w:rFonts w:eastAsia="Times New Roman"/>
          <w:i/>
          <w:sz w:val="22"/>
          <w:szCs w:val="22"/>
        </w:rPr>
        <w:t>Tax Avoidance</w:t>
      </w:r>
      <w:r>
        <w:rPr>
          <w:sz w:val="22"/>
          <w:szCs w:val="22"/>
        </w:rPr>
        <w:t>.</w:t>
      </w:r>
    </w:p>
    <w:p w14:paraId="1199BE44">
      <w:pPr>
        <w:pStyle w:val="17"/>
        <w:keepNext w:val="0"/>
        <w:keepLines w:val="0"/>
        <w:pageBreakBefore w:val="0"/>
        <w:widowControl w:val="0"/>
        <w:kinsoku/>
        <w:wordWrap/>
        <w:overflowPunct/>
        <w:topLinePunct w:val="0"/>
        <w:autoSpaceDE/>
        <w:autoSpaceDN/>
        <w:bidi w:val="0"/>
        <w:adjustRightInd/>
        <w:snapToGrid/>
        <w:spacing w:line="276" w:lineRule="auto"/>
        <w:ind w:firstLine="250" w:firstLineChars="114"/>
        <w:textAlignment w:val="auto"/>
        <w:rPr>
          <w:sz w:val="22"/>
          <w:szCs w:val="22"/>
        </w:rPr>
      </w:pPr>
      <w:r>
        <w:rPr>
          <w:sz w:val="22"/>
          <w:szCs w:val="22"/>
        </w:rPr>
        <w:t xml:space="preserve">Hubungan </w:t>
      </w:r>
      <w:r>
        <w:rPr>
          <w:i/>
          <w:sz w:val="22"/>
          <w:szCs w:val="22"/>
        </w:rPr>
        <w:t>financial distress</w:t>
      </w:r>
      <w:r>
        <w:rPr>
          <w:sz w:val="22"/>
          <w:szCs w:val="22"/>
        </w:rPr>
        <w:t xml:space="preserve"> dengan </w:t>
      </w:r>
      <w:r>
        <w:rPr>
          <w:i/>
          <w:sz w:val="22"/>
          <w:szCs w:val="22"/>
        </w:rPr>
        <w:t>tax avoidance</w:t>
      </w:r>
      <w:r>
        <w:rPr>
          <w:sz w:val="22"/>
          <w:szCs w:val="22"/>
        </w:rPr>
        <w:t xml:space="preserve"> yaitu Perusahaan yang mengalami </w:t>
      </w:r>
      <w:r>
        <w:rPr>
          <w:i/>
          <w:sz w:val="22"/>
          <w:szCs w:val="22"/>
        </w:rPr>
        <w:t>financial distress</w:t>
      </w:r>
      <w:r>
        <w:rPr>
          <w:sz w:val="22"/>
          <w:szCs w:val="22"/>
        </w:rPr>
        <w:t xml:space="preserve"> akan mengambil risiko lebih agresif dalam penghindaran pajak untuk mempertahankan perusahaan. Kondisi kritis tunai dan pajak perusahaan membebani hal utama dalam arus kas keluar, maka perusahaan akan mengesampingkan kemungkinan negatif reputasi yang diperoleh karena secara agresif melakukan penghindaran pajak ( Yanti &amp; Yasa, 2022 ).</w:t>
      </w:r>
    </w:p>
    <w:p w14:paraId="02F7C92B">
      <w:pPr>
        <w:pStyle w:val="17"/>
        <w:keepNext w:val="0"/>
        <w:keepLines w:val="0"/>
        <w:pageBreakBefore w:val="0"/>
        <w:widowControl w:val="0"/>
        <w:kinsoku/>
        <w:wordWrap/>
        <w:overflowPunct/>
        <w:topLinePunct w:val="0"/>
        <w:autoSpaceDE/>
        <w:autoSpaceDN/>
        <w:bidi w:val="0"/>
        <w:adjustRightInd/>
        <w:snapToGrid/>
        <w:spacing w:line="276" w:lineRule="auto"/>
        <w:ind w:firstLine="250" w:firstLineChars="114"/>
        <w:textAlignment w:val="auto"/>
        <w:rPr>
          <w:sz w:val="22"/>
          <w:szCs w:val="22"/>
        </w:rPr>
      </w:pPr>
      <w:r>
        <w:rPr>
          <w:sz w:val="22"/>
          <w:szCs w:val="22"/>
        </w:rPr>
        <w:t xml:space="preserve">Lestari dan Putri ( 2017 ) menyatakan bahwa </w:t>
      </w:r>
      <w:r>
        <w:rPr>
          <w:i/>
          <w:sz w:val="22"/>
          <w:szCs w:val="22"/>
        </w:rPr>
        <w:t>tax avoidance</w:t>
      </w:r>
      <w:r>
        <w:rPr>
          <w:sz w:val="22"/>
          <w:szCs w:val="22"/>
        </w:rPr>
        <w:t xml:space="preserve"> merupakan usaha wajib pajak untuk mencari tahu cara yang berbeda untuk mengurangi atau menghilangkan kewajiban pajak tanpa melanggar hukum, sehingga beban pajak yang seharusnya dibayarkan oleh perusahaan dapat dikurangi atau bahkan dihilangkan melalui tindakan </w:t>
      </w:r>
      <w:r>
        <w:rPr>
          <w:i/>
          <w:sz w:val="22"/>
          <w:szCs w:val="22"/>
        </w:rPr>
        <w:t>tax avoidance</w:t>
      </w:r>
      <w:r>
        <w:rPr>
          <w:sz w:val="22"/>
          <w:szCs w:val="22"/>
        </w:rPr>
        <w:t xml:space="preserve">. Berkurangnya beban pajak membuat perusahaan akan memiliki ketersediaan dana yang lebih untuk membayar kewajibannya kepada pihak- pihak terkait seperti kreditor dan investor, sehingga perusahaan akan tetap nendapatkan pengakuan walaupun sedang mengalami </w:t>
      </w:r>
      <w:r>
        <w:rPr>
          <w:i/>
          <w:sz w:val="22"/>
          <w:szCs w:val="22"/>
        </w:rPr>
        <w:t>financial distress</w:t>
      </w:r>
      <w:r>
        <w:rPr>
          <w:sz w:val="22"/>
          <w:szCs w:val="22"/>
        </w:rPr>
        <w:t xml:space="preserve">. Sesuai dengan hasil penelitian Swandewi dan Noviari ( 2020 ) yang menyatakan bahwa intensifikasi </w:t>
      </w:r>
      <w:r>
        <w:rPr>
          <w:i/>
          <w:sz w:val="22"/>
          <w:szCs w:val="22"/>
        </w:rPr>
        <w:t>financial distress</w:t>
      </w:r>
      <w:r>
        <w:rPr>
          <w:sz w:val="22"/>
          <w:szCs w:val="22"/>
        </w:rPr>
        <w:t xml:space="preserve"> di dalam suatu perusahaan akan menggiring perusahaan untuk melakukan </w:t>
      </w:r>
      <w:r>
        <w:rPr>
          <w:i/>
          <w:sz w:val="22"/>
          <w:szCs w:val="22"/>
        </w:rPr>
        <w:t>tax avoidance</w:t>
      </w:r>
      <w:r>
        <w:rPr>
          <w:sz w:val="22"/>
          <w:szCs w:val="22"/>
        </w:rPr>
        <w:t xml:space="preserve">. Penelitian yang dilakukan Tya Tira Febbyana Ari dan Eko Sudjawoto ( 2021 ) juga menunjukkan hasil bahwa </w:t>
      </w:r>
      <w:r>
        <w:rPr>
          <w:i/>
          <w:sz w:val="22"/>
          <w:szCs w:val="22"/>
        </w:rPr>
        <w:t xml:space="preserve">financial distress </w:t>
      </w:r>
      <w:r>
        <w:rPr>
          <w:sz w:val="22"/>
          <w:szCs w:val="22"/>
        </w:rPr>
        <w:t>tidak berpengaruh terhadap</w:t>
      </w:r>
      <w:r>
        <w:rPr>
          <w:i/>
          <w:sz w:val="22"/>
          <w:szCs w:val="22"/>
        </w:rPr>
        <w:t xml:space="preserve"> tax avoidance.</w:t>
      </w:r>
    </w:p>
    <w:p w14:paraId="731594C8">
      <w:pPr>
        <w:pStyle w:val="13"/>
        <w:keepNext w:val="0"/>
        <w:keepLines w:val="0"/>
        <w:pageBreakBefore w:val="0"/>
        <w:widowControl w:val="0"/>
        <w:numPr>
          <w:numId w:val="0"/>
        </w:numPr>
        <w:kinsoku/>
        <w:wordWrap/>
        <w:overflowPunct/>
        <w:topLinePunct w:val="0"/>
        <w:autoSpaceDE/>
        <w:autoSpaceDN/>
        <w:bidi w:val="0"/>
        <w:adjustRightInd/>
        <w:snapToGrid/>
        <w:spacing w:line="276" w:lineRule="auto"/>
        <w:ind w:leftChars="0" w:firstLine="251" w:firstLineChars="114"/>
        <w:textAlignment w:val="auto"/>
        <w:rPr>
          <w:sz w:val="22"/>
          <w:szCs w:val="22"/>
        </w:rPr>
      </w:pPr>
      <w:bookmarkStart w:id="2" w:name="_Toc173478354"/>
    </w:p>
    <w:p w14:paraId="0A070B86">
      <w:pPr>
        <w:pStyle w:val="13"/>
        <w:keepNext w:val="0"/>
        <w:keepLines w:val="0"/>
        <w:pageBreakBefore w:val="0"/>
        <w:widowControl w:val="0"/>
        <w:numPr>
          <w:numId w:val="0"/>
        </w:numPr>
        <w:kinsoku/>
        <w:wordWrap/>
        <w:overflowPunct/>
        <w:topLinePunct w:val="0"/>
        <w:autoSpaceDE/>
        <w:autoSpaceDN/>
        <w:bidi w:val="0"/>
        <w:adjustRightInd/>
        <w:snapToGrid/>
        <w:spacing w:line="276" w:lineRule="auto"/>
        <w:textAlignment w:val="auto"/>
        <w:rPr>
          <w:sz w:val="22"/>
          <w:szCs w:val="22"/>
        </w:rPr>
      </w:pPr>
      <w:r>
        <w:rPr>
          <w:sz w:val="22"/>
          <w:szCs w:val="22"/>
        </w:rPr>
        <w:t xml:space="preserve">Pengaruh  Kepemilikan Manajerial terhadap </w:t>
      </w:r>
      <w:r>
        <w:rPr>
          <w:i/>
          <w:sz w:val="22"/>
          <w:szCs w:val="22"/>
        </w:rPr>
        <w:t>Tax Avoidance</w:t>
      </w:r>
      <w:bookmarkEnd w:id="2"/>
    </w:p>
    <w:p w14:paraId="65AF32A7">
      <w:pPr>
        <w:pStyle w:val="17"/>
        <w:keepNext w:val="0"/>
        <w:keepLines w:val="0"/>
        <w:pageBreakBefore w:val="0"/>
        <w:widowControl w:val="0"/>
        <w:kinsoku/>
        <w:wordWrap/>
        <w:overflowPunct/>
        <w:topLinePunct w:val="0"/>
        <w:autoSpaceDE/>
        <w:autoSpaceDN/>
        <w:bidi w:val="0"/>
        <w:adjustRightInd/>
        <w:snapToGrid/>
        <w:spacing w:line="276" w:lineRule="auto"/>
        <w:ind w:firstLine="250" w:firstLineChars="114"/>
        <w:textAlignment w:val="auto"/>
        <w:rPr>
          <w:sz w:val="22"/>
          <w:szCs w:val="22"/>
        </w:rPr>
      </w:pPr>
      <w:r>
        <w:rPr>
          <w:rFonts w:eastAsia="Times New Roman"/>
          <w:sz w:val="22"/>
          <w:szCs w:val="22"/>
        </w:rPr>
        <w:t xml:space="preserve">Hasil uji hipotesis ketiga diperoleh nilai </w:t>
      </w:r>
      <w:r>
        <w:rPr>
          <w:rFonts w:eastAsia="Times New Roman"/>
          <w:i/>
          <w:sz w:val="22"/>
          <w:szCs w:val="22"/>
        </w:rPr>
        <w:t>t</w:t>
      </w:r>
      <w:r>
        <w:rPr>
          <w:rFonts w:eastAsia="Times New Roman"/>
          <w:i/>
          <w:sz w:val="22"/>
          <w:szCs w:val="22"/>
          <w:vertAlign w:val="subscript"/>
        </w:rPr>
        <w:t xml:space="preserve">hitung </w:t>
      </w:r>
      <w:r>
        <w:rPr>
          <w:rFonts w:eastAsia="Times New Roman"/>
          <w:sz w:val="22"/>
          <w:szCs w:val="22"/>
        </w:rPr>
        <w:t xml:space="preserve">&lt; </w:t>
      </w:r>
      <w:r>
        <w:rPr>
          <w:rFonts w:eastAsia="Times New Roman"/>
          <w:i/>
          <w:sz w:val="22"/>
          <w:szCs w:val="22"/>
        </w:rPr>
        <w:t>t</w:t>
      </w:r>
      <w:r>
        <w:rPr>
          <w:rFonts w:eastAsia="Times New Roman"/>
          <w:i/>
          <w:sz w:val="22"/>
          <w:szCs w:val="22"/>
          <w:vertAlign w:val="subscript"/>
        </w:rPr>
        <w:t>tabel</w:t>
      </w:r>
      <w:r>
        <w:rPr>
          <w:rFonts w:eastAsia="Times New Roman"/>
          <w:sz w:val="22"/>
          <w:szCs w:val="22"/>
        </w:rPr>
        <w:t xml:space="preserve"> atau </w:t>
      </w:r>
      <w:r>
        <w:rPr>
          <w:color w:val="000000"/>
          <w:sz w:val="22"/>
          <w:szCs w:val="22"/>
          <w:lang w:val="zh-CN"/>
        </w:rPr>
        <w:t xml:space="preserve">1.874588 </w:t>
      </w:r>
      <w:r>
        <w:rPr>
          <w:rFonts w:eastAsia="Times New Roman"/>
          <w:sz w:val="22"/>
          <w:szCs w:val="22"/>
        </w:rPr>
        <w:t xml:space="preserve">&lt; 2,00172. Hal tersebut juga diperkuat dengan nilai </w:t>
      </w:r>
      <w:r>
        <w:rPr>
          <w:rFonts w:eastAsia="Times New Roman"/>
          <w:i/>
          <w:sz w:val="22"/>
          <w:szCs w:val="22"/>
        </w:rPr>
        <w:t>Sig</w:t>
      </w:r>
      <w:r>
        <w:rPr>
          <w:rFonts w:eastAsia="Times New Roman"/>
          <w:sz w:val="22"/>
          <w:szCs w:val="22"/>
        </w:rPr>
        <w:t>. &gt; 0,05 atau (</w:t>
      </w:r>
      <w:r>
        <w:rPr>
          <w:color w:val="000000"/>
          <w:sz w:val="22"/>
          <w:szCs w:val="22"/>
          <w:lang w:val="zh-CN"/>
        </w:rPr>
        <w:t xml:space="preserve">0,0661 </w:t>
      </w:r>
      <w:r>
        <w:rPr>
          <w:rFonts w:eastAsia="Times New Roman"/>
          <w:sz w:val="22"/>
          <w:szCs w:val="22"/>
        </w:rPr>
        <w:t>&gt; 0,05). Dengan demikian maka H</w:t>
      </w:r>
      <w:r>
        <w:rPr>
          <w:rFonts w:eastAsia="Times New Roman"/>
          <w:sz w:val="22"/>
          <w:szCs w:val="22"/>
          <w:vertAlign w:val="subscript"/>
        </w:rPr>
        <w:t>0</w:t>
      </w:r>
      <w:r>
        <w:rPr>
          <w:rFonts w:eastAsia="Times New Roman"/>
          <w:sz w:val="22"/>
          <w:szCs w:val="22"/>
        </w:rPr>
        <w:t xml:space="preserve"> diterima dan H</w:t>
      </w:r>
      <w:r>
        <w:rPr>
          <w:rFonts w:eastAsia="Times New Roman"/>
          <w:sz w:val="22"/>
          <w:szCs w:val="22"/>
          <w:vertAlign w:val="subscript"/>
        </w:rPr>
        <w:t>3</w:t>
      </w:r>
      <w:r>
        <w:rPr>
          <w:rFonts w:eastAsia="Times New Roman"/>
          <w:sz w:val="22"/>
          <w:szCs w:val="22"/>
        </w:rPr>
        <w:t xml:space="preserve"> ditolak. Maka dapat disimpulkan bahwa Kepemilikan Manajerial secara parsial tidak terdapat pengaruh signifikan terhadap </w:t>
      </w:r>
      <w:r>
        <w:rPr>
          <w:rFonts w:eastAsia="Times New Roman"/>
          <w:i/>
          <w:sz w:val="22"/>
          <w:szCs w:val="22"/>
        </w:rPr>
        <w:t>Tax Avoidance</w:t>
      </w:r>
      <w:r>
        <w:rPr>
          <w:sz w:val="22"/>
          <w:szCs w:val="22"/>
        </w:rPr>
        <w:t>.</w:t>
      </w:r>
    </w:p>
    <w:p w14:paraId="77EBCDF5">
      <w:pPr>
        <w:pStyle w:val="17"/>
        <w:keepNext w:val="0"/>
        <w:keepLines w:val="0"/>
        <w:pageBreakBefore w:val="0"/>
        <w:widowControl w:val="0"/>
        <w:kinsoku/>
        <w:wordWrap/>
        <w:overflowPunct/>
        <w:topLinePunct w:val="0"/>
        <w:autoSpaceDE/>
        <w:autoSpaceDN/>
        <w:bidi w:val="0"/>
        <w:adjustRightInd/>
        <w:snapToGrid/>
        <w:spacing w:line="276" w:lineRule="auto"/>
        <w:ind w:firstLine="250" w:firstLineChars="114"/>
        <w:textAlignment w:val="auto"/>
        <w:rPr>
          <w:sz w:val="22"/>
          <w:szCs w:val="22"/>
        </w:rPr>
      </w:pPr>
      <w:r>
        <w:rPr>
          <w:sz w:val="22"/>
          <w:szCs w:val="22"/>
        </w:rPr>
        <w:t>Penelitian ( Widyastuti, 2018 ) Mengungkapkan bahwa Kepemilikan manajerial merupakan proporsi saham biasa yang dimiliki oleh manajemen yang diukur dari presentasi saham biasa yang dimiliki oleh manajemen yang secara aktif terlibat dalam pengambilan keputusan suatu perusahaan. dan ( Widyastuti, 2018 ) menegaskan bahwa struktur kepemilikan saham manajerial diukur sebagai presentasi saham biasa dan opsi saham yang dimiliki oleh direktur dan karyawan. Semakin besar kepemilikan saham manajerial pada perusahaan, maka manajemen cenderung lebih giat untuk kepentingan pemegang saham karena apabila terjadi keputusan yang salah, manajemen juga akan menanggung konsekuensinya.</w:t>
      </w:r>
    </w:p>
    <w:p w14:paraId="6ED22EA5">
      <w:pPr>
        <w:pStyle w:val="17"/>
        <w:keepNext w:val="0"/>
        <w:keepLines w:val="0"/>
        <w:pageBreakBefore w:val="0"/>
        <w:widowControl w:val="0"/>
        <w:kinsoku/>
        <w:wordWrap/>
        <w:overflowPunct/>
        <w:topLinePunct w:val="0"/>
        <w:autoSpaceDE/>
        <w:autoSpaceDN/>
        <w:bidi w:val="0"/>
        <w:adjustRightInd/>
        <w:snapToGrid/>
        <w:spacing w:line="276" w:lineRule="auto"/>
        <w:ind w:firstLine="250" w:firstLineChars="114"/>
        <w:textAlignment w:val="auto"/>
        <w:rPr>
          <w:sz w:val="22"/>
          <w:szCs w:val="22"/>
        </w:rPr>
      </w:pPr>
      <w:r>
        <w:rPr>
          <w:sz w:val="22"/>
          <w:szCs w:val="22"/>
        </w:rPr>
        <w:t>Martha &amp; Jati ( 2021 ) menjelaskan bahwa manajemen biasanya ingin menerima kompensasi yang lebih hanyak dengan cara tidak mengungkapkan laporan keuangan yang sesungguhnya. Hal ini dikarenakan laporan keuangan adalah barometer kesuksesan manajemen. Hubungan keagenan sering menciptakan masalah antar agen dan principal, sebab terdapat pola pikir dan kepentingan yang berbeda. Prosedur yang sesuai dalam mencegah permasalahan keagenan yakni dengan adanya kepemilikan manajerial.</w:t>
      </w:r>
    </w:p>
    <w:p w14:paraId="08C4813C">
      <w:pPr>
        <w:pStyle w:val="17"/>
        <w:keepNext w:val="0"/>
        <w:keepLines w:val="0"/>
        <w:pageBreakBefore w:val="0"/>
        <w:widowControl w:val="0"/>
        <w:kinsoku/>
        <w:wordWrap/>
        <w:overflowPunct/>
        <w:topLinePunct w:val="0"/>
        <w:autoSpaceDE/>
        <w:autoSpaceDN/>
        <w:bidi w:val="0"/>
        <w:adjustRightInd/>
        <w:snapToGrid/>
        <w:spacing w:line="276" w:lineRule="auto"/>
        <w:ind w:firstLine="250" w:firstLineChars="114"/>
        <w:textAlignment w:val="auto"/>
        <w:rPr>
          <w:sz w:val="22"/>
          <w:szCs w:val="22"/>
        </w:rPr>
      </w:pPr>
      <w:r>
        <w:rPr>
          <w:sz w:val="22"/>
          <w:szCs w:val="22"/>
        </w:rPr>
        <w:t xml:space="preserve">Pernyataan tersebut didukung oleh penelitian Wirmie Eka Putra ( 2022 ) yang menunjukan bahwa Kepemilikan Manajerial tidak berpengaruh signifikan terhadap </w:t>
      </w:r>
      <w:r>
        <w:rPr>
          <w:i/>
          <w:sz w:val="22"/>
          <w:szCs w:val="22"/>
        </w:rPr>
        <w:t>tax avoidance</w:t>
      </w:r>
      <w:r>
        <w:rPr>
          <w:sz w:val="22"/>
          <w:szCs w:val="22"/>
        </w:rPr>
        <w:t>. Perusahaan menginginkan memperoleh laba yang tinggi, namun dengan tingginya laba maka beban pajak juga akan ikut membesar. Beban pajak yang besar menyebabkan perusahaan akan berusaha untuk melakukan penghindaran pajak dengan risiko yang kecil. Selain itu, manager juga harus dapat mengoptimalkan laba perusahaan, yang nantinya akan dilaporkan kepada pemilik perusahaan. Dengan adanya tanggung jawab yang besar, pihak manajemen cenderung lebih berhati-hati dalam mengambil suatu keputusan karena akan berdampak langsung pada dirinya selaku pemegang saham. Sehingga dengan bertambahnya jumlah kepemilikan saham oleh manajerial dapat menurunkan kecenderungan perusahaan untuk melakukan penghindaran pajak. Penyebabnya adalah kepemilikan saham oleh manajer akan cenderung membuat manajer mempertimbangkan kelangsungan perusahaannya sehingga manajer tidak akan menghendaki usahanya diperiksa terkait permasalahan perpajakan.</w:t>
      </w:r>
    </w:p>
    <w:p w14:paraId="7D7EDEC4">
      <w:pPr>
        <w:pStyle w:val="13"/>
        <w:keepNext w:val="0"/>
        <w:keepLines w:val="0"/>
        <w:pageBreakBefore w:val="0"/>
        <w:widowControl w:val="0"/>
        <w:numPr>
          <w:numId w:val="0"/>
        </w:numPr>
        <w:kinsoku/>
        <w:wordWrap/>
        <w:overflowPunct/>
        <w:topLinePunct w:val="0"/>
        <w:autoSpaceDE/>
        <w:autoSpaceDN/>
        <w:bidi w:val="0"/>
        <w:adjustRightInd/>
        <w:snapToGrid/>
        <w:spacing w:line="276" w:lineRule="auto"/>
        <w:ind w:leftChars="0" w:firstLine="251" w:firstLineChars="114"/>
        <w:textAlignment w:val="auto"/>
        <w:rPr>
          <w:sz w:val="22"/>
          <w:szCs w:val="22"/>
        </w:rPr>
      </w:pPr>
      <w:bookmarkStart w:id="3" w:name="_Toc173478355"/>
    </w:p>
    <w:p w14:paraId="6A7282CA">
      <w:pPr>
        <w:pStyle w:val="13"/>
        <w:keepNext w:val="0"/>
        <w:keepLines w:val="0"/>
        <w:pageBreakBefore w:val="0"/>
        <w:widowControl w:val="0"/>
        <w:numPr>
          <w:numId w:val="0"/>
        </w:numPr>
        <w:kinsoku/>
        <w:wordWrap/>
        <w:overflowPunct/>
        <w:topLinePunct w:val="0"/>
        <w:autoSpaceDE/>
        <w:autoSpaceDN/>
        <w:bidi w:val="0"/>
        <w:adjustRightInd/>
        <w:snapToGrid/>
        <w:spacing w:line="276" w:lineRule="auto"/>
        <w:textAlignment w:val="auto"/>
        <w:rPr>
          <w:sz w:val="22"/>
          <w:szCs w:val="22"/>
        </w:rPr>
      </w:pPr>
      <w:r>
        <w:rPr>
          <w:sz w:val="22"/>
          <w:szCs w:val="22"/>
        </w:rPr>
        <w:t xml:space="preserve">Pengaruh Konservatisme Akuntansi terhadap </w:t>
      </w:r>
      <w:r>
        <w:rPr>
          <w:i/>
          <w:sz w:val="22"/>
          <w:szCs w:val="22"/>
        </w:rPr>
        <w:t>Tax Avoidance</w:t>
      </w:r>
      <w:bookmarkEnd w:id="3"/>
    </w:p>
    <w:p w14:paraId="67487E91">
      <w:pPr>
        <w:pStyle w:val="17"/>
        <w:keepNext w:val="0"/>
        <w:keepLines w:val="0"/>
        <w:pageBreakBefore w:val="0"/>
        <w:widowControl w:val="0"/>
        <w:kinsoku/>
        <w:wordWrap/>
        <w:overflowPunct/>
        <w:topLinePunct w:val="0"/>
        <w:autoSpaceDE/>
        <w:autoSpaceDN/>
        <w:bidi w:val="0"/>
        <w:adjustRightInd/>
        <w:snapToGrid/>
        <w:spacing w:line="276" w:lineRule="auto"/>
        <w:ind w:firstLine="250" w:firstLineChars="114"/>
        <w:textAlignment w:val="auto"/>
        <w:rPr>
          <w:sz w:val="22"/>
          <w:szCs w:val="22"/>
        </w:rPr>
      </w:pPr>
      <w:r>
        <w:rPr>
          <w:rFonts w:eastAsia="Times New Roman"/>
          <w:sz w:val="22"/>
          <w:szCs w:val="22"/>
        </w:rPr>
        <w:t xml:space="preserve">Hasil uji hipotesis keempat diperoleh nilai </w:t>
      </w:r>
      <w:r>
        <w:rPr>
          <w:rFonts w:eastAsia="Times New Roman"/>
          <w:i/>
          <w:sz w:val="22"/>
          <w:szCs w:val="22"/>
        </w:rPr>
        <w:t>t</w:t>
      </w:r>
      <w:r>
        <w:rPr>
          <w:rFonts w:eastAsia="Times New Roman"/>
          <w:i/>
          <w:sz w:val="22"/>
          <w:szCs w:val="22"/>
          <w:vertAlign w:val="subscript"/>
        </w:rPr>
        <w:t xml:space="preserve">hitung </w:t>
      </w:r>
      <w:r>
        <w:rPr>
          <w:rFonts w:eastAsia="Times New Roman"/>
          <w:sz w:val="22"/>
          <w:szCs w:val="22"/>
        </w:rPr>
        <w:t xml:space="preserve">&gt; </w:t>
      </w:r>
      <w:r>
        <w:rPr>
          <w:rFonts w:eastAsia="Times New Roman"/>
          <w:i/>
          <w:sz w:val="22"/>
          <w:szCs w:val="22"/>
        </w:rPr>
        <w:t>t</w:t>
      </w:r>
      <w:r>
        <w:rPr>
          <w:rFonts w:eastAsia="Times New Roman"/>
          <w:i/>
          <w:sz w:val="22"/>
          <w:szCs w:val="22"/>
          <w:vertAlign w:val="subscript"/>
        </w:rPr>
        <w:t>tabel</w:t>
      </w:r>
      <w:r>
        <w:rPr>
          <w:rFonts w:eastAsia="Times New Roman"/>
          <w:sz w:val="22"/>
          <w:szCs w:val="22"/>
        </w:rPr>
        <w:t xml:space="preserve"> atau </w:t>
      </w:r>
      <w:r>
        <w:rPr>
          <w:color w:val="000000"/>
          <w:sz w:val="22"/>
          <w:szCs w:val="22"/>
          <w:lang w:val="zh-CN"/>
        </w:rPr>
        <w:t xml:space="preserve">2.719290 </w:t>
      </w:r>
      <w:r>
        <w:rPr>
          <w:rFonts w:eastAsia="Times New Roman"/>
          <w:sz w:val="22"/>
          <w:szCs w:val="22"/>
        </w:rPr>
        <w:t xml:space="preserve">&gt; 2,00172. Hal tersebut juga diperkuat dengan nilai </w:t>
      </w:r>
      <w:r>
        <w:rPr>
          <w:rFonts w:eastAsia="Times New Roman"/>
          <w:i/>
          <w:sz w:val="22"/>
          <w:szCs w:val="22"/>
        </w:rPr>
        <w:t>Sig</w:t>
      </w:r>
      <w:r>
        <w:rPr>
          <w:rFonts w:eastAsia="Times New Roman"/>
          <w:sz w:val="22"/>
          <w:szCs w:val="22"/>
        </w:rPr>
        <w:t xml:space="preserve">. &lt; 0,05 atau </w:t>
      </w:r>
      <w:r>
        <w:rPr>
          <w:color w:val="000000"/>
          <w:sz w:val="22"/>
          <w:szCs w:val="22"/>
          <w:lang w:val="zh-CN"/>
        </w:rPr>
        <w:t xml:space="preserve">0.0087 </w:t>
      </w:r>
      <w:r>
        <w:rPr>
          <w:rFonts w:eastAsia="Times New Roman"/>
          <w:sz w:val="22"/>
          <w:szCs w:val="22"/>
        </w:rPr>
        <w:t>&lt; 0,05. Dengan demikian maka H</w:t>
      </w:r>
      <w:r>
        <w:rPr>
          <w:rFonts w:eastAsia="Times New Roman"/>
          <w:sz w:val="22"/>
          <w:szCs w:val="22"/>
          <w:vertAlign w:val="subscript"/>
        </w:rPr>
        <w:t>0</w:t>
      </w:r>
      <w:r>
        <w:rPr>
          <w:rFonts w:eastAsia="Times New Roman"/>
          <w:sz w:val="22"/>
          <w:szCs w:val="22"/>
        </w:rPr>
        <w:t xml:space="preserve"> ditolak dan H</w:t>
      </w:r>
      <w:r>
        <w:rPr>
          <w:rFonts w:eastAsia="Times New Roman"/>
          <w:sz w:val="22"/>
          <w:szCs w:val="22"/>
          <w:vertAlign w:val="subscript"/>
        </w:rPr>
        <w:t xml:space="preserve">4 </w:t>
      </w:r>
      <w:r>
        <w:rPr>
          <w:rFonts w:eastAsia="Times New Roman"/>
          <w:sz w:val="22"/>
          <w:szCs w:val="22"/>
        </w:rPr>
        <w:t xml:space="preserve">diterima. Maka dapat disimpulkan bahwa Konservatisme Akuntansi secara parsial berpengaruh dengan araf negatif signifikan terhadap </w:t>
      </w:r>
      <w:r>
        <w:rPr>
          <w:rFonts w:eastAsia="Times New Roman"/>
          <w:i/>
          <w:sz w:val="22"/>
          <w:szCs w:val="22"/>
        </w:rPr>
        <w:t>Tax Avoidance</w:t>
      </w:r>
      <w:r>
        <w:rPr>
          <w:sz w:val="22"/>
          <w:szCs w:val="22"/>
        </w:rPr>
        <w:t>.</w:t>
      </w:r>
    </w:p>
    <w:p w14:paraId="2FEEF4E9">
      <w:pPr>
        <w:pStyle w:val="17"/>
        <w:keepNext w:val="0"/>
        <w:keepLines w:val="0"/>
        <w:pageBreakBefore w:val="0"/>
        <w:widowControl w:val="0"/>
        <w:kinsoku/>
        <w:wordWrap/>
        <w:overflowPunct/>
        <w:topLinePunct w:val="0"/>
        <w:autoSpaceDE/>
        <w:autoSpaceDN/>
        <w:bidi w:val="0"/>
        <w:adjustRightInd/>
        <w:snapToGrid/>
        <w:spacing w:line="276" w:lineRule="auto"/>
        <w:ind w:firstLine="250" w:firstLineChars="114"/>
        <w:textAlignment w:val="auto"/>
        <w:rPr>
          <w:sz w:val="22"/>
          <w:szCs w:val="22"/>
        </w:rPr>
      </w:pPr>
      <w:r>
        <w:rPr>
          <w:sz w:val="22"/>
          <w:szCs w:val="22"/>
        </w:rPr>
        <w:t xml:space="preserve">Menurut FASB </w:t>
      </w:r>
      <w:r>
        <w:rPr>
          <w:i/>
          <w:sz w:val="22"/>
          <w:szCs w:val="22"/>
        </w:rPr>
        <w:t>Statement of Concept</w:t>
      </w:r>
      <w:r>
        <w:rPr>
          <w:sz w:val="22"/>
          <w:szCs w:val="22"/>
        </w:rPr>
        <w:t xml:space="preserve"> No.2, konservatisme adalah reaksi hati-hati untuk menghadapi ketidakpastian dan risiko terhadap situasi bisnis telah dipertimbangkan di masa yang akan datang. Konservatisme akuntansi merupakan prinsip kehati-hatian ketika pengakuan laba dan beban dalam pelaporan keuangan masih akan menunda pengakuan kerugian atau utang. Dalam teori keagenan, manajemen perusahaan sebagai agen akan memanfaatkan pemilihan metode yang menguntungkan bagi perusahaan. Penggunaan metode yang konservatif pada perusahaan akan menimbulkan pengakuan beban di awal dan pendapatan yang tidak segera diakui sehingga dapat mengurangi beban pajak yang akan ditanggung oleh perusahaan. Sehingga semakin konservatif suatu laporan keuangan maka semakin kecil laba yang diperoleh perusahaan, maka perusahaan dapat memiliki kecenderungan untuk melakukan tindakan </w:t>
      </w:r>
      <w:r>
        <w:rPr>
          <w:i/>
          <w:sz w:val="22"/>
          <w:szCs w:val="22"/>
        </w:rPr>
        <w:t>tax avoidance</w:t>
      </w:r>
      <w:r>
        <w:rPr>
          <w:sz w:val="22"/>
          <w:szCs w:val="22"/>
        </w:rPr>
        <w:t xml:space="preserve">.Hal ini didukung dengan penelitian yang dilakukan oleh ( Windaryani &amp; Jati, 2020 ) yang menyatakan bahwa konservatisme akuntansi berpengaruh terhadap </w:t>
      </w:r>
      <w:r>
        <w:rPr>
          <w:i/>
          <w:sz w:val="22"/>
          <w:szCs w:val="22"/>
        </w:rPr>
        <w:t>tax avoidance</w:t>
      </w:r>
      <w:r>
        <w:rPr>
          <w:sz w:val="22"/>
          <w:szCs w:val="22"/>
        </w:rPr>
        <w:t>.</w:t>
      </w:r>
    </w:p>
    <w:p w14:paraId="7D2A18FD">
      <w:pPr>
        <w:pStyle w:val="17"/>
        <w:keepNext w:val="0"/>
        <w:keepLines w:val="0"/>
        <w:pageBreakBefore w:val="0"/>
        <w:widowControl w:val="0"/>
        <w:kinsoku/>
        <w:wordWrap/>
        <w:overflowPunct/>
        <w:topLinePunct w:val="0"/>
        <w:autoSpaceDE/>
        <w:autoSpaceDN/>
        <w:bidi w:val="0"/>
        <w:adjustRightInd/>
        <w:snapToGrid/>
        <w:spacing w:line="276" w:lineRule="auto"/>
        <w:ind w:firstLine="250" w:firstLineChars="114"/>
        <w:textAlignment w:val="auto"/>
        <w:rPr>
          <w:sz w:val="22"/>
          <w:szCs w:val="22"/>
        </w:rPr>
        <w:sectPr>
          <w:pgSz w:w="11907" w:h="16840"/>
          <w:pgMar w:top="2268" w:right="1701" w:bottom="1701" w:left="2268" w:header="1134" w:footer="1134" w:gutter="0"/>
          <w:cols w:space="720" w:num="1"/>
          <w:titlePg/>
          <w:docGrid w:linePitch="360" w:charSpace="0"/>
        </w:sectPr>
      </w:pPr>
    </w:p>
    <w:p w14:paraId="690CE8A3">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jc w:val="both"/>
        <w:rPr>
          <w:rFonts w:hint="default" w:ascii="Times New Roman" w:hAnsi="Times New Roman" w:cs="Times New Roman"/>
          <w:i w:val="0"/>
          <w:iCs w:val="0"/>
          <w:color w:val="000000"/>
          <w:sz w:val="22"/>
          <w:szCs w:val="22"/>
          <w:u w:val="none"/>
          <w:bdr w:val="none" w:color="auto" w:sz="0" w:space="0"/>
          <w:shd w:val="clear" w:fill="FFFFFF"/>
          <w:vertAlign w:val="baseline"/>
          <w:lang w:val="en-US"/>
        </w:rPr>
      </w:pPr>
    </w:p>
    <w:p w14:paraId="052345A4">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jc w:val="both"/>
        <w:rPr>
          <w:rFonts w:hint="default" w:ascii="Times New Roman" w:hAnsi="Times New Roman" w:cs="Times New Roman"/>
          <w:color w:val="000000"/>
          <w:sz w:val="24"/>
          <w:szCs w:val="24"/>
        </w:rPr>
      </w:pPr>
      <w:r>
        <w:rPr>
          <w:rFonts w:hint="default" w:ascii="Times New Roman" w:hAnsi="Times New Roman" w:cs="Times New Roman"/>
          <w:b/>
          <w:bCs/>
          <w:i w:val="0"/>
          <w:iCs w:val="0"/>
          <w:color w:val="000000"/>
          <w:sz w:val="22"/>
          <w:szCs w:val="22"/>
          <w:u w:val="none"/>
          <w:bdr w:val="none" w:color="auto" w:sz="0" w:space="0"/>
          <w:shd w:val="clear" w:fill="FFFFFF"/>
          <w:vertAlign w:val="baseline"/>
        </w:rPr>
        <w:t xml:space="preserve">IV. KESIMPULAN </w:t>
      </w:r>
    </w:p>
    <w:p w14:paraId="7FFD00AE">
      <w:pPr>
        <w:keepNext w:val="0"/>
        <w:keepLines w:val="0"/>
        <w:pageBreakBefore w:val="0"/>
        <w:kinsoku/>
        <w:wordWrap/>
        <w:overflowPunct/>
        <w:topLinePunct w:val="0"/>
        <w:autoSpaceDE/>
        <w:autoSpaceDN/>
        <w:bidi w:val="0"/>
        <w:adjustRightInd/>
        <w:snapToGrid/>
        <w:spacing w:after="0" w:line="276" w:lineRule="auto"/>
        <w:contextualSpacing/>
        <w:jc w:val="both"/>
        <w:textAlignment w:val="auto"/>
        <w:rPr>
          <w:rFonts w:hint="default" w:ascii="Times New Roman" w:hAnsi="Times New Roman" w:eastAsia="Calibri" w:cs="Times New Roman"/>
          <w:sz w:val="22"/>
          <w:szCs w:val="22"/>
          <w:lang w:val="en-US"/>
        </w:rPr>
      </w:pPr>
    </w:p>
    <w:p w14:paraId="657373A0">
      <w:pPr>
        <w:keepNext w:val="0"/>
        <w:keepLines w:val="0"/>
        <w:pageBreakBefore w:val="0"/>
        <w:kinsoku/>
        <w:wordWrap/>
        <w:overflowPunct/>
        <w:topLinePunct w:val="0"/>
        <w:autoSpaceDE/>
        <w:autoSpaceDN/>
        <w:bidi w:val="0"/>
        <w:adjustRightInd/>
        <w:snapToGrid/>
        <w:spacing w:after="0" w:line="276" w:lineRule="auto"/>
        <w:ind w:firstLine="420" w:firstLineChars="0"/>
        <w:contextualSpacing/>
        <w:jc w:val="both"/>
        <w:textAlignment w:val="auto"/>
        <w:rPr>
          <w:rFonts w:hint="default" w:ascii="Times New Roman" w:hAnsi="Times New Roman" w:eastAsia="Calibri" w:cs="Times New Roman"/>
          <w:sz w:val="22"/>
          <w:szCs w:val="22"/>
          <w:lang w:val="en-US"/>
        </w:rPr>
      </w:pPr>
      <w:r>
        <w:rPr>
          <w:rFonts w:hint="default" w:ascii="Times New Roman" w:hAnsi="Times New Roman" w:eastAsia="Calibri" w:cs="Times New Roman"/>
          <w:sz w:val="22"/>
          <w:szCs w:val="22"/>
          <w:lang w:val="en-US"/>
        </w:rPr>
        <w:t>Berdasarkan hasil analisis dan pengujian hipotesis yang telah dilakukan, maka diperoleh kesimpulan sebagai berikut:</w:t>
      </w:r>
    </w:p>
    <w:p w14:paraId="0C131420">
      <w:pPr>
        <w:pStyle w:val="17"/>
        <w:keepNext w:val="0"/>
        <w:keepLines w:val="0"/>
        <w:pageBreakBefore w:val="0"/>
        <w:numPr>
          <w:ilvl w:val="0"/>
          <w:numId w:val="4"/>
        </w:numPr>
        <w:kinsoku/>
        <w:wordWrap/>
        <w:overflowPunct/>
        <w:topLinePunct w:val="0"/>
        <w:autoSpaceDE/>
        <w:autoSpaceDN/>
        <w:bidi w:val="0"/>
        <w:adjustRightInd/>
        <w:snapToGrid/>
        <w:spacing w:line="276" w:lineRule="auto"/>
        <w:ind w:left="426" w:firstLine="250" w:firstLineChars="114"/>
        <w:textAlignment w:val="auto"/>
        <w:rPr>
          <w:rFonts w:hint="default" w:ascii="Times New Roman" w:hAnsi="Times New Roman" w:cs="Times New Roman"/>
          <w:sz w:val="22"/>
          <w:szCs w:val="22"/>
        </w:rPr>
      </w:pPr>
      <w:r>
        <w:rPr>
          <w:rFonts w:hint="default" w:ascii="Times New Roman" w:hAnsi="Times New Roman" w:eastAsia="Times New Roman" w:cs="Times New Roman"/>
          <w:sz w:val="22"/>
          <w:szCs w:val="22"/>
        </w:rPr>
        <w:t xml:space="preserve">Secara simultan </w:t>
      </w:r>
      <w:r>
        <w:rPr>
          <w:rFonts w:hint="default" w:ascii="Times New Roman" w:hAnsi="Times New Roman" w:cs="Times New Roman"/>
          <w:i/>
          <w:sz w:val="22"/>
          <w:szCs w:val="22"/>
        </w:rPr>
        <w:t>Financial Distress</w:t>
      </w:r>
      <w:r>
        <w:rPr>
          <w:rFonts w:hint="default" w:ascii="Times New Roman" w:hAnsi="Times New Roman" w:cs="Times New Roman"/>
          <w:sz w:val="22"/>
          <w:szCs w:val="22"/>
        </w:rPr>
        <w:t xml:space="preserve">, Kepemilikan Manajerial dan Konservatisme Akuntansi berpengaruh signifikan terhadap </w:t>
      </w:r>
      <w:r>
        <w:rPr>
          <w:rFonts w:hint="default" w:ascii="Times New Roman" w:hAnsi="Times New Roman" w:cs="Times New Roman"/>
          <w:i/>
          <w:sz w:val="22"/>
          <w:szCs w:val="22"/>
        </w:rPr>
        <w:t>Tax Avoidance</w:t>
      </w:r>
      <w:r>
        <w:rPr>
          <w:rFonts w:hint="default" w:ascii="Times New Roman" w:hAnsi="Times New Roman" w:cs="Times New Roman"/>
          <w:sz w:val="22"/>
          <w:szCs w:val="22"/>
        </w:rPr>
        <w:t>.</w:t>
      </w:r>
    </w:p>
    <w:p w14:paraId="0B0B1581">
      <w:pPr>
        <w:pStyle w:val="17"/>
        <w:keepNext w:val="0"/>
        <w:keepLines w:val="0"/>
        <w:pageBreakBefore w:val="0"/>
        <w:numPr>
          <w:ilvl w:val="0"/>
          <w:numId w:val="4"/>
        </w:numPr>
        <w:kinsoku/>
        <w:wordWrap/>
        <w:overflowPunct/>
        <w:topLinePunct w:val="0"/>
        <w:autoSpaceDE/>
        <w:autoSpaceDN/>
        <w:bidi w:val="0"/>
        <w:adjustRightInd/>
        <w:snapToGrid/>
        <w:spacing w:line="276" w:lineRule="auto"/>
        <w:ind w:left="426" w:firstLine="250" w:firstLineChars="114"/>
        <w:textAlignment w:val="auto"/>
        <w:rPr>
          <w:rFonts w:hint="default" w:ascii="Times New Roman" w:hAnsi="Times New Roman" w:cs="Times New Roman"/>
          <w:sz w:val="22"/>
          <w:szCs w:val="22"/>
        </w:rPr>
      </w:pPr>
      <w:r>
        <w:rPr>
          <w:rFonts w:hint="default" w:ascii="Times New Roman" w:hAnsi="Times New Roman" w:eastAsia="Times New Roman" w:cs="Times New Roman"/>
          <w:i/>
          <w:sz w:val="22"/>
          <w:szCs w:val="22"/>
        </w:rPr>
        <w:t>Financial Distress</w:t>
      </w:r>
      <w:r>
        <w:rPr>
          <w:rFonts w:hint="default" w:ascii="Times New Roman" w:hAnsi="Times New Roman" w:eastAsia="Times New Roman" w:cs="Times New Roman"/>
          <w:sz w:val="22"/>
          <w:szCs w:val="22"/>
        </w:rPr>
        <w:t xml:space="preserve"> secara parsial tidak terdapat pengaruh signifikan terhadap </w:t>
      </w:r>
      <w:r>
        <w:rPr>
          <w:rFonts w:hint="default" w:ascii="Times New Roman" w:hAnsi="Times New Roman" w:eastAsia="Times New Roman" w:cs="Times New Roman"/>
          <w:i/>
          <w:sz w:val="22"/>
          <w:szCs w:val="22"/>
        </w:rPr>
        <w:t>Tax Avoidance</w:t>
      </w:r>
      <w:r>
        <w:rPr>
          <w:rFonts w:hint="default" w:ascii="Times New Roman" w:hAnsi="Times New Roman" w:cs="Times New Roman"/>
          <w:sz w:val="22"/>
          <w:szCs w:val="22"/>
        </w:rPr>
        <w:t>.</w:t>
      </w:r>
    </w:p>
    <w:p w14:paraId="42D84AC0">
      <w:pPr>
        <w:pStyle w:val="17"/>
        <w:keepNext w:val="0"/>
        <w:keepLines w:val="0"/>
        <w:pageBreakBefore w:val="0"/>
        <w:numPr>
          <w:ilvl w:val="0"/>
          <w:numId w:val="4"/>
        </w:numPr>
        <w:kinsoku/>
        <w:wordWrap/>
        <w:overflowPunct/>
        <w:topLinePunct w:val="0"/>
        <w:autoSpaceDE/>
        <w:autoSpaceDN/>
        <w:bidi w:val="0"/>
        <w:adjustRightInd/>
        <w:snapToGrid/>
        <w:spacing w:line="276" w:lineRule="auto"/>
        <w:ind w:left="426" w:firstLine="250" w:firstLineChars="114"/>
        <w:textAlignment w:val="auto"/>
        <w:rPr>
          <w:rFonts w:hint="default" w:ascii="Times New Roman" w:hAnsi="Times New Roman" w:cs="Times New Roman"/>
          <w:color w:val="000000"/>
          <w:sz w:val="22"/>
          <w:szCs w:val="22"/>
        </w:rPr>
      </w:pPr>
      <w:r>
        <w:rPr>
          <w:rFonts w:hint="default" w:ascii="Times New Roman" w:hAnsi="Times New Roman" w:eastAsia="Times New Roman" w:cs="Times New Roman"/>
          <w:sz w:val="22"/>
          <w:szCs w:val="22"/>
        </w:rPr>
        <w:t xml:space="preserve">Kepemilikan Manajerial secara parsial tidak terdapat pengaruh signifikan terhadap </w:t>
      </w:r>
      <w:r>
        <w:rPr>
          <w:rFonts w:hint="default" w:ascii="Times New Roman" w:hAnsi="Times New Roman" w:eastAsia="Times New Roman" w:cs="Times New Roman"/>
          <w:i/>
          <w:sz w:val="22"/>
          <w:szCs w:val="22"/>
        </w:rPr>
        <w:t>Tax Avoidance</w:t>
      </w:r>
      <w:r>
        <w:rPr>
          <w:rFonts w:hint="default" w:ascii="Times New Roman" w:hAnsi="Times New Roman" w:cs="Times New Roman"/>
          <w:sz w:val="22"/>
          <w:szCs w:val="22"/>
        </w:rPr>
        <w:t>.</w:t>
      </w:r>
    </w:p>
    <w:p w14:paraId="0D17EE74">
      <w:pPr>
        <w:pStyle w:val="17"/>
        <w:keepNext w:val="0"/>
        <w:keepLines w:val="0"/>
        <w:pageBreakBefore w:val="0"/>
        <w:numPr>
          <w:ilvl w:val="0"/>
          <w:numId w:val="4"/>
        </w:numPr>
        <w:kinsoku/>
        <w:wordWrap/>
        <w:overflowPunct/>
        <w:topLinePunct w:val="0"/>
        <w:autoSpaceDE/>
        <w:autoSpaceDN/>
        <w:bidi w:val="0"/>
        <w:adjustRightInd/>
        <w:snapToGrid/>
        <w:spacing w:line="276" w:lineRule="auto"/>
        <w:ind w:left="426" w:firstLine="250" w:firstLineChars="114"/>
        <w:textAlignment w:val="auto"/>
        <w:rPr>
          <w:rFonts w:hint="default" w:ascii="Times New Roman" w:hAnsi="Times New Roman" w:cs="Times New Roman"/>
          <w:color w:val="000000"/>
          <w:sz w:val="22"/>
          <w:szCs w:val="22"/>
        </w:rPr>
      </w:pPr>
      <w:r>
        <w:rPr>
          <w:rFonts w:hint="default" w:ascii="Times New Roman" w:hAnsi="Times New Roman" w:eastAsia="Times New Roman" w:cs="Times New Roman"/>
          <w:sz w:val="22"/>
          <w:szCs w:val="22"/>
        </w:rPr>
        <w:t xml:space="preserve">Konservatisme Akuntansi secara parsial berpengaruh dengan araf negatif signifikan terhadap </w:t>
      </w:r>
      <w:r>
        <w:rPr>
          <w:rFonts w:hint="default" w:ascii="Times New Roman" w:hAnsi="Times New Roman" w:eastAsia="Times New Roman" w:cs="Times New Roman"/>
          <w:i/>
          <w:sz w:val="22"/>
          <w:szCs w:val="22"/>
        </w:rPr>
        <w:t>Tax Avoidance</w:t>
      </w:r>
    </w:p>
    <w:p w14:paraId="18F860A0">
      <w:pPr>
        <w:pStyle w:val="17"/>
        <w:keepNext w:val="0"/>
        <w:keepLines w:val="0"/>
        <w:pageBreakBefore w:val="0"/>
        <w:numPr>
          <w:numId w:val="0"/>
        </w:numPr>
        <w:kinsoku/>
        <w:wordWrap/>
        <w:overflowPunct/>
        <w:topLinePunct w:val="0"/>
        <w:autoSpaceDE/>
        <w:autoSpaceDN/>
        <w:bidi w:val="0"/>
        <w:adjustRightInd/>
        <w:snapToGrid/>
        <w:spacing w:line="276" w:lineRule="auto"/>
        <w:ind w:leftChars="114"/>
        <w:textAlignment w:val="auto"/>
        <w:rPr>
          <w:rFonts w:hint="default" w:ascii="Times New Roman" w:hAnsi="Times New Roman" w:cs="Times New Roman"/>
          <w:color w:val="000000"/>
          <w:sz w:val="24"/>
          <w:szCs w:val="24"/>
        </w:rPr>
      </w:pPr>
    </w:p>
    <w:p w14:paraId="2EAC76F7">
      <w:pPr>
        <w:pStyle w:val="17"/>
        <w:keepNext w:val="0"/>
        <w:keepLines w:val="0"/>
        <w:pageBreakBefore w:val="0"/>
        <w:numPr>
          <w:numId w:val="0"/>
        </w:numPr>
        <w:kinsoku/>
        <w:wordWrap/>
        <w:overflowPunct/>
        <w:topLinePunct w:val="0"/>
        <w:autoSpaceDE/>
        <w:autoSpaceDN/>
        <w:bidi w:val="0"/>
        <w:adjustRightInd/>
        <w:snapToGrid/>
        <w:spacing w:line="276" w:lineRule="auto"/>
        <w:textAlignment w:val="auto"/>
        <w:rPr>
          <w:rFonts w:hint="default" w:ascii="Times New Roman" w:hAnsi="Times New Roman" w:cs="Times New Roman"/>
          <w:color w:val="000000"/>
          <w:sz w:val="24"/>
          <w:szCs w:val="24"/>
        </w:rPr>
      </w:pPr>
      <w:r>
        <w:rPr>
          <w:rFonts w:hint="default" w:ascii="Times New Roman" w:hAnsi="Times New Roman" w:cs="Times New Roman"/>
          <w:b/>
          <w:bCs/>
          <w:i w:val="0"/>
          <w:iCs w:val="0"/>
          <w:color w:val="000000"/>
          <w:sz w:val="22"/>
          <w:szCs w:val="22"/>
          <w:u w:val="none"/>
          <w:bdr w:val="none" w:color="auto" w:sz="0" w:space="0"/>
          <w:shd w:val="clear" w:fill="FFFFFF"/>
          <w:vertAlign w:val="baseline"/>
        </w:rPr>
        <w:t>V.</w:t>
      </w:r>
      <w:r>
        <w:rPr>
          <w:rFonts w:hint="default" w:ascii="Times New Roman" w:hAnsi="Times New Roman" w:cs="Times New Roman"/>
          <w:b/>
          <w:bCs/>
          <w:i w:val="0"/>
          <w:iCs w:val="0"/>
          <w:color w:val="000000"/>
          <w:sz w:val="22"/>
          <w:szCs w:val="22"/>
          <w:u w:val="none"/>
          <w:bdr w:val="none" w:color="auto" w:sz="0" w:space="0"/>
          <w:shd w:val="clear" w:fill="FFFFFF"/>
          <w:vertAlign w:val="baseline"/>
        </w:rPr>
        <w:t xml:space="preserve">REFERENSI </w:t>
      </w:r>
    </w:p>
    <w:p w14:paraId="2900FC82">
      <w:pPr>
        <w:keepNext w:val="0"/>
        <w:keepLines w:val="0"/>
        <w:pageBreakBefore w:val="0"/>
        <w:widowControl/>
        <w:shd w:val="clear" w:color="auto" w:fill="FFFFFF"/>
        <w:kinsoku/>
        <w:wordWrap/>
        <w:overflowPunct/>
        <w:topLinePunct w:val="0"/>
        <w:autoSpaceDE/>
        <w:autoSpaceDN/>
        <w:bidi w:val="0"/>
        <w:adjustRightInd/>
        <w:snapToGrid/>
        <w:spacing w:after="0" w:line="276" w:lineRule="auto"/>
        <w:ind w:left="709" w:hanging="709"/>
        <w:jc w:val="both"/>
        <w:textAlignment w:val="auto"/>
        <w:rPr>
          <w:rFonts w:ascii="Times New Roman" w:hAnsi="Times New Roman" w:cs="Times New Roman"/>
          <w:sz w:val="22"/>
          <w:szCs w:val="22"/>
          <w:shd w:val="clear" w:color="auto" w:fill="FFFFFF"/>
          <w:lang w:val="en-US"/>
        </w:rPr>
      </w:pPr>
      <w:r>
        <w:rPr>
          <w:rFonts w:ascii="Times New Roman" w:hAnsi="Times New Roman" w:cs="Times New Roman"/>
          <w:sz w:val="22"/>
          <w:szCs w:val="22"/>
          <w:shd w:val="clear" w:color="auto" w:fill="FFFFFF"/>
        </w:rPr>
        <w:t>Adelina,  Theresa.  2012.  Pengaruh  Karakteristik  Perusahaan  dan  Reformasi  Perpajakan terhadap  Penghindaran  Pajak  di  Industri  Manufaktur  yang  Terdaftar  di  Bursa  Efek Indonesia Tahun 2008-2010. Skripsi. Fakultas Ekonomi Universitas Indonesia Depok.</w:t>
      </w:r>
    </w:p>
    <w:p w14:paraId="0C86448A">
      <w:pPr>
        <w:keepNext w:val="0"/>
        <w:keepLines w:val="0"/>
        <w:pageBreakBefore w:val="0"/>
        <w:widowControl/>
        <w:tabs>
          <w:tab w:val="left" w:pos="720"/>
          <w:tab w:val="left" w:pos="7001"/>
        </w:tabs>
        <w:kinsoku/>
        <w:wordWrap/>
        <w:overflowPunct/>
        <w:topLinePunct w:val="0"/>
        <w:autoSpaceDE/>
        <w:autoSpaceDN/>
        <w:bidi w:val="0"/>
        <w:adjustRightInd/>
        <w:snapToGrid/>
        <w:spacing w:after="0" w:line="276" w:lineRule="auto"/>
        <w:ind w:left="709" w:hanging="709"/>
        <w:jc w:val="both"/>
        <w:textAlignment w:val="auto"/>
        <w:rPr>
          <w:rFonts w:ascii="Times New Roman" w:hAnsi="Times New Roman" w:cs="Times New Roman"/>
          <w:sz w:val="22"/>
          <w:szCs w:val="22"/>
          <w:lang w:val="en-US"/>
        </w:rPr>
      </w:pPr>
      <w:r>
        <w:rPr>
          <w:rFonts w:ascii="Times New Roman" w:hAnsi="Times New Roman" w:cs="Times New Roman"/>
          <w:sz w:val="22"/>
          <w:szCs w:val="22"/>
          <w:lang w:val="en-US"/>
        </w:rPr>
        <w:t>Adisti Maharani Krisna, 2019 Jurnal Ekonomi, Bisnis dan Akuntansi Vol.18 No.2 ISSN :2655-9943</w:t>
      </w:r>
    </w:p>
    <w:p w14:paraId="065DBC5A">
      <w:pPr>
        <w:keepNext w:val="0"/>
        <w:keepLines w:val="0"/>
        <w:pageBreakBefore w:val="0"/>
        <w:widowControl/>
        <w:shd w:val="clear" w:color="auto" w:fill="FFFFFF"/>
        <w:kinsoku/>
        <w:wordWrap/>
        <w:overflowPunct/>
        <w:topLinePunct w:val="0"/>
        <w:autoSpaceDE/>
        <w:autoSpaceDN/>
        <w:bidi w:val="0"/>
        <w:adjustRightInd/>
        <w:snapToGrid/>
        <w:spacing w:after="0" w:line="276" w:lineRule="auto"/>
        <w:ind w:left="709" w:hanging="709"/>
        <w:jc w:val="both"/>
        <w:textAlignment w:val="auto"/>
        <w:rPr>
          <w:rFonts w:ascii="Times New Roman" w:hAnsi="Times New Roman" w:cs="Times New Roman"/>
          <w:sz w:val="22"/>
          <w:szCs w:val="22"/>
          <w:shd w:val="clear" w:color="auto" w:fill="FFFFFF"/>
          <w:lang w:val="en-US"/>
        </w:rPr>
      </w:pPr>
      <w:r>
        <w:rPr>
          <w:rFonts w:ascii="Times New Roman" w:hAnsi="Times New Roman" w:cs="Times New Roman"/>
          <w:sz w:val="22"/>
          <w:szCs w:val="22"/>
          <w:shd w:val="clear" w:color="auto" w:fill="FFFFFF"/>
        </w:rPr>
        <w:t>Altman, E. I. (1968). The Prediction of Corporate Bankruptcy: A Discriminant Analysis.</w:t>
      </w:r>
    </w:p>
    <w:p w14:paraId="1FB3FE16">
      <w:pPr>
        <w:keepNext w:val="0"/>
        <w:keepLines w:val="0"/>
        <w:pageBreakBefore w:val="0"/>
        <w:widowControl/>
        <w:shd w:val="clear" w:color="auto" w:fill="FFFFFF"/>
        <w:kinsoku/>
        <w:wordWrap/>
        <w:overflowPunct/>
        <w:topLinePunct w:val="0"/>
        <w:autoSpaceDE/>
        <w:autoSpaceDN/>
        <w:bidi w:val="0"/>
        <w:adjustRightInd/>
        <w:snapToGrid/>
        <w:spacing w:after="0" w:line="276" w:lineRule="auto"/>
        <w:ind w:left="709" w:hanging="709"/>
        <w:jc w:val="both"/>
        <w:textAlignment w:val="auto"/>
        <w:rPr>
          <w:rFonts w:ascii="Times New Roman" w:hAnsi="Times New Roman" w:cs="Times New Roman"/>
          <w:sz w:val="22"/>
          <w:szCs w:val="22"/>
          <w:lang w:val="en-US"/>
        </w:rPr>
      </w:pPr>
      <w:r>
        <w:rPr>
          <w:rFonts w:ascii="Times New Roman" w:hAnsi="Times New Roman" w:cs="Times New Roman"/>
          <w:sz w:val="22"/>
          <w:szCs w:val="22"/>
        </w:rPr>
        <w:t>Altman, E. I., &amp; Hotchkiss, E. (2010). Corporate financial distress and bankruptcy: Predict and avoid bankruptcy, analyze and invest in distressed debt. 289, 297–306.</w:t>
      </w:r>
    </w:p>
    <w:p w14:paraId="008CD2BE">
      <w:pPr>
        <w:keepNext w:val="0"/>
        <w:keepLines w:val="0"/>
        <w:pageBreakBefore w:val="0"/>
        <w:widowControl/>
        <w:shd w:val="clear" w:color="auto" w:fill="FFFFFF"/>
        <w:kinsoku/>
        <w:wordWrap/>
        <w:overflowPunct/>
        <w:topLinePunct w:val="0"/>
        <w:autoSpaceDE/>
        <w:autoSpaceDN/>
        <w:bidi w:val="0"/>
        <w:adjustRightInd/>
        <w:snapToGrid/>
        <w:spacing w:after="0" w:line="276" w:lineRule="auto"/>
        <w:ind w:left="709" w:hanging="709"/>
        <w:jc w:val="both"/>
        <w:textAlignment w:val="auto"/>
        <w:rPr>
          <w:rFonts w:ascii="Times New Roman" w:hAnsi="Times New Roman" w:cs="Times New Roman"/>
          <w:sz w:val="22"/>
          <w:szCs w:val="22"/>
        </w:rPr>
      </w:pPr>
      <w:r>
        <w:rPr>
          <w:rFonts w:ascii="Times New Roman" w:hAnsi="Times New Roman" w:cs="Times New Roman"/>
          <w:sz w:val="22"/>
          <w:szCs w:val="22"/>
        </w:rPr>
        <w:t>Amrie Firmansyah, Y. F. (2017). Pengaruh Political Connection, Foreign Acticity Dan Real Earnings Management Terhadap Tax Avoidance. Jurnal Riset Akuntansi Dan Keuangan, 5(3), 1601-1624.</w:t>
      </w:r>
    </w:p>
    <w:p w14:paraId="00EEC470">
      <w:pPr>
        <w:keepNext w:val="0"/>
        <w:keepLines w:val="0"/>
        <w:pageBreakBefore w:val="0"/>
        <w:widowControl/>
        <w:shd w:val="clear" w:color="auto" w:fill="FFFFFF"/>
        <w:kinsoku/>
        <w:wordWrap/>
        <w:overflowPunct/>
        <w:topLinePunct w:val="0"/>
        <w:autoSpaceDE/>
        <w:autoSpaceDN/>
        <w:bidi w:val="0"/>
        <w:adjustRightInd/>
        <w:snapToGrid/>
        <w:spacing w:line="276" w:lineRule="auto"/>
        <w:ind w:left="709" w:hanging="709"/>
        <w:jc w:val="both"/>
        <w:textAlignment w:val="auto"/>
        <w:rPr>
          <w:rFonts w:ascii="Times New Roman" w:hAnsi="Times New Roman" w:cs="Times New Roman"/>
          <w:sz w:val="22"/>
          <w:szCs w:val="22"/>
          <w:lang w:val="en-US"/>
        </w:rPr>
      </w:pPr>
      <w:r>
        <w:rPr>
          <w:rFonts w:ascii="Times New Roman" w:hAnsi="Times New Roman" w:cs="Times New Roman"/>
          <w:sz w:val="22"/>
          <w:szCs w:val="22"/>
        </w:rPr>
        <w:t>Amrie, Et Al. (2017). Pengaruh Financial Distress, Real Earnings Management Dan Corporate Governance Terhadap Tax Aggressiveness. Journal Of Business Administration, 1(2), 17-36.</w:t>
      </w:r>
    </w:p>
    <w:p w14:paraId="05B2D4DB">
      <w:pPr>
        <w:spacing w:after="0" w:line="360" w:lineRule="auto"/>
        <w:ind w:left="709" w:hanging="709"/>
        <w:jc w:val="both"/>
        <w:rPr>
          <w:rFonts w:ascii="Times New Roman" w:hAnsi="Times New Roman" w:cs="Times New Roman"/>
          <w:sz w:val="22"/>
          <w:szCs w:val="22"/>
          <w:lang w:val="en-US"/>
        </w:rPr>
      </w:pPr>
      <w:r>
        <w:rPr>
          <w:rFonts w:ascii="Times New Roman" w:hAnsi="Times New Roman" w:cs="Times New Roman"/>
          <w:sz w:val="22"/>
          <w:szCs w:val="22"/>
          <w:lang w:val="en-US"/>
        </w:rPr>
        <w:t xml:space="preserve">Ashari et al., 2020,  </w:t>
      </w:r>
      <w:r>
        <w:rPr>
          <w:rFonts w:ascii="Times New Roman" w:hAnsi="Times New Roman" w:cs="Times New Roman"/>
          <w:i/>
          <w:sz w:val="22"/>
          <w:szCs w:val="22"/>
          <w:lang w:val="en-US"/>
        </w:rPr>
        <w:t>journal syntax tranformastion</w:t>
      </w:r>
      <w:r>
        <w:rPr>
          <w:rFonts w:ascii="Times New Roman" w:hAnsi="Times New Roman" w:cs="Times New Roman"/>
          <w:sz w:val="22"/>
          <w:szCs w:val="22"/>
          <w:lang w:val="en-US"/>
        </w:rPr>
        <w:t>, Vol. 1 No . 8, Hal 297- 307, P-ISSN: 2721- 3854, E-ISSN : 2721-2721-2769</w:t>
      </w:r>
    </w:p>
    <w:p w14:paraId="2AA023FA">
      <w:pPr>
        <w:shd w:val="clear" w:color="auto" w:fill="FFFFFF"/>
        <w:spacing w:after="0" w:line="360" w:lineRule="auto"/>
        <w:ind w:left="709" w:hanging="709"/>
        <w:jc w:val="both"/>
        <w:rPr>
          <w:rFonts w:ascii="Times New Roman" w:hAnsi="Times New Roman" w:cs="Times New Roman"/>
          <w:iCs/>
          <w:sz w:val="22"/>
          <w:szCs w:val="22"/>
          <w:lang w:val="en-US"/>
        </w:rPr>
      </w:pPr>
      <w:r>
        <w:rPr>
          <w:rFonts w:ascii="Times New Roman" w:hAnsi="Times New Roman" w:cs="Times New Roman"/>
          <w:bCs/>
          <w:sz w:val="22"/>
          <w:szCs w:val="22"/>
        </w:rPr>
        <w:t>Calvin V Jayanto Purba, Pengaruh Profitabilitas</w:t>
      </w:r>
      <w:r>
        <w:rPr>
          <w:rFonts w:ascii="Times New Roman" w:hAnsi="Times New Roman" w:cs="Times New Roman"/>
          <w:bCs/>
          <w:i/>
          <w:iCs/>
          <w:sz w:val="22"/>
          <w:szCs w:val="22"/>
        </w:rPr>
        <w:t xml:space="preserve">, </w:t>
      </w:r>
      <w:r>
        <w:rPr>
          <w:rFonts w:ascii="Times New Roman" w:hAnsi="Times New Roman" w:cs="Times New Roman"/>
          <w:bCs/>
          <w:sz w:val="22"/>
          <w:szCs w:val="22"/>
        </w:rPr>
        <w:t>Likuiditas</w:t>
      </w:r>
      <w:r>
        <w:rPr>
          <w:rFonts w:ascii="Times New Roman" w:hAnsi="Times New Roman" w:cs="Times New Roman"/>
          <w:bCs/>
          <w:i/>
          <w:iCs/>
          <w:sz w:val="22"/>
          <w:szCs w:val="22"/>
        </w:rPr>
        <w:t xml:space="preserve">, </w:t>
      </w:r>
      <w:r>
        <w:rPr>
          <w:rFonts w:ascii="Times New Roman" w:hAnsi="Times New Roman" w:cs="Times New Roman"/>
          <w:bCs/>
          <w:sz w:val="22"/>
          <w:szCs w:val="22"/>
        </w:rPr>
        <w:t xml:space="preserve">dan </w:t>
      </w:r>
      <w:r>
        <w:rPr>
          <w:rFonts w:ascii="Times New Roman" w:hAnsi="Times New Roman" w:cs="Times New Roman"/>
          <w:bCs/>
          <w:i/>
          <w:iCs/>
          <w:sz w:val="22"/>
          <w:szCs w:val="22"/>
        </w:rPr>
        <w:t xml:space="preserve">Leverage, </w:t>
      </w:r>
      <w:r>
        <w:rPr>
          <w:rFonts w:ascii="Times New Roman" w:hAnsi="Times New Roman" w:cs="Times New Roman"/>
          <w:bCs/>
          <w:sz w:val="22"/>
          <w:szCs w:val="22"/>
        </w:rPr>
        <w:t>Terhadap Agresivitas Pajak pada Perusahaan Manufaktur Sektor Lainnya yang Terdaftar di BEI</w:t>
      </w:r>
      <w:r>
        <w:rPr>
          <w:rFonts w:ascii="Times New Roman" w:hAnsi="Times New Roman" w:cs="Times New Roman"/>
          <w:bCs/>
          <w:sz w:val="22"/>
          <w:szCs w:val="22"/>
          <w:lang w:val="en-US"/>
        </w:rPr>
        <w:t xml:space="preserve">, </w:t>
      </w:r>
      <w:r>
        <w:rPr>
          <w:rFonts w:ascii="Times New Roman" w:hAnsi="Times New Roman" w:cs="Times New Roman"/>
          <w:iCs/>
          <w:sz w:val="22"/>
          <w:szCs w:val="22"/>
          <w:lang w:val="en-US"/>
        </w:rPr>
        <w:t>Jurnal Bisnis Net Volume : III N0. 2 Juli – Desemberv 2020, ISSN : 2621-3982 EISSN: 2722- 3574</w:t>
      </w:r>
    </w:p>
    <w:p w14:paraId="368A6CCA">
      <w:pPr>
        <w:keepNext w:val="0"/>
        <w:keepLines w:val="0"/>
        <w:pageBreakBefore w:val="0"/>
        <w:widowControl/>
        <w:shd w:val="clear" w:color="auto" w:fill="FFFFFF"/>
        <w:kinsoku/>
        <w:wordWrap/>
        <w:overflowPunct/>
        <w:topLinePunct w:val="0"/>
        <w:autoSpaceDE/>
        <w:autoSpaceDN/>
        <w:bidi w:val="0"/>
        <w:adjustRightInd/>
        <w:snapToGrid/>
        <w:spacing w:after="0" w:line="276" w:lineRule="auto"/>
        <w:ind w:left="709" w:hanging="709"/>
        <w:jc w:val="both"/>
        <w:textAlignment w:val="auto"/>
        <w:rPr>
          <w:rFonts w:ascii="Times New Roman" w:hAnsi="Times New Roman" w:cs="Times New Roman"/>
          <w:sz w:val="22"/>
          <w:szCs w:val="22"/>
          <w:lang w:val="en-US"/>
        </w:rPr>
      </w:pPr>
      <w:r>
        <w:rPr>
          <w:rFonts w:ascii="Times New Roman" w:hAnsi="Times New Roman" w:cs="Times New Roman"/>
          <w:bCs/>
          <w:sz w:val="22"/>
          <w:szCs w:val="22"/>
          <w:lang w:val="en-US"/>
        </w:rPr>
        <w:t xml:space="preserve">Dwi Suci Annisa Yosandra, </w:t>
      </w:r>
      <w:r>
        <w:rPr>
          <w:rFonts w:ascii="Times New Roman" w:hAnsi="Times New Roman" w:cs="Times New Roman"/>
          <w:sz w:val="22"/>
          <w:szCs w:val="22"/>
          <w:lang w:val="en-US"/>
        </w:rPr>
        <w:t>Jurnal Ekonomi, Keuangan, Perbankan dan Akuntansi, Vol. 14, No. 1 (Mei 2022), Hal. 22 – 41</w:t>
      </w:r>
    </w:p>
    <w:p w14:paraId="6423F2AE">
      <w:pPr>
        <w:keepNext w:val="0"/>
        <w:keepLines w:val="0"/>
        <w:pageBreakBefore w:val="0"/>
        <w:widowControl/>
        <w:kinsoku/>
        <w:wordWrap/>
        <w:overflowPunct/>
        <w:topLinePunct w:val="0"/>
        <w:autoSpaceDE/>
        <w:autoSpaceDN/>
        <w:bidi w:val="0"/>
        <w:adjustRightInd/>
        <w:snapToGrid/>
        <w:spacing w:after="0" w:line="276" w:lineRule="auto"/>
        <w:ind w:left="709" w:hanging="709"/>
        <w:jc w:val="both"/>
        <w:textAlignment w:val="auto"/>
        <w:rPr>
          <w:rFonts w:ascii="Times New Roman" w:hAnsi="Times New Roman" w:cs="Times New Roman"/>
          <w:sz w:val="22"/>
          <w:szCs w:val="22"/>
          <w:lang w:val="en-US"/>
        </w:rPr>
      </w:pPr>
      <w:r>
        <w:rPr>
          <w:rFonts w:ascii="Times New Roman" w:hAnsi="Times New Roman" w:cs="Times New Roman"/>
          <w:sz w:val="22"/>
          <w:szCs w:val="22"/>
          <w:lang w:val="en-US"/>
        </w:rPr>
        <w:t>Effiriyanti et al. (2022), Riset &amp; jurnal Akuntansi, Vol. 6 No. 3, Hal 3188-3199, E-ISSN : 2548-9224, P-ISSN : 2548-7507</w:t>
      </w:r>
    </w:p>
    <w:p w14:paraId="2BE416DB">
      <w:pPr>
        <w:keepNext w:val="0"/>
        <w:keepLines w:val="0"/>
        <w:pageBreakBefore w:val="0"/>
        <w:widowControl/>
        <w:shd w:val="clear" w:color="auto" w:fill="FFFFFF"/>
        <w:kinsoku/>
        <w:wordWrap/>
        <w:overflowPunct/>
        <w:topLinePunct w:val="0"/>
        <w:autoSpaceDE/>
        <w:autoSpaceDN/>
        <w:bidi w:val="0"/>
        <w:adjustRightInd/>
        <w:snapToGrid/>
        <w:spacing w:after="0" w:line="276" w:lineRule="auto"/>
        <w:ind w:left="709" w:hanging="709"/>
        <w:jc w:val="both"/>
        <w:textAlignment w:val="auto"/>
        <w:rPr>
          <w:rFonts w:ascii="Times New Roman" w:hAnsi="Times New Roman" w:cs="Times New Roman"/>
          <w:sz w:val="22"/>
          <w:szCs w:val="22"/>
          <w:shd w:val="clear" w:color="auto" w:fill="FFFFFF"/>
          <w:lang w:val="en-US"/>
        </w:rPr>
      </w:pPr>
      <w:r>
        <w:rPr>
          <w:rFonts w:ascii="Times New Roman" w:hAnsi="Times New Roman" w:cs="Times New Roman"/>
          <w:sz w:val="22"/>
          <w:szCs w:val="22"/>
          <w:shd w:val="clear" w:color="auto" w:fill="FFFFFF"/>
          <w:lang w:val="en-US"/>
        </w:rPr>
        <w:t>E</w:t>
      </w:r>
      <w:r>
        <w:rPr>
          <w:rFonts w:ascii="Times New Roman" w:hAnsi="Times New Roman" w:cs="Times New Roman"/>
          <w:sz w:val="22"/>
          <w:szCs w:val="22"/>
          <w:shd w:val="clear" w:color="auto" w:fill="FFFFFF"/>
        </w:rPr>
        <w:t>za, F. (2012). Pengaruh Dewan Komisaris dan Komite Audit Terhadap Penghindaran Pajak. Skripsi Ilmiah Universitas Indonesia</w:t>
      </w:r>
    </w:p>
    <w:p w14:paraId="6B917F9B">
      <w:pPr>
        <w:keepNext w:val="0"/>
        <w:keepLines w:val="0"/>
        <w:pageBreakBefore w:val="0"/>
        <w:widowControl/>
        <w:shd w:val="clear" w:color="auto" w:fill="FFFFFF"/>
        <w:kinsoku/>
        <w:wordWrap/>
        <w:overflowPunct/>
        <w:topLinePunct w:val="0"/>
        <w:autoSpaceDE/>
        <w:autoSpaceDN/>
        <w:bidi w:val="0"/>
        <w:adjustRightInd/>
        <w:snapToGrid/>
        <w:spacing w:line="276" w:lineRule="auto"/>
        <w:ind w:left="709" w:hanging="709"/>
        <w:jc w:val="both"/>
        <w:textAlignment w:val="auto"/>
        <w:rPr>
          <w:rFonts w:ascii="Times New Roman" w:hAnsi="Times New Roman" w:cs="Times New Roman"/>
          <w:sz w:val="22"/>
          <w:szCs w:val="22"/>
          <w:lang w:val="en-US"/>
        </w:rPr>
      </w:pPr>
      <w:r>
        <w:rPr>
          <w:rFonts w:ascii="Times New Roman" w:hAnsi="Times New Roman" w:cs="Times New Roman"/>
          <w:sz w:val="22"/>
          <w:szCs w:val="22"/>
        </w:rPr>
        <w:t>Farahmita. (2012). Insentif Manajemen Terhadap Penghindaran Pajak Perusahaan.</w:t>
      </w:r>
    </w:p>
    <w:p w14:paraId="54DDC641">
      <w:pPr>
        <w:keepNext w:val="0"/>
        <w:keepLines w:val="0"/>
        <w:pageBreakBefore w:val="0"/>
        <w:widowControl/>
        <w:kinsoku/>
        <w:wordWrap/>
        <w:overflowPunct/>
        <w:topLinePunct w:val="0"/>
        <w:autoSpaceDE/>
        <w:autoSpaceDN/>
        <w:bidi w:val="0"/>
        <w:adjustRightInd/>
        <w:snapToGrid/>
        <w:spacing w:after="0" w:line="276" w:lineRule="auto"/>
        <w:ind w:left="709" w:hanging="709"/>
        <w:jc w:val="both"/>
        <w:textAlignment w:val="auto"/>
        <w:rPr>
          <w:rFonts w:ascii="Times New Roman" w:hAnsi="Times New Roman" w:cs="Times New Roman"/>
          <w:sz w:val="22"/>
          <w:szCs w:val="22"/>
          <w:lang w:val="en-US"/>
        </w:rPr>
      </w:pPr>
      <w:r>
        <w:rPr>
          <w:rFonts w:ascii="Times New Roman" w:hAnsi="Times New Roman" w:cs="Times New Roman"/>
          <w:sz w:val="22"/>
          <w:szCs w:val="22"/>
          <w:lang w:val="en-US"/>
        </w:rPr>
        <w:t xml:space="preserve">Indah Tri Wahyuni, Dedik Nur Triyanto , 2022. E- </w:t>
      </w:r>
      <w:r>
        <w:rPr>
          <w:rFonts w:ascii="Times New Roman" w:hAnsi="Times New Roman" w:cs="Times New Roman"/>
          <w:i/>
          <w:sz w:val="22"/>
          <w:szCs w:val="22"/>
          <w:lang w:val="en-US"/>
        </w:rPr>
        <w:t>Proceeding of Management</w:t>
      </w:r>
      <w:r>
        <w:rPr>
          <w:rFonts w:ascii="Times New Roman" w:hAnsi="Times New Roman" w:cs="Times New Roman"/>
          <w:sz w:val="22"/>
          <w:szCs w:val="22"/>
          <w:lang w:val="en-US"/>
        </w:rPr>
        <w:t xml:space="preserve"> Vol. 9 No. 2 April 2022 ISSN 2355-9357</w:t>
      </w:r>
    </w:p>
    <w:p w14:paraId="3B0A1386">
      <w:pPr>
        <w:keepNext w:val="0"/>
        <w:keepLines w:val="0"/>
        <w:pageBreakBefore w:val="0"/>
        <w:widowControl/>
        <w:shd w:val="clear" w:color="auto" w:fill="FFFFFF"/>
        <w:kinsoku/>
        <w:wordWrap/>
        <w:overflowPunct/>
        <w:topLinePunct w:val="0"/>
        <w:autoSpaceDE/>
        <w:autoSpaceDN/>
        <w:bidi w:val="0"/>
        <w:adjustRightInd/>
        <w:snapToGrid/>
        <w:spacing w:after="0" w:line="276" w:lineRule="auto"/>
        <w:ind w:left="709" w:hanging="709"/>
        <w:jc w:val="both"/>
        <w:textAlignment w:val="auto"/>
        <w:rPr>
          <w:rFonts w:ascii="Times New Roman" w:hAnsi="Times New Roman" w:cs="Times New Roman"/>
          <w:i/>
          <w:sz w:val="22"/>
          <w:szCs w:val="22"/>
          <w:shd w:val="clear" w:color="auto" w:fill="FFFFFF"/>
          <w:lang w:val="en-US"/>
        </w:rPr>
      </w:pPr>
      <w:r>
        <w:rPr>
          <w:rFonts w:ascii="Times New Roman" w:hAnsi="Times New Roman" w:cs="Times New Roman"/>
          <w:sz w:val="22"/>
          <w:szCs w:val="22"/>
          <w:shd w:val="clear" w:color="auto" w:fill="FFFFFF"/>
        </w:rPr>
        <w:t>Kevin Nasution &amp; Dwi Mulyani, Prosiding Seminar Nasional Pakar ke 3Tahun 2020, Buku  2: Sosial dan Humaniora</w:t>
      </w:r>
      <w:r>
        <w:rPr>
          <w:rFonts w:ascii="Times New Roman" w:hAnsi="Times New Roman" w:cs="Times New Roman"/>
          <w:i/>
          <w:sz w:val="22"/>
          <w:szCs w:val="22"/>
          <w:shd w:val="clear" w:color="auto" w:fill="FFFFFF"/>
        </w:rPr>
        <w:t>, Pengaruh Intensitas Aset Tetap Dan Intensitas Persediaan Terhadap Penghindaran Pajak Dengan Pertumbuhan Penjualan Sebagai Variabel Moderasi</w:t>
      </w:r>
    </w:p>
    <w:p w14:paraId="18C7E489">
      <w:pPr>
        <w:keepNext w:val="0"/>
        <w:keepLines w:val="0"/>
        <w:pageBreakBefore w:val="0"/>
        <w:widowControl/>
        <w:shd w:val="clear" w:color="auto" w:fill="FFFFFF"/>
        <w:kinsoku/>
        <w:wordWrap/>
        <w:overflowPunct/>
        <w:topLinePunct w:val="0"/>
        <w:autoSpaceDE/>
        <w:autoSpaceDN/>
        <w:bidi w:val="0"/>
        <w:adjustRightInd/>
        <w:snapToGrid/>
        <w:spacing w:line="276" w:lineRule="auto"/>
        <w:ind w:left="709" w:hanging="709"/>
        <w:jc w:val="both"/>
        <w:textAlignment w:val="auto"/>
        <w:rPr>
          <w:rFonts w:ascii="Times New Roman" w:hAnsi="Times New Roman" w:cs="Times New Roman"/>
          <w:b w:val="0"/>
          <w:bCs w:val="0"/>
          <w:sz w:val="22"/>
          <w:szCs w:val="22"/>
        </w:rPr>
      </w:pPr>
      <w:r>
        <w:rPr>
          <w:rFonts w:ascii="Times New Roman" w:hAnsi="Times New Roman" w:cs="Times New Roman"/>
          <w:b w:val="0"/>
          <w:bCs w:val="0"/>
          <w:sz w:val="22"/>
          <w:szCs w:val="22"/>
        </w:rPr>
        <w:t>Komang, Et Al. (2016). Pengaruh Profitabilitas, Kepeilikan Keluarga Dan Coporate Governance Terhadap Penghindaran Pajak. Jurnal Ilmiah Akuntansi, 1(2), 167-193.</w:t>
      </w:r>
    </w:p>
    <w:p w14:paraId="3D0A25B6">
      <w:pPr>
        <w:keepNext w:val="0"/>
        <w:keepLines w:val="0"/>
        <w:pageBreakBefore w:val="0"/>
        <w:widowControl/>
        <w:shd w:val="clear" w:color="auto" w:fill="FFFFFF"/>
        <w:kinsoku/>
        <w:wordWrap/>
        <w:overflowPunct/>
        <w:topLinePunct w:val="0"/>
        <w:autoSpaceDE/>
        <w:autoSpaceDN/>
        <w:bidi w:val="0"/>
        <w:adjustRightInd/>
        <w:snapToGrid/>
        <w:spacing w:line="276" w:lineRule="auto"/>
        <w:ind w:left="709" w:hanging="709"/>
        <w:jc w:val="both"/>
        <w:textAlignment w:val="auto"/>
        <w:rPr>
          <w:rFonts w:ascii="Times New Roman" w:hAnsi="Times New Roman" w:cs="Times New Roman"/>
          <w:b w:val="0"/>
          <w:bCs w:val="0"/>
          <w:sz w:val="22"/>
          <w:szCs w:val="22"/>
          <w:lang w:val="en-US"/>
        </w:rPr>
      </w:pPr>
      <w:r>
        <w:rPr>
          <w:rFonts w:ascii="Times New Roman" w:hAnsi="Times New Roman" w:cs="Times New Roman"/>
          <w:b w:val="0"/>
          <w:bCs w:val="0"/>
          <w:sz w:val="22"/>
          <w:szCs w:val="22"/>
          <w:lang w:val="en-US"/>
        </w:rPr>
        <w:t>Karlina Lilis (2021) Pengaruh Profi tabilitas, Likuiditas, Leverage, dan Intensitas Aset Tetap Terhadap Agresivitas Pajak.JURNAL MADANI: Ilmu Pengetahuan, Teknologi, dan Humaniora, Vol. 4,  109 - 125</w:t>
      </w:r>
    </w:p>
    <w:p w14:paraId="2AF7DF84">
      <w:pPr>
        <w:keepNext w:val="0"/>
        <w:keepLines w:val="0"/>
        <w:pageBreakBefore w:val="0"/>
        <w:widowControl/>
        <w:shd w:val="clear" w:color="auto" w:fill="FFFFFF"/>
        <w:kinsoku/>
        <w:wordWrap/>
        <w:overflowPunct/>
        <w:topLinePunct w:val="0"/>
        <w:autoSpaceDE/>
        <w:autoSpaceDN/>
        <w:bidi w:val="0"/>
        <w:adjustRightInd/>
        <w:snapToGrid/>
        <w:spacing w:after="0" w:line="276" w:lineRule="auto"/>
        <w:ind w:left="709" w:hanging="709"/>
        <w:jc w:val="both"/>
        <w:textAlignment w:val="auto"/>
        <w:rPr>
          <w:rFonts w:ascii="Times New Roman" w:hAnsi="Times New Roman" w:cs="Times New Roman"/>
          <w:b w:val="0"/>
          <w:bCs w:val="0"/>
          <w:sz w:val="22"/>
          <w:szCs w:val="22"/>
          <w:shd w:val="clear" w:color="auto" w:fill="FFFFFF"/>
          <w:lang w:val="en-US"/>
        </w:rPr>
      </w:pPr>
      <w:r>
        <w:rPr>
          <w:rFonts w:ascii="Times New Roman" w:hAnsi="Times New Roman" w:cs="Times New Roman"/>
          <w:b w:val="0"/>
          <w:bCs w:val="0"/>
          <w:sz w:val="22"/>
          <w:szCs w:val="22"/>
          <w:shd w:val="clear" w:color="auto" w:fill="FFFFFF"/>
          <w:lang w:val="en-US"/>
        </w:rPr>
        <w:t>N</w:t>
      </w:r>
      <w:r>
        <w:rPr>
          <w:rFonts w:ascii="Times New Roman" w:hAnsi="Times New Roman" w:cs="Times New Roman"/>
          <w:b w:val="0"/>
          <w:bCs w:val="0"/>
          <w:sz w:val="22"/>
          <w:szCs w:val="22"/>
          <w:shd w:val="clear" w:color="auto" w:fill="FFFFFF"/>
        </w:rPr>
        <w:t>indyka  S,  Dimas,  dkk,  2018.  pengaruh  leverage  (dar),  capital  intensity  dan  inventory intensity  terhadap  tax  avoidance  dalam  e-Proceeding  of  Management:  Vol.5,  No.1. ISSN: 23559357</w:t>
      </w:r>
    </w:p>
    <w:p w14:paraId="5EA6B623">
      <w:pPr>
        <w:keepNext w:val="0"/>
        <w:keepLines w:val="0"/>
        <w:pageBreakBefore w:val="0"/>
        <w:widowControl/>
        <w:shd w:val="clear" w:color="auto" w:fill="FFFFFF"/>
        <w:kinsoku/>
        <w:wordWrap/>
        <w:overflowPunct/>
        <w:topLinePunct w:val="0"/>
        <w:autoSpaceDE/>
        <w:autoSpaceDN/>
        <w:bidi w:val="0"/>
        <w:adjustRightInd/>
        <w:snapToGrid/>
        <w:spacing w:line="276" w:lineRule="auto"/>
        <w:ind w:left="709" w:hanging="709"/>
        <w:jc w:val="both"/>
        <w:textAlignment w:val="auto"/>
        <w:rPr>
          <w:rFonts w:ascii="Times New Roman" w:hAnsi="Times New Roman" w:cs="Times New Roman"/>
          <w:b w:val="0"/>
          <w:bCs w:val="0"/>
          <w:sz w:val="22"/>
          <w:szCs w:val="22"/>
        </w:rPr>
      </w:pPr>
      <w:r>
        <w:rPr>
          <w:rFonts w:ascii="Times New Roman" w:hAnsi="Times New Roman" w:cs="Times New Roman"/>
          <w:b w:val="0"/>
          <w:bCs w:val="0"/>
          <w:sz w:val="22"/>
          <w:szCs w:val="22"/>
        </w:rPr>
        <w:t>Novi Sundari, V. A. (2017). Pengaruh Konservatisme Akuntansi, Intensitas Aset Tetap Kompensasi Rugi Fiskal Dan Corporate Governanace Terhadap Tax Avoidance. Jrak, 8(1), 85-109.</w:t>
      </w:r>
      <w:bookmarkStart w:id="4" w:name="_GoBack"/>
      <w:bookmarkEnd w:id="4"/>
    </w:p>
    <w:p w14:paraId="1958F985">
      <w:pPr>
        <w:keepNext w:val="0"/>
        <w:keepLines w:val="0"/>
        <w:pageBreakBefore w:val="0"/>
        <w:widowControl/>
        <w:shd w:val="clear" w:color="auto" w:fill="FFFFFF"/>
        <w:kinsoku/>
        <w:wordWrap/>
        <w:overflowPunct/>
        <w:topLinePunct w:val="0"/>
        <w:autoSpaceDE/>
        <w:autoSpaceDN/>
        <w:bidi w:val="0"/>
        <w:adjustRightInd/>
        <w:snapToGrid/>
        <w:spacing w:after="0" w:line="276" w:lineRule="auto"/>
        <w:ind w:left="709" w:hanging="709"/>
        <w:jc w:val="both"/>
        <w:textAlignment w:val="auto"/>
        <w:rPr>
          <w:rFonts w:ascii="Times New Roman" w:hAnsi="Times New Roman" w:cs="Times New Roman"/>
          <w:b w:val="0"/>
          <w:bCs w:val="0"/>
          <w:sz w:val="22"/>
          <w:szCs w:val="22"/>
          <w:shd w:val="clear" w:color="auto" w:fill="FFFFFF"/>
          <w:lang w:val="en-US"/>
        </w:rPr>
      </w:pPr>
      <w:r>
        <w:rPr>
          <w:rFonts w:ascii="Times New Roman" w:hAnsi="Times New Roman" w:cs="Times New Roman"/>
          <w:b w:val="0"/>
          <w:bCs w:val="0"/>
          <w:sz w:val="22"/>
          <w:szCs w:val="22"/>
          <w:shd w:val="clear" w:color="auto" w:fill="FFFFFF"/>
        </w:rPr>
        <w:t>Radifan. (2015). Analisis Pengaruh Mekanisme Corporate Governance Terhadap Kemungkinan Financial Distress. Skripsi Ilmiah Universitas Diponegoro, 1-71.</w:t>
      </w:r>
    </w:p>
    <w:p w14:paraId="10113F58">
      <w:pPr>
        <w:keepNext w:val="0"/>
        <w:keepLines w:val="0"/>
        <w:pageBreakBefore w:val="0"/>
        <w:widowControl/>
        <w:kinsoku/>
        <w:wordWrap/>
        <w:overflowPunct/>
        <w:topLinePunct w:val="0"/>
        <w:autoSpaceDE/>
        <w:autoSpaceDN/>
        <w:bidi w:val="0"/>
        <w:adjustRightInd/>
        <w:snapToGrid/>
        <w:spacing w:after="0" w:line="276" w:lineRule="auto"/>
        <w:ind w:left="709" w:hanging="709"/>
        <w:jc w:val="both"/>
        <w:textAlignment w:val="auto"/>
        <w:rPr>
          <w:rFonts w:ascii="Times New Roman" w:hAnsi="Times New Roman" w:cs="Times New Roman"/>
          <w:b w:val="0"/>
          <w:bCs w:val="0"/>
          <w:sz w:val="22"/>
          <w:szCs w:val="22"/>
          <w:lang w:val="en-US"/>
        </w:rPr>
      </w:pPr>
      <w:r>
        <w:rPr>
          <w:rFonts w:ascii="Times New Roman" w:hAnsi="Times New Roman" w:cs="Times New Roman"/>
          <w:b w:val="0"/>
          <w:bCs w:val="0"/>
          <w:sz w:val="22"/>
          <w:szCs w:val="22"/>
          <w:lang w:val="en-US"/>
        </w:rPr>
        <w:t xml:space="preserve">Renaldi Alfarisi, Dul M, 2022. Diponegoro </w:t>
      </w:r>
      <w:r>
        <w:rPr>
          <w:rFonts w:ascii="Times New Roman" w:hAnsi="Times New Roman" w:cs="Times New Roman"/>
          <w:b w:val="0"/>
          <w:bCs w:val="0"/>
          <w:i/>
          <w:sz w:val="22"/>
          <w:szCs w:val="22"/>
          <w:lang w:val="en-US"/>
        </w:rPr>
        <w:t>Jurnal Of Accounting</w:t>
      </w:r>
      <w:r>
        <w:rPr>
          <w:rFonts w:ascii="Times New Roman" w:hAnsi="Times New Roman" w:cs="Times New Roman"/>
          <w:b w:val="0"/>
          <w:bCs w:val="0"/>
          <w:sz w:val="22"/>
          <w:szCs w:val="22"/>
          <w:lang w:val="en-US"/>
        </w:rPr>
        <w:t>. Vol. 11 No. 1 E-ISSN 2337-3806</w:t>
      </w:r>
    </w:p>
    <w:p w14:paraId="2F9BC4E7">
      <w:pPr>
        <w:keepNext w:val="0"/>
        <w:keepLines w:val="0"/>
        <w:pageBreakBefore w:val="0"/>
        <w:widowControl/>
        <w:tabs>
          <w:tab w:val="left" w:pos="720"/>
          <w:tab w:val="left" w:pos="7001"/>
        </w:tabs>
        <w:kinsoku/>
        <w:wordWrap/>
        <w:overflowPunct/>
        <w:topLinePunct w:val="0"/>
        <w:autoSpaceDE/>
        <w:autoSpaceDN/>
        <w:bidi w:val="0"/>
        <w:adjustRightInd/>
        <w:snapToGrid/>
        <w:spacing w:after="0" w:line="276" w:lineRule="auto"/>
        <w:ind w:left="709" w:hanging="709"/>
        <w:jc w:val="both"/>
        <w:textAlignment w:val="auto"/>
        <w:rPr>
          <w:rFonts w:ascii="Times New Roman" w:hAnsi="Times New Roman" w:cs="Times New Roman"/>
          <w:b w:val="0"/>
          <w:bCs w:val="0"/>
          <w:sz w:val="22"/>
          <w:szCs w:val="22"/>
          <w:lang w:val="en-US"/>
        </w:rPr>
      </w:pPr>
      <w:r>
        <w:rPr>
          <w:rFonts w:ascii="Times New Roman" w:hAnsi="Times New Roman" w:cs="Times New Roman"/>
          <w:b w:val="0"/>
          <w:bCs w:val="0"/>
          <w:sz w:val="22"/>
          <w:szCs w:val="22"/>
          <w:lang w:val="en-US"/>
        </w:rPr>
        <w:t>Riska Sakhiya Ellyanti, Titiek Suwarti, 2022. Jurnal Penelitian Pendidikan dan Ekonomi Vol. 19 Issue 01 Januari 2022. p-ISSN 0216-5287 e-ISSN 2614-5839</w:t>
      </w:r>
    </w:p>
    <w:p w14:paraId="7618D0D3">
      <w:pPr>
        <w:keepNext w:val="0"/>
        <w:keepLines w:val="0"/>
        <w:pageBreakBefore w:val="0"/>
        <w:widowControl/>
        <w:tabs>
          <w:tab w:val="left" w:pos="720"/>
          <w:tab w:val="left" w:pos="7001"/>
        </w:tabs>
        <w:kinsoku/>
        <w:wordWrap/>
        <w:overflowPunct/>
        <w:topLinePunct w:val="0"/>
        <w:autoSpaceDE/>
        <w:autoSpaceDN/>
        <w:bidi w:val="0"/>
        <w:adjustRightInd/>
        <w:snapToGrid/>
        <w:spacing w:after="0" w:line="276" w:lineRule="auto"/>
        <w:ind w:left="709" w:hanging="709"/>
        <w:jc w:val="both"/>
        <w:textAlignment w:val="auto"/>
        <w:rPr>
          <w:rFonts w:ascii="Times New Roman" w:hAnsi="Times New Roman" w:cs="Times New Roman"/>
          <w:b w:val="0"/>
          <w:bCs w:val="0"/>
          <w:sz w:val="22"/>
          <w:szCs w:val="22"/>
          <w:lang w:val="en-US"/>
        </w:rPr>
      </w:pPr>
      <w:r>
        <w:rPr>
          <w:rFonts w:ascii="Times New Roman" w:hAnsi="Times New Roman" w:cs="Times New Roman"/>
          <w:b w:val="0"/>
          <w:bCs w:val="0"/>
          <w:sz w:val="22"/>
          <w:szCs w:val="22"/>
          <w:lang w:val="en-US"/>
        </w:rPr>
        <w:t>Riza Dwi Astriyani, Mohamad Saffi, 2022. Jurnal Akuntansi Vol.3 No.1. p-ISSN: 2723-6498 e-ISSN :2723-6501</w:t>
      </w:r>
    </w:p>
    <w:p w14:paraId="6570BB02">
      <w:pPr>
        <w:keepNext w:val="0"/>
        <w:keepLines w:val="0"/>
        <w:pageBreakBefore w:val="0"/>
        <w:widowControl/>
        <w:shd w:val="clear" w:color="auto" w:fill="FFFFFF"/>
        <w:kinsoku/>
        <w:wordWrap/>
        <w:overflowPunct/>
        <w:topLinePunct w:val="0"/>
        <w:autoSpaceDE/>
        <w:autoSpaceDN/>
        <w:bidi w:val="0"/>
        <w:adjustRightInd/>
        <w:snapToGrid/>
        <w:spacing w:after="0" w:line="276" w:lineRule="auto"/>
        <w:ind w:left="709" w:hanging="709"/>
        <w:jc w:val="both"/>
        <w:textAlignment w:val="auto"/>
        <w:rPr>
          <w:rFonts w:ascii="Times New Roman" w:hAnsi="Times New Roman" w:cs="Times New Roman"/>
          <w:b w:val="0"/>
          <w:bCs w:val="0"/>
          <w:sz w:val="22"/>
          <w:szCs w:val="22"/>
        </w:rPr>
      </w:pPr>
      <w:r>
        <w:rPr>
          <w:rFonts w:ascii="Times New Roman" w:hAnsi="Times New Roman" w:cs="Times New Roman"/>
          <w:b w:val="0"/>
          <w:bCs w:val="0"/>
          <w:sz w:val="22"/>
          <w:szCs w:val="22"/>
        </w:rPr>
        <w:t>Saputro, Yogie  Dahlly,  dkk.  2017. Analisis  Faktor-Faktor  Yang  Mempengaruhi  Utang  Luar  Negeri  Di</w:t>
      </w:r>
      <w:r>
        <w:rPr>
          <w:rFonts w:ascii="Times New Roman" w:hAnsi="Times New Roman" w:cs="Times New Roman"/>
          <w:b w:val="0"/>
          <w:bCs w:val="0"/>
          <w:sz w:val="22"/>
          <w:szCs w:val="22"/>
          <w:lang w:val="en-US"/>
        </w:rPr>
        <w:t xml:space="preserve"> </w:t>
      </w:r>
      <w:r>
        <w:rPr>
          <w:rFonts w:ascii="Times New Roman" w:hAnsi="Times New Roman" w:cs="Times New Roman"/>
          <w:b w:val="0"/>
          <w:bCs w:val="0"/>
          <w:sz w:val="22"/>
          <w:szCs w:val="22"/>
        </w:rPr>
        <w:t xml:space="preserve">Indonesia. </w:t>
      </w:r>
      <w:r>
        <w:rPr>
          <w:rFonts w:ascii="Times New Roman" w:hAnsi="Times New Roman" w:cs="Times New Roman"/>
          <w:b w:val="0"/>
          <w:bCs w:val="0"/>
          <w:sz w:val="22"/>
          <w:szCs w:val="22"/>
          <w:lang w:val="en-US"/>
        </w:rPr>
        <w:t xml:space="preserve"> </w:t>
      </w:r>
      <w:r>
        <w:rPr>
          <w:rFonts w:ascii="Times New Roman" w:hAnsi="Times New Roman" w:cs="Times New Roman"/>
          <w:b w:val="0"/>
          <w:bCs w:val="0"/>
          <w:sz w:val="22"/>
          <w:szCs w:val="22"/>
        </w:rPr>
        <w:t>Jurnal</w:t>
      </w:r>
      <w:r>
        <w:rPr>
          <w:rFonts w:ascii="Times New Roman" w:hAnsi="Times New Roman" w:cs="Times New Roman"/>
          <w:b w:val="0"/>
          <w:bCs w:val="0"/>
          <w:sz w:val="22"/>
          <w:szCs w:val="22"/>
          <w:lang w:val="en-US"/>
        </w:rPr>
        <w:t xml:space="preserve"> </w:t>
      </w:r>
      <w:r>
        <w:rPr>
          <w:rFonts w:ascii="Times New Roman" w:hAnsi="Times New Roman" w:cs="Times New Roman"/>
          <w:b w:val="0"/>
          <w:bCs w:val="0"/>
          <w:sz w:val="22"/>
          <w:szCs w:val="22"/>
        </w:rPr>
        <w:t>Ilmu Ekonomi</w:t>
      </w:r>
      <w:r>
        <w:rPr>
          <w:rFonts w:ascii="Times New Roman" w:hAnsi="Times New Roman" w:cs="Times New Roman"/>
          <w:b w:val="0"/>
          <w:bCs w:val="0"/>
          <w:sz w:val="22"/>
          <w:szCs w:val="22"/>
          <w:lang w:val="en-US"/>
        </w:rPr>
        <w:t xml:space="preserve">, </w:t>
      </w:r>
      <w:r>
        <w:rPr>
          <w:rFonts w:ascii="Times New Roman" w:hAnsi="Times New Roman" w:cs="Times New Roman"/>
          <w:b w:val="0"/>
          <w:bCs w:val="0"/>
          <w:sz w:val="22"/>
          <w:szCs w:val="22"/>
        </w:rPr>
        <w:t>Vol X Jilid</w:t>
      </w:r>
      <w:r>
        <w:rPr>
          <w:rFonts w:ascii="Times New Roman" w:hAnsi="Times New Roman" w:cs="Times New Roman"/>
          <w:b w:val="0"/>
          <w:bCs w:val="0"/>
          <w:sz w:val="22"/>
          <w:szCs w:val="22"/>
          <w:lang w:val="en-US"/>
        </w:rPr>
        <w:t xml:space="preserve"> </w:t>
      </w:r>
      <w:r>
        <w:rPr>
          <w:rFonts w:ascii="Times New Roman" w:hAnsi="Times New Roman" w:cs="Times New Roman"/>
          <w:b w:val="0"/>
          <w:bCs w:val="0"/>
          <w:sz w:val="22"/>
          <w:szCs w:val="22"/>
        </w:rPr>
        <w:t>X 2017 Hal. 45 –59.</w:t>
      </w:r>
    </w:p>
    <w:p w14:paraId="734BB14D">
      <w:pPr>
        <w:keepNext w:val="0"/>
        <w:keepLines w:val="0"/>
        <w:pageBreakBefore w:val="0"/>
        <w:widowControl/>
        <w:shd w:val="clear" w:color="auto" w:fill="FFFFFF"/>
        <w:kinsoku/>
        <w:wordWrap/>
        <w:overflowPunct/>
        <w:topLinePunct w:val="0"/>
        <w:autoSpaceDE/>
        <w:autoSpaceDN/>
        <w:bidi w:val="0"/>
        <w:adjustRightInd/>
        <w:snapToGrid/>
        <w:spacing w:after="0" w:line="276" w:lineRule="auto"/>
        <w:ind w:left="709" w:hanging="709"/>
        <w:jc w:val="both"/>
        <w:textAlignment w:val="auto"/>
        <w:rPr>
          <w:rFonts w:ascii="Times New Roman" w:hAnsi="Times New Roman" w:cs="Times New Roman"/>
          <w:b w:val="0"/>
          <w:bCs w:val="0"/>
          <w:sz w:val="22"/>
          <w:szCs w:val="22"/>
          <w:lang w:val="en-US"/>
        </w:rPr>
      </w:pPr>
      <w:r>
        <w:rPr>
          <w:rFonts w:ascii="Times New Roman" w:hAnsi="Times New Roman" w:cs="Times New Roman"/>
          <w:b w:val="0"/>
          <w:bCs w:val="0"/>
          <w:sz w:val="22"/>
          <w:szCs w:val="22"/>
          <w:lang w:val="en-US"/>
        </w:rPr>
        <w:t>Sri Wulandari &amp; Putri Nurmala (2019) Pengaruh Ukuran Perusahaan, Intensitas Rapat Komite Audit, Dan Ukuran Komite Audit Terhadap Biaya Audit.Jurnal Ilmiah Akuntansi Universitas Pamulang 7 (2), 106</w:t>
      </w:r>
    </w:p>
    <w:p w14:paraId="6FA6D220">
      <w:pPr>
        <w:keepNext w:val="0"/>
        <w:keepLines w:val="0"/>
        <w:pageBreakBefore w:val="0"/>
        <w:widowControl/>
        <w:shd w:val="clear" w:color="auto" w:fill="FFFFFF"/>
        <w:kinsoku/>
        <w:wordWrap/>
        <w:overflowPunct/>
        <w:topLinePunct w:val="0"/>
        <w:autoSpaceDE/>
        <w:autoSpaceDN/>
        <w:bidi w:val="0"/>
        <w:adjustRightInd/>
        <w:snapToGrid/>
        <w:spacing w:after="0" w:line="276" w:lineRule="auto"/>
        <w:ind w:left="709" w:hanging="709"/>
        <w:jc w:val="both"/>
        <w:textAlignment w:val="auto"/>
        <w:rPr>
          <w:rFonts w:ascii="Times New Roman" w:hAnsi="Times New Roman" w:cs="Times New Roman"/>
          <w:b w:val="0"/>
          <w:bCs w:val="0"/>
          <w:sz w:val="22"/>
          <w:szCs w:val="22"/>
          <w:shd w:val="clear" w:color="auto" w:fill="FFFFFF"/>
          <w:lang w:val="en-US"/>
        </w:rPr>
      </w:pPr>
      <w:r>
        <w:rPr>
          <w:rFonts w:ascii="Times New Roman" w:hAnsi="Times New Roman" w:cs="Times New Roman"/>
          <w:b w:val="0"/>
          <w:bCs w:val="0"/>
          <w:sz w:val="22"/>
          <w:szCs w:val="22"/>
          <w:shd w:val="clear" w:color="auto" w:fill="FFFFFF"/>
        </w:rPr>
        <w:t>T.Pohan, H. (2009). Analisis Pengaruh Kepemilikan Institusi, Rasio Tobin Q, Akrual Pilihan, Tarif Efektif Pajak, Dan Biaya Pajak Ditunda Terhadap Penghindaran Pajak Pada Perusahaan Publik. 4(2)</w:t>
      </w:r>
    </w:p>
    <w:p w14:paraId="7D4FB919">
      <w:pPr>
        <w:keepNext w:val="0"/>
        <w:keepLines w:val="0"/>
        <w:pageBreakBefore w:val="0"/>
        <w:widowControl/>
        <w:kinsoku/>
        <w:wordWrap/>
        <w:overflowPunct/>
        <w:topLinePunct w:val="0"/>
        <w:autoSpaceDE/>
        <w:autoSpaceDN/>
        <w:bidi w:val="0"/>
        <w:adjustRightInd/>
        <w:snapToGrid/>
        <w:spacing w:after="0" w:line="276" w:lineRule="auto"/>
        <w:ind w:left="709" w:hanging="709"/>
        <w:jc w:val="both"/>
        <w:textAlignment w:val="auto"/>
        <w:rPr>
          <w:rFonts w:ascii="Times New Roman" w:hAnsi="Times New Roman" w:cs="Times New Roman"/>
          <w:b w:val="0"/>
          <w:bCs w:val="0"/>
          <w:sz w:val="22"/>
          <w:szCs w:val="22"/>
          <w:lang w:val="en-US"/>
        </w:rPr>
      </w:pPr>
      <w:r>
        <w:rPr>
          <w:rFonts w:ascii="Times New Roman" w:hAnsi="Times New Roman" w:cs="Times New Roman"/>
          <w:b w:val="0"/>
          <w:bCs w:val="0"/>
          <w:sz w:val="22"/>
          <w:szCs w:val="22"/>
          <w:lang w:val="en-US"/>
        </w:rPr>
        <w:t>Tya Tira Febbyana, Ari, Eko Sudjawoto, 2021. Jurnal Adminstrasi Dan BisnisVol. 15 No. 2 Desember 2021 ISSN 1987-726X EISSN 2715-0216</w:t>
      </w:r>
    </w:p>
    <w:p w14:paraId="5DBAB7B9">
      <w:pPr>
        <w:keepNext w:val="0"/>
        <w:keepLines w:val="0"/>
        <w:pageBreakBefore w:val="0"/>
        <w:widowControl/>
        <w:kinsoku/>
        <w:wordWrap/>
        <w:overflowPunct/>
        <w:topLinePunct w:val="0"/>
        <w:autoSpaceDE/>
        <w:autoSpaceDN/>
        <w:bidi w:val="0"/>
        <w:adjustRightInd/>
        <w:snapToGrid/>
        <w:spacing w:after="0" w:line="276" w:lineRule="auto"/>
        <w:ind w:left="709" w:hanging="709"/>
        <w:jc w:val="both"/>
        <w:textAlignment w:val="auto"/>
        <w:rPr>
          <w:rFonts w:ascii="Times New Roman" w:hAnsi="Times New Roman" w:cs="Times New Roman"/>
          <w:b w:val="0"/>
          <w:bCs w:val="0"/>
          <w:sz w:val="22"/>
          <w:szCs w:val="22"/>
          <w:lang w:val="en-US"/>
        </w:rPr>
      </w:pPr>
      <w:r>
        <w:rPr>
          <w:rFonts w:ascii="Times New Roman" w:hAnsi="Times New Roman" w:cs="Times New Roman"/>
          <w:b w:val="0"/>
          <w:bCs w:val="0"/>
          <w:sz w:val="22"/>
          <w:szCs w:val="22"/>
          <w:lang w:val="en-US"/>
        </w:rPr>
        <w:t>Utami Tri(2021) Pengaruh Pembiayaan Bagi Hasil Dan Tingkat Kesehatan Bank Terhadap Kinerja Keuangan Dengan Pembiayaan Bermasalah Sebagai Variabel Pemoderasi.Jurnal Nomimal Vol.10 No.2</w:t>
      </w:r>
    </w:p>
    <w:p w14:paraId="59CEBA13">
      <w:pPr>
        <w:keepNext w:val="0"/>
        <w:keepLines w:val="0"/>
        <w:pageBreakBefore w:val="0"/>
        <w:widowControl/>
        <w:kinsoku/>
        <w:wordWrap/>
        <w:overflowPunct/>
        <w:topLinePunct w:val="0"/>
        <w:autoSpaceDE/>
        <w:autoSpaceDN/>
        <w:bidi w:val="0"/>
        <w:adjustRightInd/>
        <w:snapToGrid/>
        <w:spacing w:after="0" w:line="276" w:lineRule="auto"/>
        <w:ind w:left="709" w:hanging="709"/>
        <w:jc w:val="both"/>
        <w:textAlignment w:val="auto"/>
        <w:rPr>
          <w:rFonts w:ascii="Times New Roman" w:hAnsi="Times New Roman" w:cs="Times New Roman"/>
          <w:b w:val="0"/>
          <w:bCs w:val="0"/>
          <w:sz w:val="22"/>
          <w:szCs w:val="22"/>
          <w:lang w:val="en-US"/>
        </w:rPr>
      </w:pPr>
      <w:r>
        <w:rPr>
          <w:rFonts w:ascii="Times New Roman" w:hAnsi="Times New Roman" w:cs="Times New Roman"/>
          <w:b w:val="0"/>
          <w:bCs w:val="0"/>
          <w:sz w:val="22"/>
          <w:szCs w:val="22"/>
          <w:lang w:val="en-US"/>
        </w:rPr>
        <w:t>Windaryani &amp; Jati ( 2020 ), E- jurnal Akuntansi Vol. 30 No.2, Hal 375-387, E-ISSN : 2302- 8556</w:t>
      </w:r>
    </w:p>
    <w:p w14:paraId="337908FB">
      <w:pPr>
        <w:spacing w:after="0" w:line="360" w:lineRule="auto"/>
        <w:ind w:left="709" w:hanging="709"/>
        <w:jc w:val="both"/>
        <w:rPr>
          <w:rFonts w:ascii="Times New Roman" w:hAnsi="Times New Roman" w:cs="Times New Roman"/>
          <w:sz w:val="22"/>
          <w:szCs w:val="22"/>
          <w:lang w:val="en-US"/>
        </w:rPr>
      </w:pPr>
    </w:p>
    <w:p w14:paraId="03EC01C2">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jc w:val="both"/>
        <w:rPr>
          <w:rFonts w:hint="default" w:ascii="Times New Roman" w:hAnsi="Times New Roman" w:cs="Times New Roman"/>
          <w:color w:val="000000"/>
          <w:sz w:val="24"/>
          <w:szCs w:val="24"/>
          <w:bdr w:val="none" w:color="auto" w:sz="0" w:space="0"/>
          <w:shd w:val="clear" w:fill="FFFFFF"/>
        </w:rPr>
      </w:pPr>
    </w:p>
    <w:p w14:paraId="2CEE36FA">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jc w:val="left"/>
        <w:rPr>
          <w:rFonts w:hint="default" w:ascii="Times New Roman" w:hAnsi="Times New Roman" w:cs="Times New Roman"/>
          <w:color w:val="000000"/>
          <w:sz w:val="24"/>
          <w:szCs w:val="24"/>
        </w:rPr>
      </w:pPr>
    </w:p>
    <w:sectPr>
      <w:pgSz w:w="11906" w:h="16839"/>
      <w:pgMar w:top="1440" w:right="1800" w:bottom="1440" w:left="1800" w:header="851" w:footer="992" w:gutter="0"/>
      <w:cols w:space="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auto"/>
    <w:pitch w:val="default"/>
    <w:sig w:usb0="E4002EFF" w:usb1="C200247B" w:usb2="00000009" w:usb3="00000000" w:csb0="200001FF" w:csb1="00000000"/>
  </w:font>
  <w:font w:name="Arial Rounded MT Bold">
    <w:panose1 w:val="020F0704030504030204"/>
    <w:charset w:val="00"/>
    <w:family w:val="auto"/>
    <w:pitch w:val="default"/>
    <w:sig w:usb0="00000003" w:usb1="00000000" w:usb2="00000000" w:usb3="00000000" w:csb0="2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56A04B9"/>
    <w:multiLevelType w:val="multilevel"/>
    <w:tmpl w:val="256A04B9"/>
    <w:lvl w:ilvl="0" w:tentative="0">
      <w:start w:val="1"/>
      <w:numFmt w:val="decimal"/>
      <w:pStyle w:val="13"/>
      <w:lvlText w:val="4.3.%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29E16FDE"/>
    <w:multiLevelType w:val="singleLevel"/>
    <w:tmpl w:val="29E16FDE"/>
    <w:lvl w:ilvl="0" w:tentative="0">
      <w:start w:val="1"/>
      <w:numFmt w:val="upperRoman"/>
      <w:suff w:val="space"/>
      <w:lvlText w:val="%1."/>
      <w:lvlJc w:val="left"/>
    </w:lvl>
  </w:abstractNum>
  <w:abstractNum w:abstractNumId="2">
    <w:nsid w:val="416D456D"/>
    <w:multiLevelType w:val="multilevel"/>
    <w:tmpl w:val="416D456D"/>
    <w:lvl w:ilvl="0" w:tentative="0">
      <w:start w:val="1"/>
      <w:numFmt w:val="decimal"/>
      <w:pStyle w:val="14"/>
      <w:lvlText w:val="4.%1"/>
      <w:lvlJc w:val="left"/>
      <w:pPr>
        <w:ind w:left="720" w:hanging="360"/>
      </w:pPr>
      <w:rPr>
        <w:rFonts w:hint="default" w:ascii="Times New Roman" w:hAnsi="Times New Roman" w:cs="Times New Roman"/>
        <w:b/>
        <w:bCs/>
        <w:i w:val="0"/>
        <w:caps w:val="0"/>
        <w:strike w:val="0"/>
        <w:dstrike w:val="0"/>
        <w:vanish w:val="0"/>
        <w:color w:val="000000"/>
        <w:sz w:val="24"/>
        <w:vertAlign w:val="baseline"/>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69A70989"/>
    <w:multiLevelType w:val="multilevel"/>
    <w:tmpl w:val="69A70989"/>
    <w:lvl w:ilvl="0" w:tentative="0">
      <w:start w:val="1"/>
      <w:numFmt w:val="decimal"/>
      <w:lvlText w:val="%1."/>
      <w:lvlJc w:val="left"/>
      <w:pPr>
        <w:ind w:left="1571" w:hanging="360"/>
      </w:pPr>
      <w:rPr>
        <w:rFonts w:hint="default" w:ascii="Times New Roman" w:hAnsi="Times New Roman" w:cs="Times New Roman"/>
        <w:spacing w:val="0"/>
        <w:w w:val="100"/>
        <w:kern w:val="0"/>
        <w:position w:val="0"/>
        <w:sz w:val="24"/>
      </w:rPr>
    </w:lvl>
    <w:lvl w:ilvl="1" w:tentative="0">
      <w:start w:val="1"/>
      <w:numFmt w:val="lowerLetter"/>
      <w:lvlText w:val="%2."/>
      <w:lvlJc w:val="left"/>
      <w:pPr>
        <w:ind w:left="2291" w:hanging="360"/>
      </w:pPr>
    </w:lvl>
    <w:lvl w:ilvl="2" w:tentative="0">
      <w:start w:val="1"/>
      <w:numFmt w:val="lowerRoman"/>
      <w:lvlText w:val="%3."/>
      <w:lvlJc w:val="right"/>
      <w:pPr>
        <w:ind w:left="3011" w:hanging="180"/>
      </w:pPr>
    </w:lvl>
    <w:lvl w:ilvl="3" w:tentative="0">
      <w:start w:val="1"/>
      <w:numFmt w:val="decimal"/>
      <w:lvlText w:val="%4."/>
      <w:lvlJc w:val="left"/>
      <w:pPr>
        <w:ind w:left="3731" w:hanging="360"/>
      </w:pPr>
    </w:lvl>
    <w:lvl w:ilvl="4" w:tentative="0">
      <w:start w:val="1"/>
      <w:numFmt w:val="lowerLetter"/>
      <w:lvlText w:val="%5."/>
      <w:lvlJc w:val="left"/>
      <w:pPr>
        <w:ind w:left="4451" w:hanging="360"/>
      </w:pPr>
    </w:lvl>
    <w:lvl w:ilvl="5" w:tentative="0">
      <w:start w:val="1"/>
      <w:numFmt w:val="lowerRoman"/>
      <w:lvlText w:val="%6."/>
      <w:lvlJc w:val="right"/>
      <w:pPr>
        <w:ind w:left="5171" w:hanging="180"/>
      </w:pPr>
    </w:lvl>
    <w:lvl w:ilvl="6" w:tentative="0">
      <w:start w:val="1"/>
      <w:numFmt w:val="decimal"/>
      <w:lvlText w:val="%7."/>
      <w:lvlJc w:val="left"/>
      <w:pPr>
        <w:ind w:left="5891" w:hanging="360"/>
      </w:pPr>
    </w:lvl>
    <w:lvl w:ilvl="7" w:tentative="0">
      <w:start w:val="1"/>
      <w:numFmt w:val="lowerLetter"/>
      <w:lvlText w:val="%8."/>
      <w:lvlJc w:val="left"/>
      <w:pPr>
        <w:ind w:left="6611" w:hanging="360"/>
      </w:pPr>
    </w:lvl>
    <w:lvl w:ilvl="8" w:tentative="0">
      <w:start w:val="1"/>
      <w:numFmt w:val="lowerRoman"/>
      <w:lvlText w:val="%9."/>
      <w:lvlJc w:val="right"/>
      <w:pPr>
        <w:ind w:left="7331"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web"/>
  <w:zoom w:percent="82"/>
  <w:bordersDoNotSurroundHeader w:val="0"/>
  <w:bordersDoNotSurroundFooter w:val="0"/>
  <w:documentProtection w:enforcement="0"/>
  <w:defaultTabStop w:val="420"/>
  <w:displayHorizontalDrawingGridEvery w:val="1"/>
  <w:displayVerticalDrawingGridEvery w:val="1"/>
  <w:noPunctuationKerning w:val="1"/>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4930244"/>
    <w:rsid w:val="56D05B1A"/>
    <w:rsid w:val="63FB727B"/>
    <w:rsid w:val="658C3A0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left"/>
    </w:pPr>
    <w:rPr>
      <w:rFonts w:asciiTheme="minorHAnsi" w:hAnsiTheme="minorHAnsi" w:eastAsiaTheme="minorEastAsia" w:cstheme="minorBidi"/>
      <w:kern w:val="0"/>
      <w:sz w:val="24"/>
      <w:szCs w:val="24"/>
      <w:lang w:val="en-US" w:eastAsia="zh-CN" w:bidi="ar"/>
    </w:rPr>
  </w:style>
  <w:style w:type="paragraph" w:styleId="2">
    <w:name w:val="heading 1"/>
    <w:basedOn w:val="1"/>
    <w:next w:val="1"/>
    <w:qFormat/>
    <w:uiPriority w:val="0"/>
    <w:pPr>
      <w:spacing w:before="0" w:beforeAutospacing="1" w:after="0" w:afterAutospacing="1"/>
      <w:jc w:val="left"/>
    </w:pPr>
    <w:rPr>
      <w:rFonts w:hint="eastAsia" w:ascii="SimSun" w:hAnsi="SimSun" w:eastAsia="SimSun" w:cs="SimSun"/>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SimSun" w:hAnsi="SimSun" w:eastAsia="SimSun" w:cs="SimSun"/>
      <w:b/>
      <w:bCs/>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SimSun" w:hAnsi="SimSun" w:eastAsia="SimSun" w:cs="SimSun"/>
      <w:b/>
      <w:bCs/>
      <w:kern w:val="0"/>
      <w:sz w:val="26"/>
      <w:szCs w:val="26"/>
      <w:lang w:val="en-US" w:eastAsia="zh-CN" w:bidi="ar"/>
    </w:rPr>
  </w:style>
  <w:style w:type="paragraph" w:styleId="5">
    <w:name w:val="heading 4"/>
    <w:basedOn w:val="1"/>
    <w:next w:val="1"/>
    <w:semiHidden/>
    <w:unhideWhenUsed/>
    <w:qFormat/>
    <w:uiPriority w:val="0"/>
    <w:pPr>
      <w:spacing w:before="0" w:beforeAutospacing="1" w:after="0" w:afterAutospacing="1"/>
      <w:jc w:val="left"/>
    </w:pPr>
    <w:rPr>
      <w:rFonts w:hint="eastAsia" w:ascii="SimSun" w:hAnsi="SimSun" w:eastAsia="SimSun" w:cs="SimSun"/>
      <w:b/>
      <w:bCs/>
      <w:kern w:val="0"/>
      <w:sz w:val="24"/>
      <w:szCs w:val="24"/>
      <w:lang w:val="en-US" w:eastAsia="zh-CN" w:bidi="ar"/>
    </w:rPr>
  </w:style>
  <w:style w:type="paragraph" w:styleId="6">
    <w:name w:val="heading 5"/>
    <w:basedOn w:val="1"/>
    <w:next w:val="1"/>
    <w:semiHidden/>
    <w:unhideWhenUsed/>
    <w:qFormat/>
    <w:uiPriority w:val="0"/>
    <w:pPr>
      <w:spacing w:before="0" w:beforeAutospacing="1" w:after="0" w:afterAutospacing="1"/>
      <w:jc w:val="left"/>
    </w:pPr>
    <w:rPr>
      <w:rFonts w:hint="eastAsia" w:ascii="SimSun" w:hAnsi="SimSun" w:eastAsia="SimSun" w:cs="SimSun"/>
      <w:b/>
      <w:bCs/>
      <w:kern w:val="0"/>
      <w:sz w:val="20"/>
      <w:szCs w:val="20"/>
      <w:lang w:val="en-US" w:eastAsia="zh-CN" w:bidi="ar"/>
    </w:rPr>
  </w:style>
  <w:style w:type="paragraph" w:styleId="7">
    <w:name w:val="heading 6"/>
    <w:basedOn w:val="1"/>
    <w:next w:val="1"/>
    <w:semiHidden/>
    <w:unhideWhenUsed/>
    <w:qFormat/>
    <w:uiPriority w:val="0"/>
    <w:pPr>
      <w:spacing w:before="0" w:beforeAutospacing="1" w:after="0" w:afterAutospacing="1"/>
      <w:jc w:val="left"/>
    </w:pPr>
    <w:rPr>
      <w:rFonts w:hint="eastAsia" w:ascii="SimSun" w:hAnsi="SimSun" w:eastAsia="SimSun" w:cs="SimSun"/>
      <w:b/>
      <w:bCs/>
      <w:kern w:val="0"/>
      <w:sz w:val="14"/>
      <w:szCs w:val="14"/>
      <w:lang w:val="en-US" w:eastAsia="zh-CN" w:bidi="ar"/>
    </w:rPr>
  </w:style>
  <w:style w:type="character" w:default="1" w:styleId="8">
    <w:name w:val="Default Paragraph Font"/>
    <w:semiHidden/>
    <w:uiPriority w:val="0"/>
  </w:style>
  <w:style w:type="table" w:default="1" w:styleId="9">
    <w:name w:val="Normal Table"/>
    <w:semiHidden/>
    <w:uiPriority w:val="0"/>
    <w:tblPr>
      <w:tblCellMar>
        <w:top w:w="0" w:type="dxa"/>
        <w:left w:w="108" w:type="dxa"/>
        <w:bottom w:w="0" w:type="dxa"/>
        <w:right w:w="108" w:type="dxa"/>
      </w:tblCellMar>
    </w:tblPr>
  </w:style>
  <w:style w:type="paragraph" w:styleId="10">
    <w:name w:val="Body Text"/>
    <w:basedOn w:val="1"/>
    <w:qFormat/>
    <w:uiPriority w:val="1"/>
    <w:pPr>
      <w:widowControl w:val="0"/>
      <w:autoSpaceDE w:val="0"/>
      <w:autoSpaceDN w:val="0"/>
      <w:spacing w:after="0" w:line="240" w:lineRule="auto"/>
    </w:pPr>
    <w:rPr>
      <w:rFonts w:ascii="Times New Roman" w:hAnsi="Times New Roman" w:eastAsia="Times New Roman" w:cs="Times New Roman"/>
      <w:sz w:val="24"/>
      <w:szCs w:val="24"/>
      <w:lang w:val="en-US"/>
    </w:rPr>
  </w:style>
  <w:style w:type="paragraph" w:styleId="11">
    <w:name w:val="HTML Preformatted"/>
    <w:basedOn w:val="1"/>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SimSun" w:hAnsi="SimSun" w:eastAsia="SimSun" w:cs="SimSun"/>
      <w:kern w:val="0"/>
      <w:sz w:val="24"/>
      <w:szCs w:val="24"/>
      <w:lang w:val="en-US" w:eastAsia="zh-CN" w:bidi="ar"/>
    </w:rPr>
  </w:style>
  <w:style w:type="paragraph" w:styleId="12">
    <w:name w:val="Normal (Web)"/>
    <w:basedOn w:val="1"/>
    <w:uiPriority w:val="0"/>
    <w:pPr>
      <w:spacing w:before="0" w:beforeAutospacing="1" w:after="0" w:afterAutospacing="1"/>
      <w:ind w:left="0" w:right="0"/>
      <w:jc w:val="left"/>
    </w:pPr>
    <w:rPr>
      <w:kern w:val="0"/>
      <w:sz w:val="24"/>
      <w:szCs w:val="24"/>
      <w:lang w:val="en-US" w:eastAsia="zh-CN" w:bidi="ar"/>
    </w:rPr>
  </w:style>
  <w:style w:type="paragraph" w:customStyle="1" w:styleId="13">
    <w:name w:val="4.3.1 Format OK"/>
    <w:basedOn w:val="14"/>
    <w:qFormat/>
    <w:uiPriority w:val="0"/>
    <w:pPr>
      <w:numPr>
        <w:ilvl w:val="0"/>
        <w:numId w:val="1"/>
      </w:numPr>
      <w:spacing w:before="0"/>
      <w:ind w:left="567" w:hanging="567"/>
    </w:pPr>
  </w:style>
  <w:style w:type="paragraph" w:customStyle="1" w:styleId="14">
    <w:name w:val="SUB BAB IV Format"/>
    <w:basedOn w:val="15"/>
    <w:qFormat/>
    <w:uiPriority w:val="0"/>
    <w:pPr>
      <w:numPr>
        <w:ilvl w:val="0"/>
        <w:numId w:val="2"/>
      </w:numPr>
      <w:spacing w:before="240"/>
      <w:ind w:left="567" w:hanging="567"/>
    </w:pPr>
    <w:rPr>
      <w:b/>
      <w:sz w:val="24"/>
    </w:rPr>
  </w:style>
  <w:style w:type="paragraph" w:customStyle="1" w:styleId="15">
    <w:name w:val="Paragraf Format"/>
    <w:basedOn w:val="16"/>
    <w:qFormat/>
    <w:uiPriority w:val="0"/>
    <w:pPr>
      <w:ind w:firstLine="851"/>
      <w:jc w:val="both"/>
    </w:pPr>
    <w:rPr>
      <w:b w:val="0"/>
    </w:rPr>
  </w:style>
  <w:style w:type="paragraph" w:customStyle="1" w:styleId="16">
    <w:name w:val="BAB Format"/>
    <w:basedOn w:val="1"/>
    <w:qFormat/>
    <w:uiPriority w:val="0"/>
    <w:pPr>
      <w:widowControl w:val="0"/>
      <w:spacing w:after="0" w:line="480" w:lineRule="auto"/>
      <w:jc w:val="center"/>
    </w:pPr>
    <w:rPr>
      <w:rFonts w:ascii="Times New Roman" w:hAnsi="Times New Roman" w:eastAsia="Calibri" w:cs="Times New Roman"/>
      <w:b/>
      <w:sz w:val="28"/>
      <w:lang w:val="zh-CN"/>
    </w:rPr>
  </w:style>
  <w:style w:type="paragraph" w:customStyle="1" w:styleId="17">
    <w:name w:val="Paragraf"/>
    <w:basedOn w:val="1"/>
    <w:qFormat/>
    <w:uiPriority w:val="0"/>
    <w:pPr>
      <w:widowControl w:val="0"/>
      <w:spacing w:after="0" w:line="480" w:lineRule="auto"/>
      <w:ind w:firstLine="851"/>
      <w:jc w:val="both"/>
    </w:pPr>
    <w:rPr>
      <w:rFonts w:ascii="Times New Roman" w:hAnsi="Times New Roman" w:eastAsia="Calibri" w:cs="Times New Roman"/>
      <w:sz w:val="24"/>
      <w:szCs w:val="24"/>
      <w:lang w:val="en-U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3</Pages>
  <TotalTime>7</TotalTime>
  <ScaleCrop>false</ScaleCrop>
  <LinksUpToDate>false</LinksUpToDate>
  <Application>WPS Office_12.2.0.17545_F1E327BC-269C-435d-A152-05C5408002CA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2024-08-24T17:52:12Z</dcterms:created>
  <dc:creator>lapto</dc:creator>
  <cp:lastModifiedBy>Mavin Seda</cp:lastModifiedBy>
  <dcterms:modified xsi:type="dcterms:W3CDTF">2024-08-25T13:05:35Z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1033-12.2.0.17545</vt:lpwstr>
  </property>
  <property fmtid="{D5CDD505-2E9C-101B-9397-08002B2CF9AE}" pid="3" name="ICV">
    <vt:lpwstr>8B4FB81D47E74F5485B8F3EBE3AADE86_13</vt:lpwstr>
  </property>
</Properties>
</file>