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6A17" w:rsidRDefault="00473319">
      <w:pPr>
        <w:tabs>
          <w:tab w:val="left" w:pos="5424"/>
        </w:tabs>
        <w:spacing w:before="77"/>
        <w:ind w:left="6925" w:right="446" w:hanging="6510"/>
        <w:rPr>
          <w:i/>
          <w:sz w:val="24"/>
        </w:rPr>
      </w:pPr>
      <w:r>
        <w:rPr>
          <w:i/>
          <w:sz w:val="24"/>
        </w:rPr>
        <w:t>Jurnal</w:t>
      </w:r>
      <w:r>
        <w:rPr>
          <w:i/>
          <w:spacing w:val="-3"/>
          <w:sz w:val="24"/>
        </w:rPr>
        <w:t xml:space="preserve"> </w:t>
      </w:r>
      <w:r>
        <w:rPr>
          <w:i/>
          <w:sz w:val="24"/>
        </w:rPr>
        <w:t>Bisnis</w:t>
      </w:r>
      <w:r>
        <w:rPr>
          <w:i/>
          <w:spacing w:val="-3"/>
          <w:sz w:val="24"/>
        </w:rPr>
        <w:t xml:space="preserve"> </w:t>
      </w:r>
      <w:r>
        <w:rPr>
          <w:i/>
          <w:sz w:val="24"/>
        </w:rPr>
        <w:t>Net</w:t>
      </w:r>
      <w:r>
        <w:rPr>
          <w:i/>
          <w:spacing w:val="55"/>
          <w:sz w:val="24"/>
        </w:rPr>
        <w:t xml:space="preserve"> </w:t>
      </w:r>
      <w:r>
        <w:rPr>
          <w:i/>
          <w:sz w:val="24"/>
        </w:rPr>
        <w:t>Volume</w:t>
      </w:r>
      <w:r>
        <w:rPr>
          <w:i/>
          <w:spacing w:val="-3"/>
          <w:sz w:val="24"/>
        </w:rPr>
        <w:t xml:space="preserve"> </w:t>
      </w:r>
      <w:r>
        <w:rPr>
          <w:i/>
          <w:sz w:val="24"/>
        </w:rPr>
        <w:t>:</w:t>
      </w:r>
      <w:r>
        <w:rPr>
          <w:i/>
          <w:spacing w:val="113"/>
          <w:sz w:val="24"/>
        </w:rPr>
        <w:t xml:space="preserve"> </w:t>
      </w:r>
      <w:r>
        <w:rPr>
          <w:i/>
          <w:sz w:val="24"/>
        </w:rPr>
        <w:t>No.</w:t>
      </w:r>
      <w:r>
        <w:rPr>
          <w:i/>
          <w:sz w:val="24"/>
        </w:rPr>
        <w:tab/>
        <w:t>Bulan,</w:t>
      </w:r>
      <w:r>
        <w:rPr>
          <w:i/>
          <w:spacing w:val="1"/>
          <w:sz w:val="24"/>
        </w:rPr>
        <w:t xml:space="preserve"> </w:t>
      </w:r>
      <w:r>
        <w:rPr>
          <w:i/>
          <w:sz w:val="24"/>
        </w:rPr>
        <w:t>Tahun | ISSN: 2621 -3982</w:t>
      </w:r>
      <w:r>
        <w:rPr>
          <w:i/>
          <w:spacing w:val="1"/>
          <w:sz w:val="24"/>
        </w:rPr>
        <w:t xml:space="preserve"> </w:t>
      </w:r>
      <w:r>
        <w:rPr>
          <w:i/>
          <w:sz w:val="24"/>
        </w:rPr>
        <w:t>EISSN:</w:t>
      </w:r>
      <w:r>
        <w:rPr>
          <w:i/>
          <w:spacing w:val="-8"/>
          <w:sz w:val="24"/>
        </w:rPr>
        <w:t xml:space="preserve"> </w:t>
      </w:r>
      <w:r>
        <w:rPr>
          <w:i/>
          <w:sz w:val="24"/>
        </w:rPr>
        <w:t>2722-</w:t>
      </w:r>
      <w:r>
        <w:rPr>
          <w:i/>
          <w:spacing w:val="-7"/>
          <w:sz w:val="24"/>
        </w:rPr>
        <w:t xml:space="preserve"> </w:t>
      </w:r>
      <w:r>
        <w:rPr>
          <w:i/>
          <w:sz w:val="24"/>
        </w:rPr>
        <w:t>3574</w:t>
      </w:r>
    </w:p>
    <w:p w:rsidR="00186A17" w:rsidRDefault="00A06C36">
      <w:pPr>
        <w:pStyle w:val="BodyText"/>
        <w:spacing w:line="20" w:lineRule="exact"/>
        <w:ind w:left="110"/>
        <w:rPr>
          <w:sz w:val="2"/>
        </w:rPr>
      </w:pPr>
      <w:r>
        <w:rPr>
          <w:sz w:val="2"/>
        </w:rPr>
      </w:r>
      <w:r>
        <w:rPr>
          <w:sz w:val="2"/>
        </w:rPr>
        <w:pict>
          <v:group id="_x0000_s1026" style="width:449pt;height:1pt;mso-position-horizontal-relative:char;mso-position-vertical-relative:line" coordsize="8980,20">
            <v:line id="_x0000_s1027" style="position:absolute" from="0,10" to="8980,10" strokeweight="1pt"/>
            <w10:wrap type="none"/>
            <w10:anchorlock/>
          </v:group>
        </w:pict>
      </w:r>
    </w:p>
    <w:p w:rsidR="00186A17" w:rsidRPr="00B74B1A" w:rsidRDefault="00B74B1A">
      <w:pPr>
        <w:pStyle w:val="Title"/>
      </w:pPr>
      <w:r>
        <w:t xml:space="preserve">PENGARUH </w:t>
      </w:r>
      <w:r>
        <w:rPr>
          <w:i/>
        </w:rPr>
        <w:t xml:space="preserve">SALES GROWTH </w:t>
      </w:r>
      <w:r>
        <w:t xml:space="preserve">DAN KEPEMILIKAN INSTITUSIONAL TERHADAP </w:t>
      </w:r>
      <w:r>
        <w:rPr>
          <w:i/>
        </w:rPr>
        <w:t xml:space="preserve">TAX AVOIDANCE </w:t>
      </w:r>
      <w:r>
        <w:t xml:space="preserve">DENGAN </w:t>
      </w:r>
      <w:r>
        <w:rPr>
          <w:i/>
        </w:rPr>
        <w:t xml:space="preserve">LEVERAGE </w:t>
      </w:r>
      <w:r>
        <w:t>SEBAGAI PEMODERASI</w:t>
      </w:r>
    </w:p>
    <w:p w:rsidR="00186A17" w:rsidRDefault="00186A17">
      <w:pPr>
        <w:pStyle w:val="BodyText"/>
        <w:rPr>
          <w:b/>
          <w:sz w:val="26"/>
        </w:rPr>
      </w:pPr>
    </w:p>
    <w:p w:rsidR="00186A17" w:rsidRDefault="00B74B1A">
      <w:pPr>
        <w:spacing w:before="184"/>
        <w:ind w:left="1726" w:right="1738"/>
        <w:jc w:val="center"/>
        <w:rPr>
          <w:b/>
          <w:sz w:val="20"/>
        </w:rPr>
      </w:pPr>
      <w:r>
        <w:rPr>
          <w:b/>
          <w:sz w:val="20"/>
        </w:rPr>
        <w:t>Nabilah Putri Syahirah</w:t>
      </w:r>
      <w:r w:rsidR="00473319">
        <w:rPr>
          <w:b/>
          <w:sz w:val="20"/>
          <w:vertAlign w:val="superscript"/>
        </w:rPr>
        <w:t>1</w:t>
      </w:r>
      <w:r w:rsidR="00473319">
        <w:rPr>
          <w:b/>
          <w:sz w:val="20"/>
        </w:rPr>
        <w:t>,</w:t>
      </w:r>
      <w:r w:rsidR="00473319">
        <w:rPr>
          <w:b/>
          <w:spacing w:val="-8"/>
          <w:sz w:val="20"/>
        </w:rPr>
        <w:t xml:space="preserve"> </w:t>
      </w:r>
      <w:r w:rsidR="00476634">
        <w:rPr>
          <w:b/>
          <w:sz w:val="20"/>
        </w:rPr>
        <w:t>Listya Sugiya</w:t>
      </w:r>
      <w:r>
        <w:rPr>
          <w:b/>
          <w:sz w:val="20"/>
        </w:rPr>
        <w:t>rti</w:t>
      </w:r>
      <w:r w:rsidR="00473319">
        <w:rPr>
          <w:b/>
          <w:sz w:val="20"/>
          <w:vertAlign w:val="superscript"/>
        </w:rPr>
        <w:t>2</w:t>
      </w:r>
    </w:p>
    <w:p w:rsidR="00186A17" w:rsidRDefault="00473319">
      <w:pPr>
        <w:spacing w:before="150"/>
        <w:ind w:left="940" w:right="952"/>
        <w:jc w:val="center"/>
        <w:rPr>
          <w:sz w:val="20"/>
        </w:rPr>
      </w:pPr>
      <w:r>
        <w:rPr>
          <w:sz w:val="20"/>
          <w:vertAlign w:val="superscript"/>
        </w:rPr>
        <w:t>1</w:t>
      </w:r>
      <w:r w:rsidR="00B74B1A">
        <w:rPr>
          <w:sz w:val="20"/>
        </w:rPr>
        <w:t>Fakultas Ekonomi dan Bisnis, Universitas Pamulang</w:t>
      </w:r>
    </w:p>
    <w:p w:rsidR="00186A17" w:rsidRDefault="00473319">
      <w:pPr>
        <w:ind w:left="940" w:right="952"/>
        <w:jc w:val="center"/>
        <w:rPr>
          <w:sz w:val="20"/>
        </w:rPr>
      </w:pPr>
      <w:r>
        <w:rPr>
          <w:sz w:val="20"/>
          <w:vertAlign w:val="superscript"/>
        </w:rPr>
        <w:t>1</w:t>
      </w:r>
      <w:r>
        <w:rPr>
          <w:sz w:val="20"/>
        </w:rPr>
        <w:t>email:</w:t>
      </w:r>
      <w:r>
        <w:rPr>
          <w:spacing w:val="-8"/>
          <w:sz w:val="20"/>
        </w:rPr>
        <w:t xml:space="preserve"> </w:t>
      </w:r>
      <w:r w:rsidR="00B74B1A">
        <w:rPr>
          <w:sz w:val="20"/>
        </w:rPr>
        <w:t>nabilahsyahirah0523@gmail.com</w:t>
      </w:r>
    </w:p>
    <w:p w:rsidR="00186A17" w:rsidRDefault="00473319">
      <w:pPr>
        <w:ind w:left="940" w:right="952"/>
        <w:jc w:val="center"/>
        <w:rPr>
          <w:sz w:val="20"/>
        </w:rPr>
      </w:pPr>
      <w:r>
        <w:rPr>
          <w:sz w:val="20"/>
          <w:vertAlign w:val="superscript"/>
        </w:rPr>
        <w:t>2</w:t>
      </w:r>
      <w:r w:rsidR="00B74B1A">
        <w:rPr>
          <w:sz w:val="20"/>
        </w:rPr>
        <w:t>Fakultas Ekonomi dan Bisnis, Universitas Pamulang</w:t>
      </w:r>
    </w:p>
    <w:p w:rsidR="00186A17" w:rsidRDefault="00473319">
      <w:pPr>
        <w:ind w:left="940" w:right="952"/>
        <w:jc w:val="center"/>
        <w:rPr>
          <w:sz w:val="20"/>
        </w:rPr>
      </w:pPr>
      <w:r>
        <w:rPr>
          <w:spacing w:val="-1"/>
          <w:sz w:val="20"/>
          <w:vertAlign w:val="superscript"/>
        </w:rPr>
        <w:t>2</w:t>
      </w:r>
      <w:r>
        <w:rPr>
          <w:spacing w:val="-1"/>
          <w:sz w:val="20"/>
        </w:rPr>
        <w:t>email:</w:t>
      </w:r>
      <w:r>
        <w:rPr>
          <w:spacing w:val="-10"/>
          <w:sz w:val="20"/>
        </w:rPr>
        <w:t xml:space="preserve"> </w:t>
      </w:r>
      <w:hyperlink r:id="rId7" w:history="1">
        <w:r w:rsidR="00476634" w:rsidRPr="00BB3630">
          <w:rPr>
            <w:rStyle w:val="Hyperlink"/>
            <w:sz w:val="20"/>
          </w:rPr>
          <w:t>listya.sugiarti@unpam</w:t>
        </w:r>
      </w:hyperlink>
      <w:r w:rsidR="00B74B1A">
        <w:rPr>
          <w:sz w:val="20"/>
        </w:rPr>
        <w:t>.ac.id</w:t>
      </w:r>
    </w:p>
    <w:p w:rsidR="00186A17" w:rsidRDefault="00186A17">
      <w:pPr>
        <w:pStyle w:val="BodyText"/>
      </w:pPr>
    </w:p>
    <w:p w:rsidR="00186A17" w:rsidRDefault="00186A17">
      <w:pPr>
        <w:pStyle w:val="BodyText"/>
        <w:spacing w:before="7"/>
        <w:rPr>
          <w:sz w:val="20"/>
        </w:rPr>
      </w:pPr>
    </w:p>
    <w:p w:rsidR="00186A17" w:rsidRDefault="00473319" w:rsidP="005641A5">
      <w:pPr>
        <w:spacing w:before="1"/>
        <w:ind w:left="940" w:right="952"/>
        <w:jc w:val="center"/>
        <w:rPr>
          <w:b/>
          <w:i/>
        </w:rPr>
      </w:pPr>
      <w:r>
        <w:rPr>
          <w:b/>
          <w:i/>
        </w:rPr>
        <w:t>ABSTRACT</w:t>
      </w:r>
      <w:r>
        <w:rPr>
          <w:noProof/>
          <w:lang w:val="en-US"/>
        </w:rPr>
        <w:drawing>
          <wp:anchor distT="0" distB="0" distL="0" distR="0" simplePos="0" relativeHeight="251657216" behindDoc="1" locked="0" layoutInCell="1" allowOverlap="1" wp14:anchorId="0EF141C5" wp14:editId="5874E0C1">
            <wp:simplePos x="0" y="0"/>
            <wp:positionH relativeFrom="page">
              <wp:posOffset>1377055</wp:posOffset>
            </wp:positionH>
            <wp:positionV relativeFrom="paragraph">
              <wp:posOffset>195620</wp:posOffset>
            </wp:positionV>
            <wp:extent cx="4796646" cy="4467377"/>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4796646" cy="4467377"/>
                    </a:xfrm>
                    <a:prstGeom prst="rect">
                      <a:avLst/>
                    </a:prstGeom>
                  </pic:spPr>
                </pic:pic>
              </a:graphicData>
            </a:graphic>
          </wp:anchor>
        </w:drawing>
      </w:r>
    </w:p>
    <w:p w:rsidR="00186A17" w:rsidRDefault="00186A17">
      <w:pPr>
        <w:pStyle w:val="BodyText"/>
        <w:spacing w:before="11"/>
        <w:rPr>
          <w:b/>
          <w:i/>
          <w:sz w:val="21"/>
        </w:rPr>
      </w:pPr>
    </w:p>
    <w:p w:rsidR="00271373" w:rsidRPr="00271373" w:rsidRDefault="00271373" w:rsidP="00271373">
      <w:pPr>
        <w:spacing w:line="276" w:lineRule="auto"/>
        <w:ind w:left="142" w:right="170" w:firstLine="851"/>
        <w:jc w:val="both"/>
        <w:rPr>
          <w:i/>
        </w:rPr>
      </w:pPr>
      <w:r w:rsidRPr="00B17847">
        <w:rPr>
          <w:i/>
        </w:rPr>
        <w:t>The study aims to analyze the impact of sales growth and institutional ownership on tax avoidance with leverage as moderation. The research was carried out by analyzing the financial reports of companies in the primary consumer sector of the food and beverage sub-sector listed on the Indonesian Stock Exchange (BEI) during the period from 2018 to 2022. The sample used in this study was 7 companies with 35 financial report data. The results of this study showed that simultaneously Sales Growth and Institutional Ownership influenced Tax Avoidance, Sales Grow</w:t>
      </w:r>
      <w:r w:rsidRPr="00271373">
        <w:rPr>
          <w:i/>
        </w:rPr>
        <w:t xml:space="preserve">th </w:t>
      </w:r>
      <w:r w:rsidRPr="00B17847">
        <w:rPr>
          <w:i/>
        </w:rPr>
        <w:t>part</w:t>
      </w:r>
      <w:r w:rsidRPr="00271373">
        <w:rPr>
          <w:i/>
        </w:rPr>
        <w:t>ially influencing Tax Avoidance</w:t>
      </w:r>
      <w:r w:rsidRPr="00B17847">
        <w:rPr>
          <w:i/>
        </w:rPr>
        <w:t>, Institutional Ownerhood partially had no influe</w:t>
      </w:r>
      <w:r w:rsidRPr="00271373">
        <w:rPr>
          <w:i/>
        </w:rPr>
        <w:t>nce on Tax Avoidance</w:t>
      </w:r>
      <w:r w:rsidRPr="00B17847">
        <w:rPr>
          <w:i/>
        </w:rPr>
        <w:t>, Leverag</w:t>
      </w:r>
      <w:r w:rsidRPr="00271373">
        <w:rPr>
          <w:i/>
        </w:rPr>
        <w:t>e could not moderate Sales Growth and Tax Avoidance,</w:t>
      </w:r>
      <w:r w:rsidRPr="00B17847">
        <w:rPr>
          <w:i/>
        </w:rPr>
        <w:t xml:space="preserve"> and Leverage couldn</w:t>
      </w:r>
      <w:r w:rsidR="00476634">
        <w:rPr>
          <w:i/>
        </w:rPr>
        <w:t>’</w:t>
      </w:r>
      <w:r w:rsidRPr="00B17847">
        <w:rPr>
          <w:i/>
        </w:rPr>
        <w:t>t moderate Institut</w:t>
      </w:r>
      <w:r w:rsidRPr="00271373">
        <w:rPr>
          <w:i/>
        </w:rPr>
        <w:t>ional ownership and Tax Avoidance</w:t>
      </w:r>
      <w:r w:rsidRPr="00B17847">
        <w:rPr>
          <w:i/>
        </w:rPr>
        <w:t>.</w:t>
      </w:r>
    </w:p>
    <w:p w:rsidR="00271373" w:rsidRPr="00271373" w:rsidRDefault="00271373" w:rsidP="00271373">
      <w:pPr>
        <w:pStyle w:val="BodyText"/>
        <w:spacing w:line="276" w:lineRule="auto"/>
        <w:ind w:left="142" w:right="170" w:firstLine="851"/>
        <w:jc w:val="both"/>
        <w:rPr>
          <w:i/>
        </w:rPr>
      </w:pPr>
      <w:r w:rsidRPr="00271373">
        <w:rPr>
          <w:i/>
        </w:rPr>
        <w:t>Penelitian ini bertujuan untuk menganalisis pengaruh sales growth dan kepemilikan institusional terhadap tax avoidance dengan leverage sebagai pemoderasi. Penelitian ini dilakukan dengan menganalisis laporan keuangan perusahaan sektor konsumen primer sub sektor makanan dan minuman yang terdaftar di Bursa Efek Indonesia (BEI) selama periode tahun 2018 hingga tahun 2022. Sampel yang digunakan dalam penelitian ini sebanyak 7 perusahaan dengan 35 data laporan keuangan. Hasil pada penelitian ini menunjukan bahwa secara simultan Sales</w:t>
      </w:r>
      <w:r w:rsidRPr="00271373">
        <w:rPr>
          <w:i/>
          <w:spacing w:val="40"/>
        </w:rPr>
        <w:t xml:space="preserve"> </w:t>
      </w:r>
      <w:r w:rsidRPr="00271373">
        <w:rPr>
          <w:i/>
        </w:rPr>
        <w:t>Growth dan Kepemilikan Institusional berpengaruh terhadap Tax Avoidance,</w:t>
      </w:r>
      <w:r w:rsidRPr="00271373">
        <w:rPr>
          <w:i/>
          <w:spacing w:val="80"/>
        </w:rPr>
        <w:t xml:space="preserve"> </w:t>
      </w:r>
      <w:r w:rsidRPr="00271373">
        <w:rPr>
          <w:i/>
        </w:rPr>
        <w:t>Sales Growth secara parsial berpengaruh terhadap Tax Avoidance, Kepemilikan Institusional secara parsial tidak berpengaruh terhadap Tax Avoidance, Leverage tidak dapat memoderasi Sales Growth dan Tax Avoidance, dan Leverage tidak dapat memoderasi Kepemilikan Institusional dan Tax Avoidance.</w:t>
      </w:r>
    </w:p>
    <w:p w:rsidR="00271373" w:rsidRPr="00B17847" w:rsidRDefault="00271373" w:rsidP="00271373">
      <w:pPr>
        <w:ind w:left="142" w:right="168"/>
        <w:jc w:val="both"/>
        <w:rPr>
          <w:i/>
          <w:sz w:val="24"/>
          <w:szCs w:val="24"/>
        </w:rPr>
      </w:pPr>
    </w:p>
    <w:p w:rsidR="00186A17" w:rsidRDefault="00473319">
      <w:pPr>
        <w:ind w:left="100" w:right="116"/>
        <w:jc w:val="both"/>
        <w:rPr>
          <w:i/>
        </w:rPr>
      </w:pPr>
      <w:r>
        <w:rPr>
          <w:i/>
        </w:rPr>
        <w:t>Abstract ditulis dalam bahasa Inggris dan bahasa Indonesia yang berisikan isu-isu pokok, tujuan</w:t>
      </w:r>
      <w:r>
        <w:rPr>
          <w:i/>
          <w:spacing w:val="1"/>
        </w:rPr>
        <w:t xml:space="preserve"> </w:t>
      </w:r>
      <w:r>
        <w:rPr>
          <w:i/>
        </w:rPr>
        <w:t>penelitian,</w:t>
      </w:r>
      <w:r>
        <w:rPr>
          <w:i/>
          <w:spacing w:val="1"/>
        </w:rPr>
        <w:t xml:space="preserve"> </w:t>
      </w:r>
      <w:r>
        <w:rPr>
          <w:i/>
        </w:rPr>
        <w:t>metoda/pendekatan</w:t>
      </w:r>
      <w:r>
        <w:rPr>
          <w:i/>
          <w:spacing w:val="1"/>
        </w:rPr>
        <w:t xml:space="preserve"> </w:t>
      </w:r>
      <w:r>
        <w:rPr>
          <w:i/>
        </w:rPr>
        <w:t>dan</w:t>
      </w:r>
      <w:r>
        <w:rPr>
          <w:i/>
          <w:spacing w:val="55"/>
        </w:rPr>
        <w:t xml:space="preserve"> </w:t>
      </w:r>
      <w:r>
        <w:rPr>
          <w:i/>
        </w:rPr>
        <w:t>hasil penelitian. Abstract ditulis dalam satu alinea, tidak lebih</w:t>
      </w:r>
      <w:r>
        <w:rPr>
          <w:i/>
          <w:spacing w:val="1"/>
        </w:rPr>
        <w:t xml:space="preserve"> </w:t>
      </w:r>
      <w:r>
        <w:rPr>
          <w:i/>
        </w:rPr>
        <w:t>dari</w:t>
      </w:r>
      <w:r>
        <w:rPr>
          <w:i/>
          <w:spacing w:val="-3"/>
        </w:rPr>
        <w:t xml:space="preserve"> </w:t>
      </w:r>
      <w:r>
        <w:rPr>
          <w:i/>
        </w:rPr>
        <w:t>250</w:t>
      </w:r>
      <w:r>
        <w:rPr>
          <w:i/>
          <w:spacing w:val="-2"/>
        </w:rPr>
        <w:t xml:space="preserve"> </w:t>
      </w:r>
      <w:r>
        <w:rPr>
          <w:i/>
        </w:rPr>
        <w:t>kata.</w:t>
      </w:r>
      <w:r>
        <w:rPr>
          <w:i/>
          <w:spacing w:val="-2"/>
        </w:rPr>
        <w:t xml:space="preserve"> </w:t>
      </w:r>
      <w:r>
        <w:rPr>
          <w:i/>
        </w:rPr>
        <w:t>(Times</w:t>
      </w:r>
      <w:r>
        <w:rPr>
          <w:i/>
          <w:spacing w:val="-2"/>
        </w:rPr>
        <w:t xml:space="preserve"> </w:t>
      </w:r>
      <w:r>
        <w:rPr>
          <w:i/>
        </w:rPr>
        <w:t>New</w:t>
      </w:r>
      <w:r>
        <w:rPr>
          <w:i/>
          <w:spacing w:val="-2"/>
        </w:rPr>
        <w:t xml:space="preserve"> </w:t>
      </w:r>
      <w:r>
        <w:rPr>
          <w:i/>
        </w:rPr>
        <w:t>Roman</w:t>
      </w:r>
      <w:r>
        <w:rPr>
          <w:i/>
          <w:spacing w:val="-3"/>
        </w:rPr>
        <w:t xml:space="preserve"> </w:t>
      </w:r>
      <w:r>
        <w:rPr>
          <w:i/>
        </w:rPr>
        <w:t>11,</w:t>
      </w:r>
      <w:r>
        <w:rPr>
          <w:i/>
          <w:spacing w:val="-2"/>
        </w:rPr>
        <w:t xml:space="preserve"> </w:t>
      </w:r>
      <w:r>
        <w:rPr>
          <w:i/>
        </w:rPr>
        <w:t>spasi</w:t>
      </w:r>
      <w:r>
        <w:rPr>
          <w:i/>
          <w:spacing w:val="-2"/>
        </w:rPr>
        <w:t xml:space="preserve"> </w:t>
      </w:r>
      <w:r>
        <w:rPr>
          <w:i/>
        </w:rPr>
        <w:t>tunggal,</w:t>
      </w:r>
      <w:r>
        <w:rPr>
          <w:i/>
          <w:spacing w:val="-2"/>
        </w:rPr>
        <w:t xml:space="preserve"> </w:t>
      </w:r>
      <w:r>
        <w:rPr>
          <w:i/>
        </w:rPr>
        <w:t>dan</w:t>
      </w:r>
      <w:r>
        <w:rPr>
          <w:i/>
          <w:spacing w:val="-2"/>
        </w:rPr>
        <w:t xml:space="preserve"> </w:t>
      </w:r>
      <w:r>
        <w:rPr>
          <w:i/>
        </w:rPr>
        <w:t>cetak</w:t>
      </w:r>
      <w:r>
        <w:rPr>
          <w:i/>
          <w:spacing w:val="-2"/>
        </w:rPr>
        <w:t xml:space="preserve"> </w:t>
      </w:r>
      <w:r>
        <w:rPr>
          <w:i/>
        </w:rPr>
        <w:t>miring).</w:t>
      </w:r>
    </w:p>
    <w:p w:rsidR="00186A17" w:rsidRDefault="00186A17">
      <w:pPr>
        <w:pStyle w:val="BodyText"/>
        <w:rPr>
          <w:i/>
        </w:rPr>
      </w:pPr>
    </w:p>
    <w:p w:rsidR="00186A17" w:rsidRDefault="00473319">
      <w:pPr>
        <w:ind w:left="1240" w:right="106" w:hanging="1140"/>
        <w:rPr>
          <w:i/>
        </w:rPr>
      </w:pPr>
      <w:r>
        <w:rPr>
          <w:b/>
          <w:i/>
        </w:rPr>
        <w:t xml:space="preserve">Keywords: </w:t>
      </w:r>
      <w:r w:rsidR="004B23CC">
        <w:rPr>
          <w:i/>
        </w:rPr>
        <w:t>sales growth,  kepemilikan institusional, tax avoidance, leverage.</w:t>
      </w:r>
    </w:p>
    <w:p w:rsidR="00186A17" w:rsidRDefault="00186A17">
      <w:pPr>
        <w:pStyle w:val="BodyText"/>
        <w:rPr>
          <w:sz w:val="20"/>
        </w:rPr>
      </w:pPr>
    </w:p>
    <w:p w:rsidR="00186A17" w:rsidRDefault="00473319">
      <w:pPr>
        <w:pStyle w:val="Heading1"/>
        <w:numPr>
          <w:ilvl w:val="0"/>
          <w:numId w:val="1"/>
        </w:numPr>
        <w:tabs>
          <w:tab w:val="left" w:pos="296"/>
        </w:tabs>
      </w:pPr>
      <w:r>
        <w:t>PENDAHULUAN</w:t>
      </w:r>
    </w:p>
    <w:p w:rsidR="004B23CC" w:rsidRDefault="004B23CC" w:rsidP="00052609">
      <w:pPr>
        <w:pStyle w:val="BodyText"/>
        <w:spacing w:before="271" w:line="276" w:lineRule="auto"/>
        <w:ind w:left="142" w:right="153" w:firstLine="851"/>
        <w:jc w:val="both"/>
      </w:pPr>
      <w:r>
        <w:t>Bagi negara maju, pajak adalah unsur penting dalam menompang penerimaan negara. Pemerintah menggunakan pajak sebagai salah satu sumber pembiayaan</w:t>
      </w:r>
      <w:r>
        <w:rPr>
          <w:spacing w:val="-3"/>
        </w:rPr>
        <w:t xml:space="preserve"> </w:t>
      </w:r>
      <w:r>
        <w:t>negara yang penting dalam</w:t>
      </w:r>
      <w:r>
        <w:rPr>
          <w:spacing w:val="-3"/>
        </w:rPr>
        <w:t xml:space="preserve"> </w:t>
      </w:r>
      <w:r>
        <w:t>APBN. Penerimaan</w:t>
      </w:r>
      <w:r>
        <w:rPr>
          <w:spacing w:val="-3"/>
        </w:rPr>
        <w:t xml:space="preserve"> </w:t>
      </w:r>
      <w:r>
        <w:t xml:space="preserve">pajak setiap tahunnya diharapkan terus meningkat. Pembayaran pajak merupakan </w:t>
      </w:r>
      <w:r>
        <w:lastRenderedPageBreak/>
        <w:t xml:space="preserve">perwujudan dari kewajiban kenegaraan dan peran serta wajib pajak untuk secara langsung dan bersama-sama melaksanakan kewajiban perpajkan untuk pembiayaan negara dan pembangunan nasional. Penghindaran pajak adalah hambatan-hambatan yang terjadi dalam pemungutan pajak sehingga mengakibatkan berkurangnya penerimaan kas negara. </w:t>
      </w:r>
      <w:r>
        <w:rPr>
          <w:i/>
        </w:rPr>
        <w:t xml:space="preserve">Tax avoidance </w:t>
      </w:r>
      <w:r>
        <w:t>selalu diartikan sebagai kegiatan yang</w:t>
      </w:r>
      <w:r>
        <w:rPr>
          <w:spacing w:val="40"/>
        </w:rPr>
        <w:t xml:space="preserve"> </w:t>
      </w:r>
      <w:r>
        <w:t>legal</w:t>
      </w:r>
      <w:r>
        <w:rPr>
          <w:spacing w:val="-2"/>
        </w:rPr>
        <w:t xml:space="preserve"> </w:t>
      </w:r>
      <w:r>
        <w:t>(misalnya meminimalkan beban pajak tanpa melawan ketentuan perpajakan) dan menyeludupkan</w:t>
      </w:r>
      <w:r>
        <w:rPr>
          <w:spacing w:val="-4"/>
        </w:rPr>
        <w:t xml:space="preserve"> </w:t>
      </w:r>
      <w:r>
        <w:t>pajak (</w:t>
      </w:r>
      <w:r>
        <w:rPr>
          <w:i/>
        </w:rPr>
        <w:t>tax evasion /tax fraud</w:t>
      </w:r>
      <w:r>
        <w:t>)</w:t>
      </w:r>
      <w:r>
        <w:rPr>
          <w:spacing w:val="-2"/>
        </w:rPr>
        <w:t xml:space="preserve"> </w:t>
      </w:r>
      <w:r>
        <w:t>diartikan</w:t>
      </w:r>
      <w:r>
        <w:rPr>
          <w:spacing w:val="-4"/>
        </w:rPr>
        <w:t xml:space="preserve"> </w:t>
      </w:r>
      <w:r>
        <w:t>sebagai</w:t>
      </w:r>
      <w:r>
        <w:rPr>
          <w:spacing w:val="-8"/>
        </w:rPr>
        <w:t xml:space="preserve"> </w:t>
      </w:r>
      <w:r>
        <w:t>kegiatan yang legal (Maria Qibti Mahdiana dan Muhammad Nuryatno</w:t>
      </w:r>
      <w:r>
        <w:rPr>
          <w:spacing w:val="-6"/>
        </w:rPr>
        <w:t xml:space="preserve"> </w:t>
      </w:r>
      <w:r>
        <w:t>Amin</w:t>
      </w:r>
      <w:r>
        <w:rPr>
          <w:spacing w:val="-6"/>
        </w:rPr>
        <w:t xml:space="preserve"> </w:t>
      </w:r>
      <w:r>
        <w:t>2020).</w:t>
      </w:r>
    </w:p>
    <w:p w:rsidR="004B23CC" w:rsidRDefault="004B23CC" w:rsidP="004B23CC">
      <w:pPr>
        <w:pStyle w:val="BodyText"/>
        <w:tabs>
          <w:tab w:val="left" w:pos="7938"/>
        </w:tabs>
        <w:spacing w:before="2" w:line="276" w:lineRule="auto"/>
        <w:ind w:left="142" w:right="155" w:firstLine="850"/>
        <w:jc w:val="both"/>
      </w:pPr>
      <w:r>
        <w:t>Terdapat indikasi</w:t>
      </w:r>
      <w:r>
        <w:rPr>
          <w:spacing w:val="-6"/>
        </w:rPr>
        <w:t xml:space="preserve"> </w:t>
      </w:r>
      <w:r>
        <w:rPr>
          <w:i/>
        </w:rPr>
        <w:t>tax</w:t>
      </w:r>
      <w:r>
        <w:rPr>
          <w:i/>
          <w:spacing w:val="-4"/>
        </w:rPr>
        <w:t xml:space="preserve"> </w:t>
      </w:r>
      <w:r>
        <w:rPr>
          <w:i/>
        </w:rPr>
        <w:t>avoidance</w:t>
      </w:r>
      <w:r>
        <w:rPr>
          <w:i/>
          <w:spacing w:val="-4"/>
        </w:rPr>
        <w:t xml:space="preserve"> </w:t>
      </w:r>
      <w:r>
        <w:t>pada</w:t>
      </w:r>
      <w:r>
        <w:rPr>
          <w:spacing w:val="-4"/>
        </w:rPr>
        <w:t xml:space="preserve"> </w:t>
      </w:r>
      <w:r>
        <w:t>perusahaan</w:t>
      </w:r>
      <w:r>
        <w:rPr>
          <w:spacing w:val="-3"/>
        </w:rPr>
        <w:t xml:space="preserve"> </w:t>
      </w:r>
      <w:r>
        <w:t>sub</w:t>
      </w:r>
      <w:r>
        <w:rPr>
          <w:spacing w:val="-8"/>
        </w:rPr>
        <w:t xml:space="preserve"> </w:t>
      </w:r>
      <w:r>
        <w:t>sektor</w:t>
      </w:r>
      <w:r>
        <w:rPr>
          <w:spacing w:val="-6"/>
        </w:rPr>
        <w:t xml:space="preserve"> </w:t>
      </w:r>
      <w:r>
        <w:t>makanan</w:t>
      </w:r>
      <w:r>
        <w:rPr>
          <w:spacing w:val="-8"/>
        </w:rPr>
        <w:t xml:space="preserve"> </w:t>
      </w:r>
      <w:r>
        <w:t xml:space="preserve">dan minuman, yaitu PT Indofood Sukses Makmur dan PT Indofood CBP Sukses Makmur Tbk, cara yang dilakukan adalah </w:t>
      </w:r>
      <w:r>
        <w:rPr>
          <w:i/>
        </w:rPr>
        <w:t xml:space="preserve">transfer pricing. Transfer pricing </w:t>
      </w:r>
      <w:r>
        <w:t>terindikasi karena laba bersih PT Indofood Sukses Makmur Tbk terbilang baik, yaitu pada kuartal I di tahun 2020 senilai Rp1,4 triliun tetapi saham PT Indofood CBP Sukses Makmur Tbk mengalami penurunan penjualan saham (Aguatus, 2020). Pada kuartal I tahun 2019 hingga kuartal I tahun 2020 laba bersih PT Indofood Sukses Makmur Tbk mengalami peningkatan 4% menjadi Rp1,4 triliun.</w:t>
      </w:r>
    </w:p>
    <w:p w:rsidR="004B23CC" w:rsidRDefault="004B23CC" w:rsidP="004B23CC">
      <w:pPr>
        <w:pStyle w:val="BodyText"/>
        <w:spacing w:before="1" w:line="276" w:lineRule="auto"/>
        <w:ind w:left="142" w:right="155" w:firstLine="850"/>
        <w:jc w:val="both"/>
      </w:pPr>
      <w:r>
        <w:t>Pada</w:t>
      </w:r>
      <w:r>
        <w:rPr>
          <w:spacing w:val="-3"/>
        </w:rPr>
        <w:t xml:space="preserve"> </w:t>
      </w:r>
      <w:r>
        <w:t>bulan</w:t>
      </w:r>
      <w:r>
        <w:rPr>
          <w:spacing w:val="-2"/>
        </w:rPr>
        <w:t xml:space="preserve"> </w:t>
      </w:r>
      <w:r>
        <w:t>mei</w:t>
      </w:r>
      <w:r>
        <w:rPr>
          <w:spacing w:val="-7"/>
        </w:rPr>
        <w:t xml:space="preserve"> </w:t>
      </w:r>
      <w:r>
        <w:t>tahun</w:t>
      </w:r>
      <w:r>
        <w:rPr>
          <w:spacing w:val="-7"/>
        </w:rPr>
        <w:t xml:space="preserve"> </w:t>
      </w:r>
      <w:r>
        <w:t>2020 menurut data</w:t>
      </w:r>
      <w:r>
        <w:rPr>
          <w:spacing w:val="-3"/>
        </w:rPr>
        <w:t xml:space="preserve"> </w:t>
      </w:r>
      <w:r>
        <w:t>Bursa</w:t>
      </w:r>
      <w:r>
        <w:rPr>
          <w:spacing w:val="-3"/>
        </w:rPr>
        <w:t xml:space="preserve"> </w:t>
      </w:r>
      <w:r>
        <w:t>Efek</w:t>
      </w:r>
      <w:r>
        <w:rPr>
          <w:spacing w:val="-2"/>
        </w:rPr>
        <w:t xml:space="preserve"> </w:t>
      </w:r>
      <w:r>
        <w:t>Indonesia saham</w:t>
      </w:r>
      <w:r>
        <w:rPr>
          <w:spacing w:val="-7"/>
        </w:rPr>
        <w:t xml:space="preserve"> </w:t>
      </w:r>
      <w:r>
        <w:t xml:space="preserve">PT Indofood Sukses Makmur Tbk mengalami penurunan drastic hingga 6,67% menjadi Rp5.600/saham dan saham PT Indofood CBP Sukses Makmur turun hingga 6,98% menjadi Rp8.325/saham. Menurut kepala riset MNC Securities Edwin Sebayang, kejadian tersebut selain adanya indikasi </w:t>
      </w:r>
      <w:r>
        <w:rPr>
          <w:i/>
        </w:rPr>
        <w:t xml:space="preserve">transfer pricing </w:t>
      </w:r>
      <w:r>
        <w:t>dapat diperkirakan karena akuisisi yang dilakukan PT Indofood Sukses Makmur pada saham Pinchill Corpora Limited yang terbilang mahal, sehingga menyebabkan harga saham yang menurun (Agustinus, 2020).</w:t>
      </w:r>
    </w:p>
    <w:p w:rsidR="004B23CC" w:rsidRPr="00052609" w:rsidRDefault="004B23CC" w:rsidP="00052609">
      <w:pPr>
        <w:pStyle w:val="BodyText"/>
        <w:spacing w:before="1" w:line="276" w:lineRule="auto"/>
        <w:ind w:left="142" w:right="155" w:firstLine="1294"/>
        <w:jc w:val="both"/>
        <w:rPr>
          <w:i/>
        </w:rPr>
      </w:pPr>
      <w:r>
        <w:t xml:space="preserve">Berdasarkan fenomena yang terjadi mengenai praktik </w:t>
      </w:r>
      <w:r>
        <w:rPr>
          <w:i/>
        </w:rPr>
        <w:t xml:space="preserve">tax avoidance </w:t>
      </w:r>
      <w:r>
        <w:t>di Indonesia telah dilakukan oleh beberapa peneliti. Namun, dalam penelitian yang dilakukan tersebut menunjukkan simpulan yang beragam dengan variabel independent yang beragam pula, seperti penelitian yang dilakukan oleh (Suryani</w:t>
      </w:r>
      <w:r>
        <w:rPr>
          <w:spacing w:val="40"/>
        </w:rPr>
        <w:t xml:space="preserve"> </w:t>
      </w:r>
      <w:r>
        <w:t xml:space="preserve">&amp; Mariani, 2019) menguji pengaruh Umur Perusahaan, Ukuran Perusahaan dan </w:t>
      </w:r>
      <w:r>
        <w:rPr>
          <w:i/>
        </w:rPr>
        <w:t xml:space="preserve">Profitabilitas </w:t>
      </w:r>
      <w:r>
        <w:t xml:space="preserve">terhadap </w:t>
      </w:r>
      <w:r>
        <w:rPr>
          <w:i/>
        </w:rPr>
        <w:t>tax avoidance</w:t>
      </w:r>
      <w:r>
        <w:t xml:space="preserve">. Hasil penelitian menunjukan bahwa umur perusahaan berpengaruh positif terhadap </w:t>
      </w:r>
      <w:r>
        <w:rPr>
          <w:i/>
        </w:rPr>
        <w:t>tax avoidance</w:t>
      </w:r>
      <w:r>
        <w:t xml:space="preserve">, dan </w:t>
      </w:r>
      <w:r>
        <w:rPr>
          <w:i/>
        </w:rPr>
        <w:t xml:space="preserve">profitabilitas </w:t>
      </w:r>
      <w:r>
        <w:t xml:space="preserve">berpengaruh negatif terhadap </w:t>
      </w:r>
      <w:r>
        <w:rPr>
          <w:i/>
        </w:rPr>
        <w:t xml:space="preserve">tax avoidance </w:t>
      </w:r>
      <w:r>
        <w:t xml:space="preserve">sedangkan ukuran Perusahaan tidak berpengaruh terhadap </w:t>
      </w:r>
      <w:r>
        <w:rPr>
          <w:i/>
        </w:rPr>
        <w:t>tax avoidance</w:t>
      </w:r>
      <w:r>
        <w:t>. Pada penelitian (Adriyanti &amp; Nadia, 2019) mengenai Pengaruh Kepemilikan Institusional dan Kepemilkan Manajerial Terhadap Penghindaran Pajak membuktikan bahwa kepemilikan manajerial dan kepemilkan institusional berpengaruh signifikan terhadap penghindaran pajak. Penelitian selanjutnya yaitu (Muhammad Taufiqul Hafizh &amp; Laely Aghe Africa, 2022) yang meneliti tentang Pengaruh Intensitas Aset Tetap, Pertumbuhan Penjualan,</w:t>
      </w:r>
      <w:r>
        <w:rPr>
          <w:spacing w:val="10"/>
        </w:rPr>
        <w:t xml:space="preserve"> </w:t>
      </w:r>
      <w:r>
        <w:t>Kepemilikan</w:t>
      </w:r>
      <w:r>
        <w:rPr>
          <w:spacing w:val="6"/>
        </w:rPr>
        <w:t xml:space="preserve"> </w:t>
      </w:r>
      <w:r>
        <w:t>Institusional</w:t>
      </w:r>
      <w:r>
        <w:rPr>
          <w:spacing w:val="3"/>
        </w:rPr>
        <w:t xml:space="preserve"> </w:t>
      </w:r>
      <w:r>
        <w:t>dan</w:t>
      </w:r>
      <w:r>
        <w:rPr>
          <w:spacing w:val="10"/>
        </w:rPr>
        <w:t xml:space="preserve"> </w:t>
      </w:r>
      <w:r>
        <w:t>Komite</w:t>
      </w:r>
      <w:r>
        <w:rPr>
          <w:spacing w:val="-2"/>
        </w:rPr>
        <w:t xml:space="preserve"> </w:t>
      </w:r>
      <w:r>
        <w:t>Audit</w:t>
      </w:r>
      <w:r>
        <w:rPr>
          <w:spacing w:val="11"/>
        </w:rPr>
        <w:t xml:space="preserve"> </w:t>
      </w:r>
      <w:r>
        <w:t>Terhadap</w:t>
      </w:r>
      <w:r>
        <w:rPr>
          <w:spacing w:val="17"/>
        </w:rPr>
        <w:t xml:space="preserve"> </w:t>
      </w:r>
      <w:r>
        <w:rPr>
          <w:i/>
        </w:rPr>
        <w:t>Tax</w:t>
      </w:r>
      <w:r>
        <w:rPr>
          <w:i/>
          <w:spacing w:val="6"/>
        </w:rPr>
        <w:t xml:space="preserve"> </w:t>
      </w:r>
      <w:r>
        <w:rPr>
          <w:i/>
          <w:spacing w:val="-2"/>
        </w:rPr>
        <w:t>Avoidance.</w:t>
      </w:r>
      <w:r w:rsidR="00052609">
        <w:rPr>
          <w:i/>
        </w:rPr>
        <w:t xml:space="preserve"> </w:t>
      </w:r>
      <w:r>
        <w:t xml:space="preserve">Hasil penelitian ini menunjukan bahwa intensitas asset tetap dan pertumbuhan penjualan berpengaruh terhadap </w:t>
      </w:r>
      <w:r>
        <w:rPr>
          <w:i/>
        </w:rPr>
        <w:t xml:space="preserve">tax avoidance </w:t>
      </w:r>
      <w:r>
        <w:t xml:space="preserve">sedangkan kepemilikan institusional dan komite audit tidak berpengaruh terhadap </w:t>
      </w:r>
      <w:r>
        <w:rPr>
          <w:i/>
        </w:rPr>
        <w:t>tax avoidance</w:t>
      </w:r>
      <w:r>
        <w:t>.</w:t>
      </w:r>
    </w:p>
    <w:p w:rsidR="00186A17" w:rsidRDefault="004B23CC" w:rsidP="00052609">
      <w:pPr>
        <w:pStyle w:val="BodyText"/>
        <w:spacing w:line="276" w:lineRule="auto"/>
        <w:ind w:left="142" w:right="155" w:firstLine="850"/>
        <w:jc w:val="both"/>
      </w:pPr>
      <w:r>
        <w:t xml:space="preserve">Dari beberapa penelitian yang telah dilakukan, terdapat ketidak konsistenan pada hasil penelitian tentang pengaruh </w:t>
      </w:r>
      <w:r>
        <w:rPr>
          <w:i/>
        </w:rPr>
        <w:t xml:space="preserve">sales growth </w:t>
      </w:r>
      <w:r>
        <w:t>dan kepemilkan institusional</w:t>
      </w:r>
      <w:r>
        <w:rPr>
          <w:spacing w:val="-7"/>
        </w:rPr>
        <w:t xml:space="preserve"> </w:t>
      </w:r>
      <w:r>
        <w:t xml:space="preserve">terhadap </w:t>
      </w:r>
      <w:r>
        <w:rPr>
          <w:i/>
        </w:rPr>
        <w:t xml:space="preserve">tax avoidance </w:t>
      </w:r>
      <w:r>
        <w:t>dengan</w:t>
      </w:r>
      <w:r>
        <w:rPr>
          <w:spacing w:val="-1"/>
        </w:rPr>
        <w:t xml:space="preserve"> </w:t>
      </w:r>
      <w:r>
        <w:rPr>
          <w:i/>
        </w:rPr>
        <w:t xml:space="preserve">leverage </w:t>
      </w:r>
      <w:r>
        <w:t>sebagai</w:t>
      </w:r>
      <w:r>
        <w:rPr>
          <w:spacing w:val="-7"/>
        </w:rPr>
        <w:t xml:space="preserve"> </w:t>
      </w:r>
      <w:r>
        <w:t>pemoderasi.</w:t>
      </w:r>
      <w:r>
        <w:rPr>
          <w:spacing w:val="-5"/>
        </w:rPr>
        <w:t xml:space="preserve"> </w:t>
      </w:r>
      <w:r>
        <w:t xml:space="preserve">Adanya fenomena </w:t>
      </w:r>
      <w:r>
        <w:rPr>
          <w:i/>
        </w:rPr>
        <w:t xml:space="preserve">tax avoidance </w:t>
      </w:r>
      <w:r>
        <w:t>yang dilakukan perusahaan untuk memaksimalkan kesejahteraan pemegang saham atau investor dengan cara memaksimalkan laba yang diperoleh yang dapat mendorong perusahaan untuk melakukan manajemen perpajakan dimana pajak adalah hal penting bagi negara menjadikan motivasi penulis untuk melakukan penelitian ini.</w:t>
      </w:r>
    </w:p>
    <w:p w:rsidR="00186A17" w:rsidRDefault="00186A17">
      <w:pPr>
        <w:pStyle w:val="BodyText"/>
      </w:pPr>
    </w:p>
    <w:p w:rsidR="00186A17" w:rsidRDefault="00473319">
      <w:pPr>
        <w:pStyle w:val="Heading1"/>
        <w:numPr>
          <w:ilvl w:val="0"/>
          <w:numId w:val="1"/>
        </w:numPr>
        <w:tabs>
          <w:tab w:val="left" w:pos="382"/>
        </w:tabs>
        <w:ind w:left="381" w:hanging="282"/>
      </w:pPr>
      <w:r>
        <w:t>METODE</w:t>
      </w:r>
      <w:r>
        <w:rPr>
          <w:spacing w:val="-9"/>
        </w:rPr>
        <w:t xml:space="preserve"> </w:t>
      </w:r>
      <w:r>
        <w:t>PENELITIAN</w:t>
      </w:r>
    </w:p>
    <w:p w:rsidR="00186A17" w:rsidRPr="00A80427" w:rsidRDefault="00052609">
      <w:pPr>
        <w:pStyle w:val="BodyText"/>
        <w:ind w:left="100" w:right="119"/>
        <w:jc w:val="both"/>
        <w:rPr>
          <w:b/>
        </w:rPr>
      </w:pPr>
      <w:r w:rsidRPr="00A80427">
        <w:rPr>
          <w:b/>
        </w:rPr>
        <w:t>Lokasi Penelitian</w:t>
      </w:r>
    </w:p>
    <w:p w:rsidR="00052609" w:rsidRDefault="00052609">
      <w:pPr>
        <w:pStyle w:val="BodyText"/>
        <w:ind w:left="100" w:right="119"/>
        <w:jc w:val="both"/>
      </w:pPr>
      <w:r>
        <w:t xml:space="preserve">Pada penelitian ini dilakukan pada perusahaan industri subsektor makanan dan minuman yang terdaftar di Bursa Efek Indonesia (BEI) periode 2018-2022. Bursa Efek Indonesia </w:t>
      </w:r>
      <w:r w:rsidR="00A80427">
        <w:t xml:space="preserve">digunakan sebagai tempat </w:t>
      </w:r>
      <w:r w:rsidR="00A80427">
        <w:lastRenderedPageBreak/>
        <w:t>penelitian karena merupakan bursa pertama yang ada di indonesia, sehingga dianggap data-data yang dimiliki lengkap.</w:t>
      </w:r>
    </w:p>
    <w:p w:rsidR="00A80427" w:rsidRDefault="00A80427">
      <w:pPr>
        <w:pStyle w:val="BodyText"/>
        <w:ind w:left="100" w:right="119"/>
        <w:jc w:val="both"/>
        <w:rPr>
          <w:b/>
          <w:i/>
        </w:rPr>
      </w:pPr>
      <w:r w:rsidRPr="00A80427">
        <w:rPr>
          <w:b/>
          <w:i/>
        </w:rPr>
        <w:t>Tax Avoidance</w:t>
      </w:r>
    </w:p>
    <w:p w:rsidR="00A80427" w:rsidRDefault="00A80427" w:rsidP="00A80427">
      <w:pPr>
        <w:pStyle w:val="BodyText"/>
        <w:ind w:left="102" w:right="119" w:firstLine="851"/>
        <w:jc w:val="both"/>
      </w:pPr>
      <w:r>
        <w:rPr>
          <w:i/>
        </w:rPr>
        <w:t xml:space="preserve">Tax avoidance </w:t>
      </w:r>
      <w:r>
        <w:t xml:space="preserve">adalah upayah yang dilakukan Perusahaan untuk meminimalisir beban pajak (Indriani &amp; Juniarti, 2020). Mengukur </w:t>
      </w:r>
      <w:r>
        <w:rPr>
          <w:i/>
        </w:rPr>
        <w:t xml:space="preserve">tax avoidance </w:t>
      </w:r>
      <w:r>
        <w:t>dapat dirumuskan sebagai berikut :</w:t>
      </w:r>
    </w:p>
    <w:p w:rsidR="00A80427" w:rsidRDefault="00A80427" w:rsidP="00A80427">
      <w:pPr>
        <w:pStyle w:val="BodyText"/>
        <w:ind w:left="102" w:right="119" w:firstLine="851"/>
        <w:jc w:val="both"/>
      </w:pPr>
    </w:p>
    <w:p w:rsidR="00A80427" w:rsidRDefault="00A80427" w:rsidP="00A80427">
      <w:pPr>
        <w:pStyle w:val="BodyText"/>
        <w:ind w:left="102" w:right="119" w:firstLine="851"/>
        <w:jc w:val="center"/>
        <w:rPr>
          <w:b/>
        </w:rPr>
      </w:pPr>
      <w:r>
        <w:rPr>
          <w:b/>
        </w:rPr>
        <w:t xml:space="preserve">ETR = </w:t>
      </w:r>
      <m:oMath>
        <m:f>
          <m:fPr>
            <m:ctrlPr>
              <w:rPr>
                <w:rFonts w:ascii="Cambria Math" w:hAnsi="Cambria Math"/>
                <w:b/>
                <w:i/>
              </w:rPr>
            </m:ctrlPr>
          </m:fPr>
          <m:num>
            <m:r>
              <m:rPr>
                <m:sty m:val="bi"/>
              </m:rPr>
              <w:rPr>
                <w:rFonts w:ascii="Cambria Math" w:hAnsi="Cambria Math"/>
              </w:rPr>
              <m:t>Beban Pajak Penghasilan</m:t>
            </m:r>
          </m:num>
          <m:den>
            <m:r>
              <m:rPr>
                <m:sty m:val="bi"/>
              </m:rPr>
              <w:rPr>
                <w:rFonts w:ascii="Cambria Math" w:hAnsi="Cambria Math"/>
              </w:rPr>
              <m:t>Pendapatan Sebelum Pajak</m:t>
            </m:r>
          </m:den>
        </m:f>
      </m:oMath>
    </w:p>
    <w:p w:rsidR="00A80427" w:rsidRDefault="00577F3F" w:rsidP="00A80427">
      <w:pPr>
        <w:pStyle w:val="BodyText"/>
        <w:ind w:right="119"/>
        <w:rPr>
          <w:b/>
          <w:i/>
        </w:rPr>
      </w:pPr>
      <w:r>
        <w:rPr>
          <w:b/>
          <w:i/>
        </w:rPr>
        <w:t>Sales Growth</w:t>
      </w:r>
    </w:p>
    <w:p w:rsidR="00577F3F" w:rsidRDefault="00577F3F" w:rsidP="00577F3F">
      <w:pPr>
        <w:pStyle w:val="BodyText"/>
        <w:ind w:right="119" w:firstLine="851"/>
        <w:jc w:val="both"/>
      </w:pPr>
      <w:r>
        <w:rPr>
          <w:i/>
        </w:rPr>
        <w:t xml:space="preserve">Sales growth </w:t>
      </w:r>
      <w:r>
        <w:t>adalah tingkat</w:t>
      </w:r>
      <w:r>
        <w:rPr>
          <w:spacing w:val="80"/>
        </w:rPr>
        <w:t xml:space="preserve"> </w:t>
      </w:r>
      <w:r>
        <w:t xml:space="preserve">pertumbuhan penjualan perusahaan yang mengalami peningkatan, maka jumlah laba yang diperoleh oleh perusahaan akan semakin besar (Sibuca, 2020). Mengukur </w:t>
      </w:r>
      <w:r>
        <w:rPr>
          <w:i/>
        </w:rPr>
        <w:t xml:space="preserve">sales growth </w:t>
      </w:r>
      <w:r>
        <w:t>dapat dirumuskan sebagai berikut:</w:t>
      </w:r>
    </w:p>
    <w:p w:rsidR="00577F3F" w:rsidRDefault="00577F3F" w:rsidP="00577F3F">
      <w:pPr>
        <w:pStyle w:val="BodyText"/>
        <w:ind w:right="119" w:firstLine="851"/>
        <w:jc w:val="both"/>
      </w:pPr>
    </w:p>
    <w:p w:rsidR="00577F3F" w:rsidRDefault="00577F3F" w:rsidP="00577F3F">
      <w:pPr>
        <w:pStyle w:val="BodyText"/>
        <w:ind w:right="119"/>
        <w:jc w:val="center"/>
        <w:rPr>
          <w:b/>
        </w:rPr>
      </w:pPr>
      <w:r>
        <w:rPr>
          <w:b/>
          <w:i/>
        </w:rPr>
        <w:t xml:space="preserve">Sales Growth </w:t>
      </w:r>
      <w:r>
        <w:rPr>
          <w:b/>
        </w:rPr>
        <w:t xml:space="preserve">= </w:t>
      </w:r>
      <m:oMath>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Penjualan</m:t>
                </m:r>
              </m:e>
              <m:sub>
                <m:r>
                  <m:rPr>
                    <m:sty m:val="bi"/>
                  </m:rPr>
                  <w:rPr>
                    <w:rFonts w:ascii="Cambria Math" w:hAnsi="Cambria Math"/>
                  </w:rPr>
                  <m:t xml:space="preserve">i- </m:t>
                </m:r>
                <m:sSub>
                  <m:sSubPr>
                    <m:ctrlPr>
                      <w:rPr>
                        <w:rFonts w:ascii="Cambria Math" w:hAnsi="Cambria Math"/>
                        <w:b/>
                        <w:i/>
                      </w:rPr>
                    </m:ctrlPr>
                  </m:sSubPr>
                  <m:e>
                    <m:r>
                      <m:rPr>
                        <m:sty m:val="bi"/>
                      </m:rPr>
                      <w:rPr>
                        <w:rFonts w:ascii="Cambria Math" w:hAnsi="Cambria Math"/>
                      </w:rPr>
                      <m:t>Penjualan</m:t>
                    </m:r>
                  </m:e>
                  <m:sub>
                    <m:r>
                      <m:rPr>
                        <m:sty m:val="bi"/>
                      </m:rPr>
                      <w:rPr>
                        <w:rFonts w:ascii="Cambria Math" w:hAnsi="Cambria Math"/>
                      </w:rPr>
                      <m:t>o</m:t>
                    </m:r>
                  </m:sub>
                </m:sSub>
              </m:sub>
            </m:sSub>
          </m:num>
          <m:den>
            <m:sSub>
              <m:sSubPr>
                <m:ctrlPr>
                  <w:rPr>
                    <w:rFonts w:ascii="Cambria Math" w:hAnsi="Cambria Math"/>
                    <w:b/>
                    <w:i/>
                  </w:rPr>
                </m:ctrlPr>
              </m:sSubPr>
              <m:e>
                <m:r>
                  <m:rPr>
                    <m:sty m:val="bi"/>
                  </m:rPr>
                  <w:rPr>
                    <w:rFonts w:ascii="Cambria Math" w:hAnsi="Cambria Math"/>
                  </w:rPr>
                  <m:t>Penjualan</m:t>
                </m:r>
              </m:e>
              <m:sub>
                <m:r>
                  <m:rPr>
                    <m:sty m:val="bi"/>
                  </m:rPr>
                  <w:rPr>
                    <w:rFonts w:ascii="Cambria Math" w:hAnsi="Cambria Math"/>
                  </w:rPr>
                  <m:t>o</m:t>
                </m:r>
              </m:sub>
            </m:sSub>
          </m:den>
        </m:f>
      </m:oMath>
    </w:p>
    <w:p w:rsidR="00577F3F" w:rsidRDefault="00577F3F" w:rsidP="00577F3F">
      <w:pPr>
        <w:pStyle w:val="BodyText"/>
        <w:ind w:right="119"/>
        <w:rPr>
          <w:b/>
        </w:rPr>
      </w:pPr>
      <w:r>
        <w:rPr>
          <w:b/>
        </w:rPr>
        <w:t xml:space="preserve">Kepemilikan Institusional </w:t>
      </w:r>
    </w:p>
    <w:p w:rsidR="00577F3F" w:rsidRDefault="00577F3F" w:rsidP="00577F3F">
      <w:pPr>
        <w:pStyle w:val="BodyText"/>
        <w:spacing w:before="1" w:line="276" w:lineRule="auto"/>
        <w:ind w:right="13" w:firstLine="850"/>
        <w:jc w:val="both"/>
      </w:pPr>
      <w:r>
        <w:t xml:space="preserve">Saham institusi adalah saham dari berbagai macam institusi, seperti institusi pemerintahan, institusi berbadan hukum, institusi keuangan, institusi luat negri, dan institusi lainnya pada akhir tahun (Edu, 2019). Kepemilikan institusional dapat dihitung </w:t>
      </w:r>
      <w:r w:rsidR="00A6771A">
        <w:t xml:space="preserve">dengan menggunakan rumus sebagai </w:t>
      </w:r>
      <w:r>
        <w:t>berikut:</w:t>
      </w:r>
    </w:p>
    <w:p w:rsidR="00577F3F" w:rsidRDefault="00577F3F" w:rsidP="00577F3F">
      <w:pPr>
        <w:pStyle w:val="BodyText"/>
        <w:spacing w:before="1" w:line="276" w:lineRule="auto"/>
        <w:ind w:right="13" w:firstLine="850"/>
        <w:jc w:val="both"/>
      </w:pPr>
    </w:p>
    <w:p w:rsidR="00577F3F" w:rsidRDefault="00577F3F" w:rsidP="00577F3F">
      <w:pPr>
        <w:pStyle w:val="BodyText"/>
        <w:spacing w:before="1" w:line="276" w:lineRule="auto"/>
        <w:ind w:right="13" w:firstLine="850"/>
        <w:jc w:val="center"/>
        <w:rPr>
          <w:b/>
        </w:rPr>
      </w:pPr>
      <w:r>
        <w:rPr>
          <w:b/>
        </w:rPr>
        <w:t xml:space="preserve">KI = </w:t>
      </w:r>
      <m:oMath>
        <m:f>
          <m:fPr>
            <m:ctrlPr>
              <w:rPr>
                <w:rFonts w:ascii="Cambria Math" w:hAnsi="Cambria Math"/>
                <w:b/>
                <w:i/>
              </w:rPr>
            </m:ctrlPr>
          </m:fPr>
          <m:num>
            <m:r>
              <m:rPr>
                <m:sty m:val="bi"/>
              </m:rPr>
              <w:rPr>
                <w:rFonts w:ascii="Cambria Math" w:hAnsi="Cambria Math"/>
              </w:rPr>
              <m:t>Jumlah Saham Institusional</m:t>
            </m:r>
          </m:num>
          <m:den>
            <m:r>
              <m:rPr>
                <m:sty m:val="bi"/>
              </m:rPr>
              <w:rPr>
                <w:rFonts w:ascii="Cambria Math" w:hAnsi="Cambria Math"/>
              </w:rPr>
              <m:t>Jumlah Saham Beredar</m:t>
            </m:r>
          </m:den>
        </m:f>
      </m:oMath>
      <w:r>
        <w:rPr>
          <w:b/>
        </w:rPr>
        <w:t xml:space="preserve"> x 100%</w:t>
      </w:r>
    </w:p>
    <w:p w:rsidR="00577F3F" w:rsidRDefault="00577F3F" w:rsidP="00577F3F">
      <w:pPr>
        <w:pStyle w:val="BodyText"/>
        <w:spacing w:before="1" w:line="276" w:lineRule="auto"/>
        <w:ind w:right="13"/>
        <w:rPr>
          <w:b/>
          <w:i/>
        </w:rPr>
      </w:pPr>
      <w:r>
        <w:rPr>
          <w:b/>
          <w:i/>
        </w:rPr>
        <w:t>Leverage</w:t>
      </w:r>
    </w:p>
    <w:p w:rsidR="00577F3F" w:rsidRDefault="00577F3F" w:rsidP="00577F3F">
      <w:pPr>
        <w:pStyle w:val="BodyText"/>
        <w:spacing w:before="1" w:line="276" w:lineRule="auto"/>
        <w:ind w:right="11" w:firstLine="851"/>
        <w:jc w:val="both"/>
      </w:pPr>
      <w:r>
        <w:rPr>
          <w:i/>
        </w:rPr>
        <w:t xml:space="preserve">Leverage </w:t>
      </w:r>
      <w:r>
        <w:t xml:space="preserve">digunakan untuk mengukur seberapa besar asset yang dimiliki Perusahaan yang dibiayai oleh hutang (Hatapca, 2020). </w:t>
      </w:r>
      <w:r>
        <w:rPr>
          <w:i/>
        </w:rPr>
        <w:t xml:space="preserve">Leverage </w:t>
      </w:r>
      <w:r>
        <w:t>dapat dihitung dengan menggunakan rumus sebagai berikut:</w:t>
      </w:r>
    </w:p>
    <w:p w:rsidR="00A6771A" w:rsidRDefault="00A6771A" w:rsidP="00577F3F">
      <w:pPr>
        <w:pStyle w:val="BodyText"/>
        <w:spacing w:before="1" w:line="276" w:lineRule="auto"/>
        <w:ind w:right="11" w:firstLine="851"/>
        <w:jc w:val="both"/>
      </w:pPr>
    </w:p>
    <w:p w:rsidR="00A6771A" w:rsidRPr="00A6771A" w:rsidRDefault="00A6771A" w:rsidP="00A6771A">
      <w:pPr>
        <w:pStyle w:val="BodyText"/>
        <w:spacing w:before="1" w:line="276" w:lineRule="auto"/>
        <w:ind w:right="11" w:firstLine="851"/>
        <w:jc w:val="center"/>
        <w:rPr>
          <w:b/>
        </w:rPr>
      </w:pPr>
      <w:r>
        <w:rPr>
          <w:b/>
        </w:rPr>
        <w:t xml:space="preserve">DAR = </w:t>
      </w:r>
      <m:oMath>
        <m:f>
          <m:fPr>
            <m:ctrlPr>
              <w:rPr>
                <w:rFonts w:ascii="Cambria Math" w:hAnsi="Cambria Math"/>
                <w:b/>
                <w:i/>
              </w:rPr>
            </m:ctrlPr>
          </m:fPr>
          <m:num>
            <m:r>
              <m:rPr>
                <m:sty m:val="bi"/>
              </m:rPr>
              <w:rPr>
                <w:rFonts w:ascii="Cambria Math" w:hAnsi="Cambria Math"/>
              </w:rPr>
              <m:t>Total Liabilitas</m:t>
            </m:r>
          </m:num>
          <m:den>
            <m:r>
              <m:rPr>
                <m:sty m:val="bi"/>
              </m:rPr>
              <w:rPr>
                <w:rFonts w:ascii="Cambria Math" w:hAnsi="Cambria Math"/>
              </w:rPr>
              <m:t>Total Aset</m:t>
            </m:r>
          </m:den>
        </m:f>
      </m:oMath>
    </w:p>
    <w:p w:rsidR="00577F3F" w:rsidRPr="00577F3F" w:rsidRDefault="00577F3F" w:rsidP="00577F3F">
      <w:pPr>
        <w:pStyle w:val="BodyText"/>
        <w:ind w:right="119"/>
        <w:jc w:val="center"/>
        <w:rPr>
          <w:b/>
        </w:rPr>
      </w:pPr>
    </w:p>
    <w:p w:rsidR="00186A17" w:rsidRDefault="00186A17">
      <w:pPr>
        <w:pStyle w:val="BodyText"/>
      </w:pPr>
    </w:p>
    <w:p w:rsidR="00186A17" w:rsidRDefault="00473319">
      <w:pPr>
        <w:pStyle w:val="Heading1"/>
        <w:numPr>
          <w:ilvl w:val="0"/>
          <w:numId w:val="1"/>
        </w:numPr>
        <w:tabs>
          <w:tab w:val="left" w:pos="467"/>
        </w:tabs>
        <w:ind w:left="466" w:hanging="367"/>
      </w:pPr>
      <w:r>
        <w:t>HASIL</w:t>
      </w:r>
      <w:r>
        <w:rPr>
          <w:spacing w:val="-6"/>
        </w:rPr>
        <w:t xml:space="preserve"> </w:t>
      </w:r>
      <w:r>
        <w:t>DAN</w:t>
      </w:r>
      <w:r>
        <w:rPr>
          <w:spacing w:val="-5"/>
        </w:rPr>
        <w:t xml:space="preserve"> </w:t>
      </w:r>
      <w:r>
        <w:t>PEMBAHASAN</w:t>
      </w:r>
    </w:p>
    <w:p w:rsidR="00186A17" w:rsidRDefault="00A6771A">
      <w:pPr>
        <w:pStyle w:val="BodyText"/>
        <w:ind w:left="100" w:right="114"/>
        <w:jc w:val="both"/>
        <w:rPr>
          <w:b/>
        </w:rPr>
      </w:pPr>
      <w:r>
        <w:rPr>
          <w:b/>
        </w:rPr>
        <w:t xml:space="preserve">Uji Normalitas </w:t>
      </w:r>
    </w:p>
    <w:p w:rsidR="00A6771A" w:rsidRDefault="00A6771A" w:rsidP="00A6771A">
      <w:pPr>
        <w:pStyle w:val="BodyText"/>
        <w:ind w:left="100" w:right="114"/>
        <w:jc w:val="center"/>
        <w:rPr>
          <w:b/>
        </w:rPr>
      </w:pPr>
      <w:r>
        <w:rPr>
          <w:b/>
        </w:rPr>
        <w:t>Hasil Uji Normalitas</w:t>
      </w:r>
    </w:p>
    <w:p w:rsidR="00A6771A" w:rsidRDefault="00A6771A" w:rsidP="00A6771A">
      <w:pPr>
        <w:pStyle w:val="BodyText"/>
        <w:ind w:left="100" w:right="114"/>
        <w:jc w:val="center"/>
        <w:rPr>
          <w:b/>
        </w:rPr>
      </w:pPr>
    </w:p>
    <w:p w:rsidR="00A6771A" w:rsidRDefault="00A6771A" w:rsidP="00A6771A">
      <w:pPr>
        <w:ind w:left="1110"/>
        <w:rPr>
          <w:rFonts w:ascii="Calibri"/>
          <w:sz w:val="15"/>
        </w:rPr>
      </w:pPr>
      <w:r>
        <w:rPr>
          <w:noProof/>
          <w:lang w:val="en-US"/>
        </w:rPr>
        <mc:AlternateContent>
          <mc:Choice Requires="wpg">
            <w:drawing>
              <wp:anchor distT="0" distB="0" distL="0" distR="0" simplePos="0" relativeHeight="487556608" behindDoc="0" locked="0" layoutInCell="1" allowOverlap="1" wp14:anchorId="05B585FD" wp14:editId="1FE1F50F">
                <wp:simplePos x="0" y="0"/>
                <wp:positionH relativeFrom="page">
                  <wp:posOffset>5003396</wp:posOffset>
                </wp:positionH>
                <wp:positionV relativeFrom="paragraph">
                  <wp:posOffset>77316</wp:posOffset>
                </wp:positionV>
                <wp:extent cx="1151890" cy="1755775"/>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51890" cy="1755775"/>
                          <a:chOff x="0" y="0"/>
                          <a:chExt cx="1151890" cy="1755775"/>
                        </a:xfrm>
                      </wpg:grpSpPr>
                      <wps:wsp>
                        <wps:cNvPr id="67" name="Graphic 67"/>
                        <wps:cNvSpPr/>
                        <wps:spPr>
                          <a:xfrm>
                            <a:off x="1839" y="1839"/>
                            <a:ext cx="1148080" cy="1751964"/>
                          </a:xfrm>
                          <a:custGeom>
                            <a:avLst/>
                            <a:gdLst/>
                            <a:ahLst/>
                            <a:cxnLst/>
                            <a:rect l="l" t="t" r="r" b="b"/>
                            <a:pathLst>
                              <a:path w="1148080" h="1751964">
                                <a:moveTo>
                                  <a:pt x="0" y="1751816"/>
                                </a:moveTo>
                                <a:lnTo>
                                  <a:pt x="1147827" y="1751816"/>
                                </a:lnTo>
                                <a:lnTo>
                                  <a:pt x="1147827" y="0"/>
                                </a:lnTo>
                                <a:lnTo>
                                  <a:pt x="0" y="0"/>
                                </a:lnTo>
                                <a:lnTo>
                                  <a:pt x="0" y="1751816"/>
                                </a:lnTo>
                                <a:close/>
                              </a:path>
                            </a:pathLst>
                          </a:custGeom>
                          <a:ln w="3679">
                            <a:solidFill>
                              <a:srgbClr val="000000"/>
                            </a:solidFill>
                            <a:prstDash val="solid"/>
                          </a:ln>
                        </wps:spPr>
                        <wps:bodyPr wrap="square" lIns="0" tIns="0" rIns="0" bIns="0" rtlCol="0">
                          <a:prstTxWarp prst="textNoShape">
                            <a:avLst/>
                          </a:prstTxWarp>
                          <a:noAutofit/>
                        </wps:bodyPr>
                      </wps:wsp>
                      <wps:wsp>
                        <wps:cNvPr id="68" name="Textbox 68"/>
                        <wps:cNvSpPr txBox="1"/>
                        <wps:spPr>
                          <a:xfrm>
                            <a:off x="0" y="0"/>
                            <a:ext cx="1151890" cy="1755775"/>
                          </a:xfrm>
                          <a:prstGeom prst="rect">
                            <a:avLst/>
                          </a:prstGeom>
                        </wps:spPr>
                        <wps:txbx>
                          <w:txbxContent>
                            <w:p w:rsidR="00A6771A" w:rsidRDefault="00A6771A" w:rsidP="00A6771A">
                              <w:pPr>
                                <w:spacing w:before="48" w:line="288" w:lineRule="auto"/>
                                <w:ind w:left="83"/>
                                <w:rPr>
                                  <w:rFonts w:ascii="Calibri"/>
                                  <w:sz w:val="13"/>
                                </w:rPr>
                              </w:pPr>
                              <w:r>
                                <w:rPr>
                                  <w:rFonts w:ascii="Calibri"/>
                                  <w:sz w:val="13"/>
                                </w:rPr>
                                <w:t>Series:Standardized</w:t>
                              </w:r>
                              <w:r>
                                <w:rPr>
                                  <w:rFonts w:ascii="Calibri"/>
                                  <w:spacing w:val="-10"/>
                                  <w:sz w:val="13"/>
                                </w:rPr>
                                <w:t xml:space="preserve"> </w:t>
                              </w:r>
                              <w:r>
                                <w:rPr>
                                  <w:rFonts w:ascii="Calibri"/>
                                  <w:sz w:val="13"/>
                                </w:rPr>
                                <w:t>Residuals</w:t>
                              </w:r>
                              <w:r>
                                <w:rPr>
                                  <w:rFonts w:ascii="Calibri"/>
                                  <w:spacing w:val="40"/>
                                  <w:sz w:val="13"/>
                                </w:rPr>
                                <w:t xml:space="preserve"> </w:t>
                              </w:r>
                              <w:r>
                                <w:rPr>
                                  <w:rFonts w:ascii="Calibri"/>
                                  <w:sz w:val="13"/>
                                </w:rPr>
                                <w:t>Sample 2018 2022</w:t>
                              </w:r>
                            </w:p>
                            <w:p w:rsidR="00A6771A" w:rsidRDefault="00A6771A" w:rsidP="00A6771A">
                              <w:pPr>
                                <w:spacing w:before="1"/>
                                <w:ind w:left="83"/>
                                <w:rPr>
                                  <w:rFonts w:ascii="Calibri"/>
                                  <w:sz w:val="13"/>
                                </w:rPr>
                              </w:pPr>
                              <w:r>
                                <w:rPr>
                                  <w:rFonts w:ascii="Calibri"/>
                                  <w:spacing w:val="2"/>
                                  <w:sz w:val="13"/>
                                </w:rPr>
                                <w:t>Observations</w:t>
                              </w:r>
                              <w:r>
                                <w:rPr>
                                  <w:rFonts w:ascii="Calibri"/>
                                  <w:spacing w:val="41"/>
                                  <w:sz w:val="13"/>
                                </w:rPr>
                                <w:t xml:space="preserve"> </w:t>
                              </w:r>
                              <w:r>
                                <w:rPr>
                                  <w:rFonts w:ascii="Calibri"/>
                                  <w:spacing w:val="-5"/>
                                  <w:sz w:val="13"/>
                                </w:rPr>
                                <w:t>35</w:t>
                              </w:r>
                            </w:p>
                          </w:txbxContent>
                        </wps:txbx>
                        <wps:bodyPr wrap="square" lIns="0" tIns="0" rIns="0" bIns="0" rtlCol="0">
                          <a:noAutofit/>
                        </wps:bodyPr>
                      </wps:wsp>
                    </wpg:wgp>
                  </a:graphicData>
                </a:graphic>
              </wp:anchor>
            </w:drawing>
          </mc:Choice>
          <mc:Fallback>
            <w:pict>
              <v:group w14:anchorId="05B585FD" id="Group 66" o:spid="_x0000_s1026" style="position:absolute;left:0;text-align:left;margin-left:393.95pt;margin-top:6.1pt;width:90.7pt;height:138.25pt;z-index:487556608;mso-wrap-distance-left:0;mso-wrap-distance-right:0;mso-position-horizontal-relative:page" coordsize="11518,17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">
                <v:shape id="Graphic 67" o:spid="_x0000_s1027" style="position:absolute;left:18;top:18;width:11481;height:17520;visibility:visible;mso-wrap-style:square;v-text-anchor:top" coordsize="1148080,1751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PfesMA&#10;AADbAAAADwAAAGRycy9kb3ducmV2LnhtbESPT2vCQBTE74LfYXlCb7ppD1FTVymVQnoyxuD5kX35&#10;Q7NvQ3Yb02/fFQSPw8z8htkdJtOJkQbXWlbwuopAEJdWt1wrKC5fyw0I55E1dpZJwR85OOznsx0m&#10;2t74TGPuaxEg7BJU0HjfJ1K6siGDbmV74uBVdjDogxxqqQe8Bbjp5FsUxdJgy2GhwZ4+Gyp/8l+j&#10;oJKEm21fXMvYjccsO1bVd3pS6mUxfbyD8DT5Z/jRTrWCeA33L+EHyP0/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ePfesMAAADbAAAADwAAAAAAAAAAAAAAAACYAgAAZHJzL2Rv&#10;d25yZXYueG1sUEsFBgAAAAAEAAQA9QAAAIgDAAAAAA==&#10;" path="m,1751816r1147827,l1147827,,,,,1751816xe" filled="f" strokeweight=".1022mm">
                  <v:path arrowok="t"/>
                </v:shape>
                <v:shapetype id="_x0000_t202" coordsize="21600,21600" o:spt="202" path="m,l,21600r21600,l21600,xe">
                  <v:stroke joinstyle="miter"/>
                  <v:path gradientshapeok="t" o:connecttype="rect"/>
                </v:shapetype>
                <v:shape id="Textbox 68" o:spid="_x0000_s1028" type="#_x0000_t202" style="position:absolute;width:11518;height:175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0ndzMAA&#10;AADbAAAADwAAAGRycy9kb3ducmV2LnhtbERPTYvCMBC9C/6HMMLeNNVD0WoUEQVhYdnaPexxbMY2&#10;2ExqE7X77zcHwePjfa82vW3EgzpvHCuYThIQxKXThisFP8VhPAfhA7LGxjEp+CMPm/VwsMJMuyfn&#10;9DiFSsQQ9hkqqENoMyl9WZNFP3EtceQurrMYIuwqqTt8xnDbyFmSpNKi4dhQY0u7msrr6W4VbH85&#10;35vb1/k7v+SmKBYJf6ZXpT5G/XYJIlAf3uKX+6gVpHFs/BJ/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0ndzMAAAADbAAAADwAAAAAAAAAAAAAAAACYAgAAZHJzL2Rvd25y&#10;ZXYueG1sUEsFBgAAAAAEAAQA9QAAAIUDAAAAAA==&#10;" filled="f" stroked="f">
                  <v:textbox inset="0,0,0,0">
                    <w:txbxContent>
                      <w:p w:rsidR="00A6771A" w:rsidRDefault="00A6771A" w:rsidP="00A6771A">
                        <w:pPr>
                          <w:spacing w:before="48" w:line="288" w:lineRule="auto"/>
                          <w:ind w:left="83"/>
                          <w:rPr>
                            <w:rFonts w:ascii="Calibri"/>
                            <w:sz w:val="13"/>
                          </w:rPr>
                        </w:pPr>
                        <w:r>
                          <w:rPr>
                            <w:rFonts w:ascii="Calibri"/>
                            <w:sz w:val="13"/>
                          </w:rPr>
                          <w:t>Series:Standardized</w:t>
                        </w:r>
                        <w:r>
                          <w:rPr>
                            <w:rFonts w:ascii="Calibri"/>
                            <w:spacing w:val="-10"/>
                            <w:sz w:val="13"/>
                          </w:rPr>
                          <w:t xml:space="preserve"> </w:t>
                        </w:r>
                        <w:r>
                          <w:rPr>
                            <w:rFonts w:ascii="Calibri"/>
                            <w:sz w:val="13"/>
                          </w:rPr>
                          <w:t>Residuals</w:t>
                        </w:r>
                        <w:r>
                          <w:rPr>
                            <w:rFonts w:ascii="Calibri"/>
                            <w:spacing w:val="40"/>
                            <w:sz w:val="13"/>
                          </w:rPr>
                          <w:t xml:space="preserve"> </w:t>
                        </w:r>
                        <w:r>
                          <w:rPr>
                            <w:rFonts w:ascii="Calibri"/>
                            <w:sz w:val="13"/>
                          </w:rPr>
                          <w:t>Sample 2018 2022</w:t>
                        </w:r>
                      </w:p>
                      <w:p w:rsidR="00A6771A" w:rsidRDefault="00A6771A" w:rsidP="00A6771A">
                        <w:pPr>
                          <w:spacing w:before="1"/>
                          <w:ind w:left="83"/>
                          <w:rPr>
                            <w:rFonts w:ascii="Calibri"/>
                            <w:sz w:val="13"/>
                          </w:rPr>
                        </w:pPr>
                        <w:r>
                          <w:rPr>
                            <w:rFonts w:ascii="Calibri"/>
                            <w:spacing w:val="2"/>
                            <w:sz w:val="13"/>
                          </w:rPr>
                          <w:t>Observations</w:t>
                        </w:r>
                        <w:r>
                          <w:rPr>
                            <w:rFonts w:ascii="Calibri"/>
                            <w:spacing w:val="41"/>
                            <w:sz w:val="13"/>
                          </w:rPr>
                          <w:t xml:space="preserve"> </w:t>
                        </w:r>
                        <w:r>
                          <w:rPr>
                            <w:rFonts w:ascii="Calibri"/>
                            <w:spacing w:val="-5"/>
                            <w:sz w:val="13"/>
                          </w:rPr>
                          <w:t>35</w:t>
                        </w:r>
                      </w:p>
                    </w:txbxContent>
                  </v:textbox>
                </v:shape>
                <w10:wrap anchorx="page"/>
              </v:group>
            </w:pict>
          </mc:Fallback>
        </mc:AlternateContent>
      </w:r>
      <w:r>
        <w:rPr>
          <w:rFonts w:ascii="Calibri"/>
          <w:spacing w:val="-10"/>
          <w:sz w:val="15"/>
        </w:rPr>
        <w:t>8</w:t>
      </w:r>
    </w:p>
    <w:p w:rsidR="00A6771A" w:rsidRDefault="00A6771A" w:rsidP="00A6771A">
      <w:pPr>
        <w:spacing w:before="110"/>
        <w:ind w:left="1110"/>
        <w:rPr>
          <w:rFonts w:ascii="Calibri"/>
          <w:sz w:val="15"/>
        </w:rPr>
      </w:pPr>
      <w:r>
        <w:rPr>
          <w:noProof/>
          <w:lang w:val="en-US"/>
        </w:rPr>
        <mc:AlternateContent>
          <mc:Choice Requires="wpg">
            <w:drawing>
              <wp:anchor distT="0" distB="0" distL="0" distR="0" simplePos="0" relativeHeight="487555584" behindDoc="0" locked="0" layoutInCell="1" allowOverlap="1" wp14:anchorId="3A82F221" wp14:editId="4C8F9FDF">
                <wp:simplePos x="0" y="0"/>
                <wp:positionH relativeFrom="page">
                  <wp:posOffset>1853565</wp:posOffset>
                </wp:positionH>
                <wp:positionV relativeFrom="paragraph">
                  <wp:posOffset>147712</wp:posOffset>
                </wp:positionV>
                <wp:extent cx="3026410" cy="130937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26410" cy="1309370"/>
                          <a:chOff x="0" y="0"/>
                          <a:chExt cx="3026410" cy="1309370"/>
                        </a:xfrm>
                      </wpg:grpSpPr>
                      <wps:wsp>
                        <wps:cNvPr id="70" name="Graphic 70"/>
                        <wps:cNvSpPr/>
                        <wps:spPr>
                          <a:xfrm>
                            <a:off x="2542089" y="1121072"/>
                            <a:ext cx="484505" cy="1270"/>
                          </a:xfrm>
                          <a:custGeom>
                            <a:avLst/>
                            <a:gdLst/>
                            <a:ahLst/>
                            <a:cxnLst/>
                            <a:rect l="l" t="t" r="r" b="b"/>
                            <a:pathLst>
                              <a:path w="484505">
                                <a:moveTo>
                                  <a:pt x="0" y="0"/>
                                </a:moveTo>
                                <a:lnTo>
                                  <a:pt x="228679" y="0"/>
                                </a:lnTo>
                              </a:path>
                              <a:path w="484505">
                                <a:moveTo>
                                  <a:pt x="458084" y="0"/>
                                </a:moveTo>
                                <a:lnTo>
                                  <a:pt x="483917" y="0"/>
                                </a:lnTo>
                              </a:path>
                            </a:pathLst>
                          </a:custGeom>
                          <a:ln w="1831">
                            <a:solidFill>
                              <a:srgbClr val="E8E8E8"/>
                            </a:solidFill>
                            <a:prstDash val="solid"/>
                          </a:ln>
                        </wps:spPr>
                        <wps:bodyPr wrap="square" lIns="0" tIns="0" rIns="0" bIns="0" rtlCol="0">
                          <a:prstTxWarp prst="textNoShape">
                            <a:avLst/>
                          </a:prstTxWarp>
                          <a:noAutofit/>
                        </wps:bodyPr>
                      </wps:wsp>
                      <wps:wsp>
                        <wps:cNvPr id="71" name="Graphic 71"/>
                        <wps:cNvSpPr/>
                        <wps:spPr>
                          <a:xfrm>
                            <a:off x="0" y="1121072"/>
                            <a:ext cx="481965" cy="1270"/>
                          </a:xfrm>
                          <a:custGeom>
                            <a:avLst/>
                            <a:gdLst/>
                            <a:ahLst/>
                            <a:cxnLst/>
                            <a:rect l="l" t="t" r="r" b="b"/>
                            <a:pathLst>
                              <a:path w="481965">
                                <a:moveTo>
                                  <a:pt x="0" y="0"/>
                                </a:moveTo>
                                <a:lnTo>
                                  <a:pt x="481725" y="0"/>
                                </a:lnTo>
                              </a:path>
                            </a:pathLst>
                          </a:custGeom>
                          <a:ln w="1831">
                            <a:solidFill>
                              <a:srgbClr val="E8E8E8"/>
                            </a:solidFill>
                            <a:prstDash val="solid"/>
                          </a:ln>
                        </wps:spPr>
                        <wps:bodyPr wrap="square" lIns="0" tIns="0" rIns="0" bIns="0" rtlCol="0">
                          <a:prstTxWarp prst="textNoShape">
                            <a:avLst/>
                          </a:prstTxWarp>
                          <a:noAutofit/>
                        </wps:bodyPr>
                      </wps:wsp>
                      <wps:wsp>
                        <wps:cNvPr id="72" name="Graphic 72"/>
                        <wps:cNvSpPr/>
                        <wps:spPr>
                          <a:xfrm>
                            <a:off x="1397253" y="934817"/>
                            <a:ext cx="1628775" cy="186690"/>
                          </a:xfrm>
                          <a:custGeom>
                            <a:avLst/>
                            <a:gdLst/>
                            <a:ahLst/>
                            <a:cxnLst/>
                            <a:rect l="l" t="t" r="r" b="b"/>
                            <a:pathLst>
                              <a:path w="1628775" h="186690">
                                <a:moveTo>
                                  <a:pt x="686581" y="186255"/>
                                </a:moveTo>
                                <a:lnTo>
                                  <a:pt x="916221" y="186255"/>
                                </a:lnTo>
                              </a:path>
                              <a:path w="1628775" h="186690">
                                <a:moveTo>
                                  <a:pt x="1144836" y="0"/>
                                </a:moveTo>
                                <a:lnTo>
                                  <a:pt x="1628754" y="0"/>
                                </a:lnTo>
                              </a:path>
                              <a:path w="1628775" h="186690">
                                <a:moveTo>
                                  <a:pt x="0" y="0"/>
                                </a:moveTo>
                                <a:lnTo>
                                  <a:pt x="229426" y="0"/>
                                </a:lnTo>
                              </a:path>
                            </a:pathLst>
                          </a:custGeom>
                          <a:ln w="1831">
                            <a:solidFill>
                              <a:srgbClr val="E8E8E8"/>
                            </a:solidFill>
                            <a:prstDash val="solid"/>
                          </a:ln>
                        </wps:spPr>
                        <wps:bodyPr wrap="square" lIns="0" tIns="0" rIns="0" bIns="0" rtlCol="0">
                          <a:prstTxWarp prst="textNoShape">
                            <a:avLst/>
                          </a:prstTxWarp>
                          <a:noAutofit/>
                        </wps:bodyPr>
                      </wps:wsp>
                      <wps:wsp>
                        <wps:cNvPr id="73" name="Graphic 73"/>
                        <wps:cNvSpPr/>
                        <wps:spPr>
                          <a:xfrm>
                            <a:off x="0" y="934817"/>
                            <a:ext cx="481965" cy="1270"/>
                          </a:xfrm>
                          <a:custGeom>
                            <a:avLst/>
                            <a:gdLst/>
                            <a:ahLst/>
                            <a:cxnLst/>
                            <a:rect l="l" t="t" r="r" b="b"/>
                            <a:pathLst>
                              <a:path w="481965">
                                <a:moveTo>
                                  <a:pt x="0" y="0"/>
                                </a:moveTo>
                                <a:lnTo>
                                  <a:pt x="481725" y="0"/>
                                </a:lnTo>
                              </a:path>
                            </a:pathLst>
                          </a:custGeom>
                          <a:ln w="1831">
                            <a:solidFill>
                              <a:srgbClr val="E8E8E8"/>
                            </a:solidFill>
                            <a:prstDash val="solid"/>
                          </a:ln>
                        </wps:spPr>
                        <wps:bodyPr wrap="square" lIns="0" tIns="0" rIns="0" bIns="0" rtlCol="0">
                          <a:prstTxWarp prst="textNoShape">
                            <a:avLst/>
                          </a:prstTxWarp>
                          <a:noAutofit/>
                        </wps:bodyPr>
                      </wps:wsp>
                      <wps:wsp>
                        <wps:cNvPr id="74" name="Graphic 74"/>
                        <wps:cNvSpPr/>
                        <wps:spPr>
                          <a:xfrm>
                            <a:off x="1397253" y="747787"/>
                            <a:ext cx="1628775" cy="187325"/>
                          </a:xfrm>
                          <a:custGeom>
                            <a:avLst/>
                            <a:gdLst/>
                            <a:ahLst/>
                            <a:cxnLst/>
                            <a:rect l="l" t="t" r="r" b="b"/>
                            <a:pathLst>
                              <a:path w="1628775" h="187325">
                                <a:moveTo>
                                  <a:pt x="686581" y="187029"/>
                                </a:moveTo>
                                <a:lnTo>
                                  <a:pt x="916221" y="187029"/>
                                </a:lnTo>
                              </a:path>
                              <a:path w="1628775" h="187325">
                                <a:moveTo>
                                  <a:pt x="1144836" y="0"/>
                                </a:moveTo>
                                <a:lnTo>
                                  <a:pt x="1628754" y="0"/>
                                </a:lnTo>
                              </a:path>
                              <a:path w="1628775" h="187325">
                                <a:moveTo>
                                  <a:pt x="0" y="0"/>
                                </a:moveTo>
                                <a:lnTo>
                                  <a:pt x="916221" y="0"/>
                                </a:lnTo>
                              </a:path>
                            </a:pathLst>
                          </a:custGeom>
                          <a:ln w="1831">
                            <a:solidFill>
                              <a:srgbClr val="E8E8E8"/>
                            </a:solidFill>
                            <a:prstDash val="solid"/>
                          </a:ln>
                        </wps:spPr>
                        <wps:bodyPr wrap="square" lIns="0" tIns="0" rIns="0" bIns="0" rtlCol="0">
                          <a:prstTxWarp prst="textNoShape">
                            <a:avLst/>
                          </a:prstTxWarp>
                          <a:noAutofit/>
                        </wps:bodyPr>
                      </wps:wsp>
                      <wps:wsp>
                        <wps:cNvPr id="75" name="Graphic 75"/>
                        <wps:cNvSpPr/>
                        <wps:spPr>
                          <a:xfrm>
                            <a:off x="0" y="188269"/>
                            <a:ext cx="3026410" cy="560070"/>
                          </a:xfrm>
                          <a:custGeom>
                            <a:avLst/>
                            <a:gdLst/>
                            <a:ahLst/>
                            <a:cxnLst/>
                            <a:rect l="l" t="t" r="r" b="b"/>
                            <a:pathLst>
                              <a:path w="3026410" h="560070">
                                <a:moveTo>
                                  <a:pt x="0" y="559518"/>
                                </a:moveTo>
                                <a:lnTo>
                                  <a:pt x="710329" y="559518"/>
                                </a:lnTo>
                              </a:path>
                              <a:path w="3026410" h="560070">
                                <a:moveTo>
                                  <a:pt x="2542089" y="373263"/>
                                </a:moveTo>
                                <a:lnTo>
                                  <a:pt x="3026007" y="373263"/>
                                </a:lnTo>
                              </a:path>
                              <a:path w="3026410" h="560070">
                                <a:moveTo>
                                  <a:pt x="0" y="373263"/>
                                </a:moveTo>
                                <a:lnTo>
                                  <a:pt x="2313474" y="373263"/>
                                </a:lnTo>
                              </a:path>
                              <a:path w="3026410" h="560070">
                                <a:moveTo>
                                  <a:pt x="0" y="186255"/>
                                </a:moveTo>
                                <a:lnTo>
                                  <a:pt x="2313474" y="186255"/>
                                </a:lnTo>
                              </a:path>
                              <a:path w="3026410" h="560070">
                                <a:moveTo>
                                  <a:pt x="2542089" y="186255"/>
                                </a:moveTo>
                                <a:lnTo>
                                  <a:pt x="3026007" y="186255"/>
                                </a:lnTo>
                              </a:path>
                              <a:path w="3026410" h="560070">
                                <a:moveTo>
                                  <a:pt x="0" y="0"/>
                                </a:moveTo>
                                <a:lnTo>
                                  <a:pt x="2313474" y="0"/>
                                </a:lnTo>
                              </a:path>
                              <a:path w="3026410" h="560070">
                                <a:moveTo>
                                  <a:pt x="2542089" y="0"/>
                                </a:moveTo>
                                <a:lnTo>
                                  <a:pt x="3026007" y="0"/>
                                </a:lnTo>
                              </a:path>
                            </a:pathLst>
                          </a:custGeom>
                          <a:ln w="1831">
                            <a:solidFill>
                              <a:srgbClr val="E8E8E8"/>
                            </a:solidFill>
                            <a:prstDash val="solid"/>
                          </a:ln>
                        </wps:spPr>
                        <wps:bodyPr wrap="square" lIns="0" tIns="0" rIns="0" bIns="0" rtlCol="0">
                          <a:prstTxWarp prst="textNoShape">
                            <a:avLst/>
                          </a:prstTxWarp>
                          <a:noAutofit/>
                        </wps:bodyPr>
                      </wps:wsp>
                      <wps:wsp>
                        <wps:cNvPr id="76" name="Graphic 76"/>
                        <wps:cNvSpPr/>
                        <wps:spPr>
                          <a:xfrm>
                            <a:off x="0" y="953"/>
                            <a:ext cx="3026410" cy="1270"/>
                          </a:xfrm>
                          <a:custGeom>
                            <a:avLst/>
                            <a:gdLst/>
                            <a:ahLst/>
                            <a:cxnLst/>
                            <a:rect l="l" t="t" r="r" b="b"/>
                            <a:pathLst>
                              <a:path w="3026410">
                                <a:moveTo>
                                  <a:pt x="0" y="0"/>
                                </a:moveTo>
                                <a:lnTo>
                                  <a:pt x="3026007" y="0"/>
                                </a:lnTo>
                              </a:path>
                            </a:pathLst>
                          </a:custGeom>
                          <a:ln w="1831">
                            <a:solidFill>
                              <a:srgbClr val="E8E8E8"/>
                            </a:solidFill>
                            <a:prstDash val="solid"/>
                          </a:ln>
                        </wps:spPr>
                        <wps:bodyPr wrap="square" lIns="0" tIns="0" rIns="0" bIns="0" rtlCol="0">
                          <a:prstTxWarp prst="textNoShape">
                            <a:avLst/>
                          </a:prstTxWarp>
                          <a:noAutofit/>
                        </wps:bodyPr>
                      </wps:wsp>
                      <wps:wsp>
                        <wps:cNvPr id="77" name="Graphic 77"/>
                        <wps:cNvSpPr/>
                        <wps:spPr>
                          <a:xfrm>
                            <a:off x="24495" y="1121072"/>
                            <a:ext cx="229235" cy="187325"/>
                          </a:xfrm>
                          <a:custGeom>
                            <a:avLst/>
                            <a:gdLst/>
                            <a:ahLst/>
                            <a:cxnLst/>
                            <a:rect l="l" t="t" r="r" b="b"/>
                            <a:pathLst>
                              <a:path w="229235" h="187325">
                                <a:moveTo>
                                  <a:pt x="228614" y="0"/>
                                </a:moveTo>
                                <a:lnTo>
                                  <a:pt x="0" y="0"/>
                                </a:lnTo>
                                <a:lnTo>
                                  <a:pt x="0" y="187029"/>
                                </a:lnTo>
                                <a:lnTo>
                                  <a:pt x="228614" y="187029"/>
                                </a:lnTo>
                                <a:lnTo>
                                  <a:pt x="228614" y="0"/>
                                </a:lnTo>
                                <a:close/>
                              </a:path>
                            </a:pathLst>
                          </a:custGeom>
                          <a:solidFill>
                            <a:srgbClr val="7192CA"/>
                          </a:solidFill>
                        </wps:spPr>
                        <wps:bodyPr wrap="square" lIns="0" tIns="0" rIns="0" bIns="0" rtlCol="0">
                          <a:prstTxWarp prst="textNoShape">
                            <a:avLst/>
                          </a:prstTxWarp>
                          <a:noAutofit/>
                        </wps:bodyPr>
                      </wps:wsp>
                      <wps:wsp>
                        <wps:cNvPr id="78" name="Graphic 78"/>
                        <wps:cNvSpPr/>
                        <wps:spPr>
                          <a:xfrm>
                            <a:off x="24495" y="1121072"/>
                            <a:ext cx="229235" cy="187325"/>
                          </a:xfrm>
                          <a:custGeom>
                            <a:avLst/>
                            <a:gdLst/>
                            <a:ahLst/>
                            <a:cxnLst/>
                            <a:rect l="l" t="t" r="r" b="b"/>
                            <a:pathLst>
                              <a:path w="229235" h="187325">
                                <a:moveTo>
                                  <a:pt x="0" y="187029"/>
                                </a:moveTo>
                                <a:lnTo>
                                  <a:pt x="228614" y="187029"/>
                                </a:lnTo>
                                <a:lnTo>
                                  <a:pt x="228614" y="0"/>
                                </a:lnTo>
                                <a:lnTo>
                                  <a:pt x="0" y="0"/>
                                </a:lnTo>
                                <a:lnTo>
                                  <a:pt x="0" y="187029"/>
                                </a:lnTo>
                                <a:close/>
                              </a:path>
                            </a:pathLst>
                          </a:custGeom>
                          <a:ln w="1836">
                            <a:solidFill>
                              <a:srgbClr val="C0C0C0"/>
                            </a:solidFill>
                            <a:prstDash val="solid"/>
                          </a:ln>
                        </wps:spPr>
                        <wps:bodyPr wrap="square" lIns="0" tIns="0" rIns="0" bIns="0" rtlCol="0">
                          <a:prstTxWarp prst="textNoShape">
                            <a:avLst/>
                          </a:prstTxWarp>
                          <a:noAutofit/>
                        </wps:bodyPr>
                      </wps:wsp>
                      <wps:wsp>
                        <wps:cNvPr id="79" name="Graphic 79"/>
                        <wps:cNvSpPr/>
                        <wps:spPr>
                          <a:xfrm>
                            <a:off x="481725" y="747787"/>
                            <a:ext cx="229235" cy="560705"/>
                          </a:xfrm>
                          <a:custGeom>
                            <a:avLst/>
                            <a:gdLst/>
                            <a:ahLst/>
                            <a:cxnLst/>
                            <a:rect l="l" t="t" r="r" b="b"/>
                            <a:pathLst>
                              <a:path w="229235" h="560705">
                                <a:moveTo>
                                  <a:pt x="228614" y="0"/>
                                </a:moveTo>
                                <a:lnTo>
                                  <a:pt x="0" y="0"/>
                                </a:lnTo>
                                <a:lnTo>
                                  <a:pt x="0" y="560314"/>
                                </a:lnTo>
                                <a:lnTo>
                                  <a:pt x="228614" y="560314"/>
                                </a:lnTo>
                                <a:lnTo>
                                  <a:pt x="228614" y="0"/>
                                </a:lnTo>
                                <a:close/>
                              </a:path>
                            </a:pathLst>
                          </a:custGeom>
                          <a:solidFill>
                            <a:srgbClr val="7192CA"/>
                          </a:solidFill>
                        </wps:spPr>
                        <wps:bodyPr wrap="square" lIns="0" tIns="0" rIns="0" bIns="0" rtlCol="0">
                          <a:prstTxWarp prst="textNoShape">
                            <a:avLst/>
                          </a:prstTxWarp>
                          <a:noAutofit/>
                        </wps:bodyPr>
                      </wps:wsp>
                      <wps:wsp>
                        <wps:cNvPr id="80" name="Graphic 80"/>
                        <wps:cNvSpPr/>
                        <wps:spPr>
                          <a:xfrm>
                            <a:off x="481725" y="747787"/>
                            <a:ext cx="229235" cy="560705"/>
                          </a:xfrm>
                          <a:custGeom>
                            <a:avLst/>
                            <a:gdLst/>
                            <a:ahLst/>
                            <a:cxnLst/>
                            <a:rect l="l" t="t" r="r" b="b"/>
                            <a:pathLst>
                              <a:path w="229235" h="560705">
                                <a:moveTo>
                                  <a:pt x="0" y="560314"/>
                                </a:moveTo>
                                <a:lnTo>
                                  <a:pt x="228614" y="560314"/>
                                </a:lnTo>
                                <a:lnTo>
                                  <a:pt x="228614" y="0"/>
                                </a:lnTo>
                                <a:lnTo>
                                  <a:pt x="0" y="0"/>
                                </a:lnTo>
                                <a:lnTo>
                                  <a:pt x="0" y="560314"/>
                                </a:lnTo>
                                <a:close/>
                              </a:path>
                            </a:pathLst>
                          </a:custGeom>
                          <a:ln w="1841">
                            <a:solidFill>
                              <a:srgbClr val="C0C0C0"/>
                            </a:solidFill>
                            <a:prstDash val="solid"/>
                          </a:ln>
                        </wps:spPr>
                        <wps:bodyPr wrap="square" lIns="0" tIns="0" rIns="0" bIns="0" rtlCol="0">
                          <a:prstTxWarp prst="textNoShape">
                            <a:avLst/>
                          </a:prstTxWarp>
                          <a:noAutofit/>
                        </wps:bodyPr>
                      </wps:wsp>
                      <wps:wsp>
                        <wps:cNvPr id="81" name="Graphic 81"/>
                        <wps:cNvSpPr/>
                        <wps:spPr>
                          <a:xfrm>
                            <a:off x="710329" y="561532"/>
                            <a:ext cx="229870" cy="746760"/>
                          </a:xfrm>
                          <a:custGeom>
                            <a:avLst/>
                            <a:gdLst/>
                            <a:ahLst/>
                            <a:cxnLst/>
                            <a:rect l="l" t="t" r="r" b="b"/>
                            <a:pathLst>
                              <a:path w="229870" h="746760">
                                <a:moveTo>
                                  <a:pt x="229672" y="0"/>
                                </a:moveTo>
                                <a:lnTo>
                                  <a:pt x="0" y="0"/>
                                </a:lnTo>
                                <a:lnTo>
                                  <a:pt x="0" y="746569"/>
                                </a:lnTo>
                                <a:lnTo>
                                  <a:pt x="229672" y="746569"/>
                                </a:lnTo>
                                <a:lnTo>
                                  <a:pt x="229672" y="0"/>
                                </a:lnTo>
                                <a:close/>
                              </a:path>
                            </a:pathLst>
                          </a:custGeom>
                          <a:solidFill>
                            <a:srgbClr val="7192CA"/>
                          </a:solidFill>
                        </wps:spPr>
                        <wps:bodyPr wrap="square" lIns="0" tIns="0" rIns="0" bIns="0" rtlCol="0">
                          <a:prstTxWarp prst="textNoShape">
                            <a:avLst/>
                          </a:prstTxWarp>
                          <a:noAutofit/>
                        </wps:bodyPr>
                      </wps:wsp>
                      <wps:wsp>
                        <wps:cNvPr id="82" name="Graphic 82"/>
                        <wps:cNvSpPr/>
                        <wps:spPr>
                          <a:xfrm>
                            <a:off x="710329" y="561532"/>
                            <a:ext cx="229870" cy="746760"/>
                          </a:xfrm>
                          <a:custGeom>
                            <a:avLst/>
                            <a:gdLst/>
                            <a:ahLst/>
                            <a:cxnLst/>
                            <a:rect l="l" t="t" r="r" b="b"/>
                            <a:pathLst>
                              <a:path w="229870" h="746760">
                                <a:moveTo>
                                  <a:pt x="0" y="746569"/>
                                </a:moveTo>
                                <a:lnTo>
                                  <a:pt x="229672" y="746569"/>
                                </a:lnTo>
                                <a:lnTo>
                                  <a:pt x="229672" y="0"/>
                                </a:lnTo>
                                <a:lnTo>
                                  <a:pt x="0" y="0"/>
                                </a:lnTo>
                                <a:lnTo>
                                  <a:pt x="0" y="746569"/>
                                </a:lnTo>
                                <a:close/>
                              </a:path>
                            </a:pathLst>
                          </a:custGeom>
                          <a:ln w="1842">
                            <a:solidFill>
                              <a:srgbClr val="C0C0C0"/>
                            </a:solidFill>
                            <a:prstDash val="solid"/>
                          </a:ln>
                        </wps:spPr>
                        <wps:bodyPr wrap="square" lIns="0" tIns="0" rIns="0" bIns="0" rtlCol="0">
                          <a:prstTxWarp prst="textNoShape">
                            <a:avLst/>
                          </a:prstTxWarp>
                          <a:noAutofit/>
                        </wps:bodyPr>
                      </wps:wsp>
                      <wps:wsp>
                        <wps:cNvPr id="83" name="Graphic 83"/>
                        <wps:cNvSpPr/>
                        <wps:spPr>
                          <a:xfrm>
                            <a:off x="940001" y="561532"/>
                            <a:ext cx="229235" cy="746760"/>
                          </a:xfrm>
                          <a:custGeom>
                            <a:avLst/>
                            <a:gdLst/>
                            <a:ahLst/>
                            <a:cxnLst/>
                            <a:rect l="l" t="t" r="r" b="b"/>
                            <a:pathLst>
                              <a:path w="229235" h="746760">
                                <a:moveTo>
                                  <a:pt x="228614" y="0"/>
                                </a:moveTo>
                                <a:lnTo>
                                  <a:pt x="0" y="0"/>
                                </a:lnTo>
                                <a:lnTo>
                                  <a:pt x="0" y="746569"/>
                                </a:lnTo>
                                <a:lnTo>
                                  <a:pt x="228614" y="746569"/>
                                </a:lnTo>
                                <a:lnTo>
                                  <a:pt x="228614" y="0"/>
                                </a:lnTo>
                                <a:close/>
                              </a:path>
                            </a:pathLst>
                          </a:custGeom>
                          <a:solidFill>
                            <a:srgbClr val="7192CA"/>
                          </a:solidFill>
                        </wps:spPr>
                        <wps:bodyPr wrap="square" lIns="0" tIns="0" rIns="0" bIns="0" rtlCol="0">
                          <a:prstTxWarp prst="textNoShape">
                            <a:avLst/>
                          </a:prstTxWarp>
                          <a:noAutofit/>
                        </wps:bodyPr>
                      </wps:wsp>
                      <wps:wsp>
                        <wps:cNvPr id="84" name="Graphic 84"/>
                        <wps:cNvSpPr/>
                        <wps:spPr>
                          <a:xfrm>
                            <a:off x="940001" y="561532"/>
                            <a:ext cx="229235" cy="746760"/>
                          </a:xfrm>
                          <a:custGeom>
                            <a:avLst/>
                            <a:gdLst/>
                            <a:ahLst/>
                            <a:cxnLst/>
                            <a:rect l="l" t="t" r="r" b="b"/>
                            <a:pathLst>
                              <a:path w="229235" h="746760">
                                <a:moveTo>
                                  <a:pt x="0" y="746569"/>
                                </a:moveTo>
                                <a:lnTo>
                                  <a:pt x="228614" y="746569"/>
                                </a:lnTo>
                                <a:lnTo>
                                  <a:pt x="228614" y="0"/>
                                </a:lnTo>
                                <a:lnTo>
                                  <a:pt x="0" y="0"/>
                                </a:lnTo>
                                <a:lnTo>
                                  <a:pt x="0" y="746569"/>
                                </a:lnTo>
                                <a:close/>
                              </a:path>
                            </a:pathLst>
                          </a:custGeom>
                          <a:ln w="1842">
                            <a:solidFill>
                              <a:srgbClr val="C0C0C0"/>
                            </a:solidFill>
                            <a:prstDash val="solid"/>
                          </a:ln>
                        </wps:spPr>
                        <wps:bodyPr wrap="square" lIns="0" tIns="0" rIns="0" bIns="0" rtlCol="0">
                          <a:prstTxWarp prst="textNoShape">
                            <a:avLst/>
                          </a:prstTxWarp>
                          <a:noAutofit/>
                        </wps:bodyPr>
                      </wps:wsp>
                      <wps:wsp>
                        <wps:cNvPr id="85" name="Graphic 85"/>
                        <wps:cNvSpPr/>
                        <wps:spPr>
                          <a:xfrm>
                            <a:off x="1168638" y="561532"/>
                            <a:ext cx="229235" cy="746760"/>
                          </a:xfrm>
                          <a:custGeom>
                            <a:avLst/>
                            <a:gdLst/>
                            <a:ahLst/>
                            <a:cxnLst/>
                            <a:rect l="l" t="t" r="r" b="b"/>
                            <a:pathLst>
                              <a:path w="229235" h="746760">
                                <a:moveTo>
                                  <a:pt x="228614" y="0"/>
                                </a:moveTo>
                                <a:lnTo>
                                  <a:pt x="0" y="0"/>
                                </a:lnTo>
                                <a:lnTo>
                                  <a:pt x="0" y="746569"/>
                                </a:lnTo>
                                <a:lnTo>
                                  <a:pt x="228614" y="746569"/>
                                </a:lnTo>
                                <a:lnTo>
                                  <a:pt x="228614" y="0"/>
                                </a:lnTo>
                                <a:close/>
                              </a:path>
                            </a:pathLst>
                          </a:custGeom>
                          <a:solidFill>
                            <a:srgbClr val="7192CA"/>
                          </a:solidFill>
                        </wps:spPr>
                        <wps:bodyPr wrap="square" lIns="0" tIns="0" rIns="0" bIns="0" rtlCol="0">
                          <a:prstTxWarp prst="textNoShape">
                            <a:avLst/>
                          </a:prstTxWarp>
                          <a:noAutofit/>
                        </wps:bodyPr>
                      </wps:wsp>
                      <wps:wsp>
                        <wps:cNvPr id="86" name="Graphic 86"/>
                        <wps:cNvSpPr/>
                        <wps:spPr>
                          <a:xfrm>
                            <a:off x="1168638" y="561532"/>
                            <a:ext cx="229235" cy="746760"/>
                          </a:xfrm>
                          <a:custGeom>
                            <a:avLst/>
                            <a:gdLst/>
                            <a:ahLst/>
                            <a:cxnLst/>
                            <a:rect l="l" t="t" r="r" b="b"/>
                            <a:pathLst>
                              <a:path w="229235" h="746760">
                                <a:moveTo>
                                  <a:pt x="0" y="746569"/>
                                </a:moveTo>
                                <a:lnTo>
                                  <a:pt x="228614" y="746569"/>
                                </a:lnTo>
                                <a:lnTo>
                                  <a:pt x="228614" y="0"/>
                                </a:lnTo>
                                <a:lnTo>
                                  <a:pt x="0" y="0"/>
                                </a:lnTo>
                                <a:lnTo>
                                  <a:pt x="0" y="746569"/>
                                </a:lnTo>
                                <a:close/>
                              </a:path>
                            </a:pathLst>
                          </a:custGeom>
                          <a:ln w="1842">
                            <a:solidFill>
                              <a:srgbClr val="C0C0C0"/>
                            </a:solidFill>
                            <a:prstDash val="solid"/>
                          </a:ln>
                        </wps:spPr>
                        <wps:bodyPr wrap="square" lIns="0" tIns="0" rIns="0" bIns="0" rtlCol="0">
                          <a:prstTxWarp prst="textNoShape">
                            <a:avLst/>
                          </a:prstTxWarp>
                          <a:noAutofit/>
                        </wps:bodyPr>
                      </wps:wsp>
                      <wps:wsp>
                        <wps:cNvPr id="87" name="Graphic 87"/>
                        <wps:cNvSpPr/>
                        <wps:spPr>
                          <a:xfrm>
                            <a:off x="1397178" y="934817"/>
                            <a:ext cx="229870" cy="373380"/>
                          </a:xfrm>
                          <a:custGeom>
                            <a:avLst/>
                            <a:gdLst/>
                            <a:ahLst/>
                            <a:cxnLst/>
                            <a:rect l="l" t="t" r="r" b="b"/>
                            <a:pathLst>
                              <a:path w="229870" h="373380">
                                <a:moveTo>
                                  <a:pt x="229405" y="0"/>
                                </a:moveTo>
                                <a:lnTo>
                                  <a:pt x="0" y="0"/>
                                </a:lnTo>
                                <a:lnTo>
                                  <a:pt x="0" y="373284"/>
                                </a:lnTo>
                                <a:lnTo>
                                  <a:pt x="229405" y="373284"/>
                                </a:lnTo>
                                <a:lnTo>
                                  <a:pt x="229405" y="0"/>
                                </a:lnTo>
                                <a:close/>
                              </a:path>
                            </a:pathLst>
                          </a:custGeom>
                          <a:solidFill>
                            <a:srgbClr val="7192CA"/>
                          </a:solidFill>
                        </wps:spPr>
                        <wps:bodyPr wrap="square" lIns="0" tIns="0" rIns="0" bIns="0" rtlCol="0">
                          <a:prstTxWarp prst="textNoShape">
                            <a:avLst/>
                          </a:prstTxWarp>
                          <a:noAutofit/>
                        </wps:bodyPr>
                      </wps:wsp>
                      <wps:wsp>
                        <wps:cNvPr id="88" name="Graphic 88"/>
                        <wps:cNvSpPr/>
                        <wps:spPr>
                          <a:xfrm>
                            <a:off x="1397178" y="934817"/>
                            <a:ext cx="229870" cy="373380"/>
                          </a:xfrm>
                          <a:custGeom>
                            <a:avLst/>
                            <a:gdLst/>
                            <a:ahLst/>
                            <a:cxnLst/>
                            <a:rect l="l" t="t" r="r" b="b"/>
                            <a:pathLst>
                              <a:path w="229870" h="373380">
                                <a:moveTo>
                                  <a:pt x="0" y="373284"/>
                                </a:moveTo>
                                <a:lnTo>
                                  <a:pt x="229405" y="373284"/>
                                </a:lnTo>
                                <a:lnTo>
                                  <a:pt x="229405" y="0"/>
                                </a:lnTo>
                                <a:lnTo>
                                  <a:pt x="0" y="0"/>
                                </a:lnTo>
                                <a:lnTo>
                                  <a:pt x="0" y="373284"/>
                                </a:lnTo>
                                <a:close/>
                              </a:path>
                            </a:pathLst>
                          </a:custGeom>
                          <a:ln w="1840">
                            <a:solidFill>
                              <a:srgbClr val="C0C0C0"/>
                            </a:solidFill>
                            <a:prstDash val="solid"/>
                          </a:ln>
                        </wps:spPr>
                        <wps:bodyPr wrap="square" lIns="0" tIns="0" rIns="0" bIns="0" rtlCol="0">
                          <a:prstTxWarp prst="textNoShape">
                            <a:avLst/>
                          </a:prstTxWarp>
                          <a:noAutofit/>
                        </wps:bodyPr>
                      </wps:wsp>
                      <wps:wsp>
                        <wps:cNvPr id="89" name="Graphic 89"/>
                        <wps:cNvSpPr/>
                        <wps:spPr>
                          <a:xfrm>
                            <a:off x="1626679" y="747787"/>
                            <a:ext cx="229235" cy="560705"/>
                          </a:xfrm>
                          <a:custGeom>
                            <a:avLst/>
                            <a:gdLst/>
                            <a:ahLst/>
                            <a:cxnLst/>
                            <a:rect l="l" t="t" r="r" b="b"/>
                            <a:pathLst>
                              <a:path w="229235" h="560705">
                                <a:moveTo>
                                  <a:pt x="228614" y="0"/>
                                </a:moveTo>
                                <a:lnTo>
                                  <a:pt x="0" y="0"/>
                                </a:lnTo>
                                <a:lnTo>
                                  <a:pt x="0" y="560314"/>
                                </a:lnTo>
                                <a:lnTo>
                                  <a:pt x="228614" y="560314"/>
                                </a:lnTo>
                                <a:lnTo>
                                  <a:pt x="228614" y="0"/>
                                </a:lnTo>
                                <a:close/>
                              </a:path>
                            </a:pathLst>
                          </a:custGeom>
                          <a:solidFill>
                            <a:srgbClr val="7192CA"/>
                          </a:solidFill>
                        </wps:spPr>
                        <wps:bodyPr wrap="square" lIns="0" tIns="0" rIns="0" bIns="0" rtlCol="0">
                          <a:prstTxWarp prst="textNoShape">
                            <a:avLst/>
                          </a:prstTxWarp>
                          <a:noAutofit/>
                        </wps:bodyPr>
                      </wps:wsp>
                      <wps:wsp>
                        <wps:cNvPr id="90" name="Graphic 90"/>
                        <wps:cNvSpPr/>
                        <wps:spPr>
                          <a:xfrm>
                            <a:off x="1626679" y="747787"/>
                            <a:ext cx="229235" cy="560705"/>
                          </a:xfrm>
                          <a:custGeom>
                            <a:avLst/>
                            <a:gdLst/>
                            <a:ahLst/>
                            <a:cxnLst/>
                            <a:rect l="l" t="t" r="r" b="b"/>
                            <a:pathLst>
                              <a:path w="229235" h="560705">
                                <a:moveTo>
                                  <a:pt x="0" y="560314"/>
                                </a:moveTo>
                                <a:lnTo>
                                  <a:pt x="228614" y="560314"/>
                                </a:lnTo>
                                <a:lnTo>
                                  <a:pt x="228614" y="0"/>
                                </a:lnTo>
                                <a:lnTo>
                                  <a:pt x="0" y="0"/>
                                </a:lnTo>
                                <a:lnTo>
                                  <a:pt x="0" y="560314"/>
                                </a:lnTo>
                                <a:close/>
                              </a:path>
                            </a:pathLst>
                          </a:custGeom>
                          <a:ln w="1841">
                            <a:solidFill>
                              <a:srgbClr val="C0C0C0"/>
                            </a:solidFill>
                            <a:prstDash val="solid"/>
                          </a:ln>
                        </wps:spPr>
                        <wps:bodyPr wrap="square" lIns="0" tIns="0" rIns="0" bIns="0" rtlCol="0">
                          <a:prstTxWarp prst="textNoShape">
                            <a:avLst/>
                          </a:prstTxWarp>
                          <a:noAutofit/>
                        </wps:bodyPr>
                      </wps:wsp>
                      <wps:wsp>
                        <wps:cNvPr id="91" name="Graphic 91"/>
                        <wps:cNvSpPr/>
                        <wps:spPr>
                          <a:xfrm>
                            <a:off x="1855219" y="747787"/>
                            <a:ext cx="229235" cy="560705"/>
                          </a:xfrm>
                          <a:custGeom>
                            <a:avLst/>
                            <a:gdLst/>
                            <a:ahLst/>
                            <a:cxnLst/>
                            <a:rect l="l" t="t" r="r" b="b"/>
                            <a:pathLst>
                              <a:path w="229235" h="560705">
                                <a:moveTo>
                                  <a:pt x="228614" y="0"/>
                                </a:moveTo>
                                <a:lnTo>
                                  <a:pt x="0" y="0"/>
                                </a:lnTo>
                                <a:lnTo>
                                  <a:pt x="0" y="560314"/>
                                </a:lnTo>
                                <a:lnTo>
                                  <a:pt x="228614" y="560314"/>
                                </a:lnTo>
                                <a:lnTo>
                                  <a:pt x="228614" y="0"/>
                                </a:lnTo>
                                <a:close/>
                              </a:path>
                            </a:pathLst>
                          </a:custGeom>
                          <a:solidFill>
                            <a:srgbClr val="7192CA"/>
                          </a:solidFill>
                        </wps:spPr>
                        <wps:bodyPr wrap="square" lIns="0" tIns="0" rIns="0" bIns="0" rtlCol="0">
                          <a:prstTxWarp prst="textNoShape">
                            <a:avLst/>
                          </a:prstTxWarp>
                          <a:noAutofit/>
                        </wps:bodyPr>
                      </wps:wsp>
                      <wps:wsp>
                        <wps:cNvPr id="92" name="Graphic 92"/>
                        <wps:cNvSpPr/>
                        <wps:spPr>
                          <a:xfrm>
                            <a:off x="1855219" y="747787"/>
                            <a:ext cx="229235" cy="560705"/>
                          </a:xfrm>
                          <a:custGeom>
                            <a:avLst/>
                            <a:gdLst/>
                            <a:ahLst/>
                            <a:cxnLst/>
                            <a:rect l="l" t="t" r="r" b="b"/>
                            <a:pathLst>
                              <a:path w="229235" h="560705">
                                <a:moveTo>
                                  <a:pt x="0" y="560314"/>
                                </a:moveTo>
                                <a:lnTo>
                                  <a:pt x="228614" y="560314"/>
                                </a:lnTo>
                                <a:lnTo>
                                  <a:pt x="228614" y="0"/>
                                </a:lnTo>
                                <a:lnTo>
                                  <a:pt x="0" y="0"/>
                                </a:lnTo>
                                <a:lnTo>
                                  <a:pt x="0" y="560314"/>
                                </a:lnTo>
                                <a:close/>
                              </a:path>
                            </a:pathLst>
                          </a:custGeom>
                          <a:ln w="1841">
                            <a:solidFill>
                              <a:srgbClr val="C0C0C0"/>
                            </a:solidFill>
                            <a:prstDash val="solid"/>
                          </a:ln>
                        </wps:spPr>
                        <wps:bodyPr wrap="square" lIns="0" tIns="0" rIns="0" bIns="0" rtlCol="0">
                          <a:prstTxWarp prst="textNoShape">
                            <a:avLst/>
                          </a:prstTxWarp>
                          <a:noAutofit/>
                        </wps:bodyPr>
                      </wps:wsp>
                      <wps:wsp>
                        <wps:cNvPr id="93" name="Graphic 93"/>
                        <wps:cNvSpPr/>
                        <wps:spPr>
                          <a:xfrm>
                            <a:off x="2083866" y="1121072"/>
                            <a:ext cx="229870" cy="187325"/>
                          </a:xfrm>
                          <a:custGeom>
                            <a:avLst/>
                            <a:gdLst/>
                            <a:ahLst/>
                            <a:cxnLst/>
                            <a:rect l="l" t="t" r="r" b="b"/>
                            <a:pathLst>
                              <a:path w="229870" h="187325">
                                <a:moveTo>
                                  <a:pt x="229672" y="0"/>
                                </a:moveTo>
                                <a:lnTo>
                                  <a:pt x="0" y="0"/>
                                </a:lnTo>
                                <a:lnTo>
                                  <a:pt x="0" y="187029"/>
                                </a:lnTo>
                                <a:lnTo>
                                  <a:pt x="229672" y="187029"/>
                                </a:lnTo>
                                <a:lnTo>
                                  <a:pt x="229672" y="0"/>
                                </a:lnTo>
                                <a:close/>
                              </a:path>
                            </a:pathLst>
                          </a:custGeom>
                          <a:solidFill>
                            <a:srgbClr val="7192CA"/>
                          </a:solidFill>
                        </wps:spPr>
                        <wps:bodyPr wrap="square" lIns="0" tIns="0" rIns="0" bIns="0" rtlCol="0">
                          <a:prstTxWarp prst="textNoShape">
                            <a:avLst/>
                          </a:prstTxWarp>
                          <a:noAutofit/>
                        </wps:bodyPr>
                      </wps:wsp>
                      <wps:wsp>
                        <wps:cNvPr id="94" name="Graphic 94"/>
                        <wps:cNvSpPr/>
                        <wps:spPr>
                          <a:xfrm>
                            <a:off x="2083866" y="1121072"/>
                            <a:ext cx="229870" cy="187325"/>
                          </a:xfrm>
                          <a:custGeom>
                            <a:avLst/>
                            <a:gdLst/>
                            <a:ahLst/>
                            <a:cxnLst/>
                            <a:rect l="l" t="t" r="r" b="b"/>
                            <a:pathLst>
                              <a:path w="229870" h="187325">
                                <a:moveTo>
                                  <a:pt x="0" y="187029"/>
                                </a:moveTo>
                                <a:lnTo>
                                  <a:pt x="229672" y="187029"/>
                                </a:lnTo>
                                <a:lnTo>
                                  <a:pt x="229672" y="0"/>
                                </a:lnTo>
                                <a:lnTo>
                                  <a:pt x="0" y="0"/>
                                </a:lnTo>
                                <a:lnTo>
                                  <a:pt x="0" y="187029"/>
                                </a:lnTo>
                                <a:close/>
                              </a:path>
                            </a:pathLst>
                          </a:custGeom>
                          <a:ln w="1836">
                            <a:solidFill>
                              <a:srgbClr val="C0C0C0"/>
                            </a:solidFill>
                            <a:prstDash val="solid"/>
                          </a:ln>
                        </wps:spPr>
                        <wps:bodyPr wrap="square" lIns="0" tIns="0" rIns="0" bIns="0" rtlCol="0">
                          <a:prstTxWarp prst="textNoShape">
                            <a:avLst/>
                          </a:prstTxWarp>
                          <a:noAutofit/>
                        </wps:bodyPr>
                      </wps:wsp>
                      <wps:wsp>
                        <wps:cNvPr id="95" name="Graphic 95"/>
                        <wps:cNvSpPr/>
                        <wps:spPr>
                          <a:xfrm>
                            <a:off x="2313475" y="921"/>
                            <a:ext cx="229235" cy="1307465"/>
                          </a:xfrm>
                          <a:custGeom>
                            <a:avLst/>
                            <a:gdLst/>
                            <a:ahLst/>
                            <a:cxnLst/>
                            <a:rect l="l" t="t" r="r" b="b"/>
                            <a:pathLst>
                              <a:path w="229235" h="1307465">
                                <a:moveTo>
                                  <a:pt x="228614" y="0"/>
                                </a:moveTo>
                                <a:lnTo>
                                  <a:pt x="0" y="0"/>
                                </a:lnTo>
                                <a:lnTo>
                                  <a:pt x="0" y="1307180"/>
                                </a:lnTo>
                                <a:lnTo>
                                  <a:pt x="228614" y="1307180"/>
                                </a:lnTo>
                                <a:lnTo>
                                  <a:pt x="228614" y="0"/>
                                </a:lnTo>
                                <a:close/>
                              </a:path>
                            </a:pathLst>
                          </a:custGeom>
                          <a:solidFill>
                            <a:srgbClr val="7192CA"/>
                          </a:solidFill>
                        </wps:spPr>
                        <wps:bodyPr wrap="square" lIns="0" tIns="0" rIns="0" bIns="0" rtlCol="0">
                          <a:prstTxWarp prst="textNoShape">
                            <a:avLst/>
                          </a:prstTxWarp>
                          <a:noAutofit/>
                        </wps:bodyPr>
                      </wps:wsp>
                      <wps:wsp>
                        <wps:cNvPr id="96" name="Graphic 96"/>
                        <wps:cNvSpPr/>
                        <wps:spPr>
                          <a:xfrm>
                            <a:off x="2313475" y="921"/>
                            <a:ext cx="229235" cy="1307465"/>
                          </a:xfrm>
                          <a:custGeom>
                            <a:avLst/>
                            <a:gdLst/>
                            <a:ahLst/>
                            <a:cxnLst/>
                            <a:rect l="l" t="t" r="r" b="b"/>
                            <a:pathLst>
                              <a:path w="229235" h="1307465">
                                <a:moveTo>
                                  <a:pt x="0" y="1307180"/>
                                </a:moveTo>
                                <a:lnTo>
                                  <a:pt x="228614" y="1307180"/>
                                </a:lnTo>
                                <a:lnTo>
                                  <a:pt x="228614" y="0"/>
                                </a:lnTo>
                                <a:lnTo>
                                  <a:pt x="0" y="0"/>
                                </a:lnTo>
                                <a:lnTo>
                                  <a:pt x="0" y="1307180"/>
                                </a:lnTo>
                                <a:close/>
                              </a:path>
                            </a:pathLst>
                          </a:custGeom>
                          <a:ln w="1843">
                            <a:solidFill>
                              <a:srgbClr val="C0C0C0"/>
                            </a:solidFill>
                            <a:prstDash val="solid"/>
                          </a:ln>
                        </wps:spPr>
                        <wps:bodyPr wrap="square" lIns="0" tIns="0" rIns="0" bIns="0" rtlCol="0">
                          <a:prstTxWarp prst="textNoShape">
                            <a:avLst/>
                          </a:prstTxWarp>
                          <a:noAutofit/>
                        </wps:bodyPr>
                      </wps:wsp>
                      <wps:wsp>
                        <wps:cNvPr id="97" name="Graphic 97"/>
                        <wps:cNvSpPr/>
                        <wps:spPr>
                          <a:xfrm>
                            <a:off x="2542121" y="1121072"/>
                            <a:ext cx="229235" cy="187325"/>
                          </a:xfrm>
                          <a:custGeom>
                            <a:avLst/>
                            <a:gdLst/>
                            <a:ahLst/>
                            <a:cxnLst/>
                            <a:rect l="l" t="t" r="r" b="b"/>
                            <a:pathLst>
                              <a:path w="229235" h="187325">
                                <a:moveTo>
                                  <a:pt x="228614" y="0"/>
                                </a:moveTo>
                                <a:lnTo>
                                  <a:pt x="0" y="0"/>
                                </a:lnTo>
                                <a:lnTo>
                                  <a:pt x="0" y="187029"/>
                                </a:lnTo>
                                <a:lnTo>
                                  <a:pt x="228614" y="187029"/>
                                </a:lnTo>
                                <a:lnTo>
                                  <a:pt x="228614" y="0"/>
                                </a:lnTo>
                                <a:close/>
                              </a:path>
                            </a:pathLst>
                          </a:custGeom>
                          <a:solidFill>
                            <a:srgbClr val="7192CA"/>
                          </a:solidFill>
                        </wps:spPr>
                        <wps:bodyPr wrap="square" lIns="0" tIns="0" rIns="0" bIns="0" rtlCol="0">
                          <a:prstTxWarp prst="textNoShape">
                            <a:avLst/>
                          </a:prstTxWarp>
                          <a:noAutofit/>
                        </wps:bodyPr>
                      </wps:wsp>
                      <wps:wsp>
                        <wps:cNvPr id="98" name="Graphic 98"/>
                        <wps:cNvSpPr/>
                        <wps:spPr>
                          <a:xfrm>
                            <a:off x="2542121" y="1121072"/>
                            <a:ext cx="229235" cy="187325"/>
                          </a:xfrm>
                          <a:custGeom>
                            <a:avLst/>
                            <a:gdLst/>
                            <a:ahLst/>
                            <a:cxnLst/>
                            <a:rect l="l" t="t" r="r" b="b"/>
                            <a:pathLst>
                              <a:path w="229235" h="187325">
                                <a:moveTo>
                                  <a:pt x="0" y="187029"/>
                                </a:moveTo>
                                <a:lnTo>
                                  <a:pt x="228614" y="187029"/>
                                </a:lnTo>
                                <a:lnTo>
                                  <a:pt x="228614" y="0"/>
                                </a:lnTo>
                                <a:lnTo>
                                  <a:pt x="0" y="0"/>
                                </a:lnTo>
                                <a:lnTo>
                                  <a:pt x="0" y="187029"/>
                                </a:lnTo>
                                <a:close/>
                              </a:path>
                            </a:pathLst>
                          </a:custGeom>
                          <a:ln w="1836">
                            <a:solidFill>
                              <a:srgbClr val="C0C0C0"/>
                            </a:solidFill>
                            <a:prstDash val="solid"/>
                          </a:ln>
                        </wps:spPr>
                        <wps:bodyPr wrap="square" lIns="0" tIns="0" rIns="0" bIns="0" rtlCol="0">
                          <a:prstTxWarp prst="textNoShape">
                            <a:avLst/>
                          </a:prstTxWarp>
                          <a:noAutofit/>
                        </wps:bodyPr>
                      </wps:wsp>
                      <wps:wsp>
                        <wps:cNvPr id="99" name="Graphic 99"/>
                        <wps:cNvSpPr/>
                        <wps:spPr>
                          <a:xfrm>
                            <a:off x="2770768" y="934817"/>
                            <a:ext cx="229870" cy="373380"/>
                          </a:xfrm>
                          <a:custGeom>
                            <a:avLst/>
                            <a:gdLst/>
                            <a:ahLst/>
                            <a:cxnLst/>
                            <a:rect l="l" t="t" r="r" b="b"/>
                            <a:pathLst>
                              <a:path w="229870" h="373380">
                                <a:moveTo>
                                  <a:pt x="229405" y="0"/>
                                </a:moveTo>
                                <a:lnTo>
                                  <a:pt x="0" y="0"/>
                                </a:lnTo>
                                <a:lnTo>
                                  <a:pt x="0" y="373284"/>
                                </a:lnTo>
                                <a:lnTo>
                                  <a:pt x="229405" y="373284"/>
                                </a:lnTo>
                                <a:lnTo>
                                  <a:pt x="229405" y="0"/>
                                </a:lnTo>
                                <a:close/>
                              </a:path>
                            </a:pathLst>
                          </a:custGeom>
                          <a:solidFill>
                            <a:srgbClr val="7192CA"/>
                          </a:solidFill>
                        </wps:spPr>
                        <wps:bodyPr wrap="square" lIns="0" tIns="0" rIns="0" bIns="0" rtlCol="0">
                          <a:prstTxWarp prst="textNoShape">
                            <a:avLst/>
                          </a:prstTxWarp>
                          <a:noAutofit/>
                        </wps:bodyPr>
                      </wps:wsp>
                      <wps:wsp>
                        <wps:cNvPr id="100" name="Graphic 100"/>
                        <wps:cNvSpPr/>
                        <wps:spPr>
                          <a:xfrm>
                            <a:off x="2770768" y="934817"/>
                            <a:ext cx="229870" cy="373380"/>
                          </a:xfrm>
                          <a:custGeom>
                            <a:avLst/>
                            <a:gdLst/>
                            <a:ahLst/>
                            <a:cxnLst/>
                            <a:rect l="l" t="t" r="r" b="b"/>
                            <a:pathLst>
                              <a:path w="229870" h="373380">
                                <a:moveTo>
                                  <a:pt x="0" y="373284"/>
                                </a:moveTo>
                                <a:lnTo>
                                  <a:pt x="229405" y="373284"/>
                                </a:lnTo>
                                <a:lnTo>
                                  <a:pt x="229405" y="0"/>
                                </a:lnTo>
                                <a:lnTo>
                                  <a:pt x="0" y="0"/>
                                </a:lnTo>
                                <a:lnTo>
                                  <a:pt x="0" y="373284"/>
                                </a:lnTo>
                                <a:close/>
                              </a:path>
                            </a:pathLst>
                          </a:custGeom>
                          <a:ln w="1840">
                            <a:solidFill>
                              <a:srgbClr val="C0C0C0"/>
                            </a:solidFill>
                            <a:prstDash val="solid"/>
                          </a:ln>
                        </wps:spPr>
                        <wps:bodyPr wrap="square" lIns="0" tIns="0" rIns="0" bIns="0" rtlCol="0">
                          <a:prstTxWarp prst="textNoShape">
                            <a:avLst/>
                          </a:prstTxWarp>
                          <a:noAutofit/>
                        </wps:bodyPr>
                      </wps:wsp>
                    </wpg:wgp>
                  </a:graphicData>
                </a:graphic>
                <wp14:sizeRelH relativeFrom="margin">
                  <wp14:pctWidth>0</wp14:pctWidth>
                </wp14:sizeRelH>
              </wp:anchor>
            </w:drawing>
          </mc:Choice>
          <mc:Fallback>
            <w:pict>
              <v:group w14:anchorId="262800DA" id="Group 69" o:spid="_x0000_s1026" style="position:absolute;margin-left:145.95pt;margin-top:11.65pt;width:238.3pt;height:103.1pt;z-index:487555584;mso-wrap-distance-left:0;mso-wrap-distance-right:0;mso-position-horizontal-relative:page;mso-width-relative:margin" coordsize="30264,13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">
                <v:shape id="Graphic 70" o:spid="_x0000_s1027" style="position:absolute;left:25420;top:11210;width:4845;height:13;visibility:visible;mso-wrap-style:square;v-text-anchor:top" coordsize="48450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W8YcIA&#10;AADbAAAADwAAAGRycy9kb3ducmV2LnhtbERPTWsCMRC9F/ofwhS81awKVVajSK0gbRFcFfQ2bMbN&#10;4mayJFG3/745FHp8vO/ZorONuJMPtWMFg34Ggrh0uuZKwWG/fp2ACBFZY+OYFPxQgMX8+WmGuXYP&#10;3tG9iJVIIRxyVGBibHMpQ2nIYui7ljhxF+ctxgR9JbXHRwq3jRxm2Zu0WHNqMNjSu6HyWtysAv9x&#10;Gn5utuNjNKvb6lyM+Pv6NVKq99ItpyAidfFf/OfeaAXjtD59ST9Az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bxhwgAAANsAAAAPAAAAAAAAAAAAAAAAAJgCAABkcnMvZG93&#10;bnJldi54bWxQSwUGAAAAAAQABAD1AAAAhwMAAAAA&#10;" path="m,l228679,em458084,r25833,e" filled="f" strokecolor="#e8e8e8" strokeweight=".05086mm">
                  <v:path arrowok="t"/>
                </v:shape>
                <v:shape id="Graphic 71" o:spid="_x0000_s1028" style="position:absolute;top:11210;width:4819;height:13;visibility:visible;mso-wrap-style:square;v-text-anchor:top" coordsize="4819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BYAMQA&#10;AADbAAAADwAAAGRycy9kb3ducmV2LnhtbESPQWvCQBSE74L/YXmF3nRjhSqpqxQhIFIoUcHrM/u6&#10;CWbfptk1if++WxA8DjPzDbPaDLYWHbW+cqxgNk1AEBdOV2wUnI7ZZAnCB2SNtWNScCcPm/V4tMJU&#10;u55z6g7BiAhhn6KCMoQmldIXJVn0U9cQR+/HtRZDlK2RusU+wm0t35LkXVqsOC6U2NC2pOJ6uFkF&#10;59/E9HOzz7Ps8nXOj9X34nrvlHp9GT4/QAQawjP8aO+0gsUM/r/EHy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3QWADEAAAA2wAAAA8AAAAAAAAAAAAAAAAAmAIAAGRycy9k&#10;b3ducmV2LnhtbFBLBQYAAAAABAAEAPUAAACJAwAAAAA=&#10;" path="m,l481725,e" filled="f" strokecolor="#e8e8e8" strokeweight=".05086mm">
                  <v:path arrowok="t"/>
                </v:shape>
                <v:shape id="Graphic 72" o:spid="_x0000_s1029" style="position:absolute;left:13972;top:9348;width:16288;height:1867;visibility:visible;mso-wrap-style:square;v-text-anchor:top" coordsize="1628775,1866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Xt8IA&#10;AADbAAAADwAAAGRycy9kb3ducmV2LnhtbESPQWsCMRSE74X+h/AKvdWsW6myGkWlpV61tl4fyXN3&#10;cfOyJum6/nsjFHocZuYbZrbobSM68qF2rGA4yEAQa2dqLhXsvz5eJiBCRDbYOCYFVwqwmD8+zLAw&#10;7sJb6naxFAnCoUAFVYxtIWXQFVkMA9cSJ+/ovMWYpC+l8XhJcNvIPMvepMWa00KFLa0r0qfdr1Vw&#10;+jRavq9G+O1fzz/t9aAnPApKPT/1yymISH38D/+1N0bBOIf7l/QD5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J5e3wgAAANsAAAAPAAAAAAAAAAAAAAAAAJgCAABkcnMvZG93&#10;bnJldi54bWxQSwUGAAAAAAQABAD1AAAAhwMAAAAA&#10;" path="m686581,186255r229640,em1144836,r483918,em,l229426,e" filled="f" strokecolor="#e8e8e8" strokeweight=".05086mm">
                  <v:path arrowok="t"/>
                </v:shape>
                <v:shape id="Graphic 73" o:spid="_x0000_s1030" style="position:absolute;top:9348;width:4819;height:12;visibility:visible;mso-wrap-style:square;v-text-anchor:top" coordsize="48196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5j7MQA&#10;AADbAAAADwAAAGRycy9kb3ducmV2LnhtbESPQWvCQBSE7wX/w/KE3uqmFaqkrlKEQJGCRAWvz+zr&#10;Jph9G7NrEv+9WxA8DjPzDbNYDbYWHbW+cqzgfZKAIC6crtgoOOyztzkIH5A11o5JwY08rJajlwWm&#10;2vWcU7cLRkQI+xQVlCE0qZS+KMmin7iGOHp/rrUYomyN1C32EW5r+ZEkn9JixXGhxIbWJRXn3dUq&#10;OF4S00/NJs+y0+8x31fb2fnWKfU6Hr6/QAQawjP8aP9oBbMp/H+JP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OY+zEAAAA2wAAAA8AAAAAAAAAAAAAAAAAmAIAAGRycy9k&#10;b3ducmV2LnhtbFBLBQYAAAAABAAEAPUAAACJAwAAAAA=&#10;" path="m,l481725,e" filled="f" strokecolor="#e8e8e8" strokeweight=".05086mm">
                  <v:path arrowok="t"/>
                </v:shape>
                <v:shape id="Graphic 74" o:spid="_x0000_s1031" style="position:absolute;left:13972;top:7477;width:16288;height:1874;visibility:visible;mso-wrap-style:square;v-text-anchor:top" coordsize="1628775,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uGtMUA&#10;AADbAAAADwAAAGRycy9kb3ducmV2LnhtbESPQWsCMRSE7wX/Q3iCl1KzSrGyNYooBUUqrEp7fW6e&#10;u4ubl+0mavrvjVDocZiZb5jJLJhaXKl1lWUFg34Cgji3uuJCwWH/8TIG4TyyxtoyKfglB7Np52mC&#10;qbY3zui684WIEHYpKii9b1IpXV6SQde3DXH0TrY16KNsC6lbvEW4qeUwSUbSYMVxocSGFiXl593F&#10;KPjZfH99bpajNYVwXBWH7Dmj81apXjfM30F4Cv4//NdeaQVvr/D4En+An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a4a0xQAAANsAAAAPAAAAAAAAAAAAAAAAAJgCAABkcnMv&#10;ZG93bnJldi54bWxQSwUGAAAAAAQABAD1AAAAigMAAAAA&#10;" path="m686581,187029r229640,em1144836,r483918,em,l916221,e" filled="f" strokecolor="#e8e8e8" strokeweight=".05086mm">
                  <v:path arrowok="t"/>
                </v:shape>
                <v:shape id="Graphic 75" o:spid="_x0000_s1032" style="position:absolute;top:1882;width:30264;height:5601;visibility:visible;mso-wrap-style:square;v-text-anchor:top" coordsize="3026410,56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sQlsQA&#10;AADbAAAADwAAAGRycy9kb3ducmV2LnhtbESPQWvCQBSE74L/YXlCb7pRqrapq6i06FUjld4e2WeS&#10;mn0bsmuM/fVdQfA4zMw3zGzRmlI0VLvCsoLhIAJBnFpdcKbgkHz130A4j6yxtEwKbuRgMe92Zhhr&#10;e+UdNXufiQBhF6OC3PsqltKlORl0A1sRB+9ka4M+yDqTusZrgJtSjqJoIg0WHBZyrGidU3reX4yC&#10;v9Pq51i02fj7/fX3krjD8bPhjVIvvXb5AcJT65/hR3urFUzHcP8SfoCc/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HrEJbEAAAA2wAAAA8AAAAAAAAAAAAAAAAAmAIAAGRycy9k&#10;b3ducmV2LnhtbFBLBQYAAAAABAAEAPUAAACJAwAAAAA=&#10;" path="m,559518r710329,em2542089,373263r483918,em,373263r2313474,em,186255r2313474,em2542089,186255r483918,em,l2313474,em2542089,r483918,e" filled="f" strokecolor="#e8e8e8" strokeweight=".05086mm">
                  <v:path arrowok="t"/>
                </v:shape>
                <v:shape id="Graphic 76" o:spid="_x0000_s1033" style="position:absolute;top:9;width:30264;height:13;visibility:visible;mso-wrap-style:square;v-text-anchor:top" coordsize="302641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3ph3MIA&#10;AADbAAAADwAAAGRycy9kb3ducmV2LnhtbESPT4vCMBTE7wt+h/AEb2uqiKvVKCKInlzqn/uzeTbF&#10;5qU0Uet++s3CgsdhZn7DzJetrcSDGl86VjDoJyCIc6dLLhScjpvPCQgfkDVWjknBizwsF52POaba&#10;PTmjxyEUIkLYp6jAhFCnUvrckEXfdzVx9K6usRiibAqpG3xGuK3kMEnG0mLJccFgTWtD+e1wtwq+&#10;p9vsfBl5mbsfOTEh2dcZ7ZXqddvVDESgNrzD/+2dVvA1hr8v8QfI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emHcwgAAANsAAAAPAAAAAAAAAAAAAAAAAJgCAABkcnMvZG93&#10;bnJldi54bWxQSwUGAAAAAAQABAD1AAAAhwMAAAAA&#10;" path="m,l3026007,e" filled="f" strokecolor="#e8e8e8" strokeweight=".05086mm">
                  <v:path arrowok="t"/>
                </v:shape>
                <v:shape id="Graphic 77" o:spid="_x0000_s1034" style="position:absolute;left:244;top:11210;width:2293;height:1873;visibility:visible;mso-wrap-style:square;v-text-anchor:top" coordsize="229235,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8YvsUA&#10;AADbAAAADwAAAGRycy9kb3ducmV2LnhtbESPQWsCMRSE74X+h/AKvdWsQlVWoyxFS6F40HrQ23Pz&#10;3AQ3L9tNquu/N4LQ4zAz3zDTeedqcaY2WM8K+r0MBHHpteVKwfZn+TYGESKyxtozKbhSgPns+WmK&#10;ufYXXtN5EyuRIBxyVGBibHIpQ2nIYej5hjh5R986jEm2ldQtXhLc1XKQZUPp0HJaMNjQh6HytPlz&#10;CtaL+tMu3otlcVzt4r74/TYDe1Dq9aUrJiAidfE//Gh/aQWjEdy/pB8gZ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zxi+xQAAANsAAAAPAAAAAAAAAAAAAAAAAJgCAABkcnMv&#10;ZG93bnJldi54bWxQSwUGAAAAAAQABAD1AAAAigMAAAAA&#10;" path="m228614,l,,,187029r228614,l228614,xe" fillcolor="#7192ca" stroked="f">
                  <v:path arrowok="t"/>
                </v:shape>
                <v:shape id="Graphic 78" o:spid="_x0000_s1035" style="position:absolute;left:244;top:11210;width:2293;height:1873;visibility:visible;mso-wrap-style:square;v-text-anchor:top" coordsize="229235,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vv8EA&#10;AADbAAAADwAAAGRycy9kb3ducmV2LnhtbERPy4rCMBTdC/5DuII7TXUxY6tRRBBnHHEYdePu0tw+&#10;sLkpTdTq108WgsvDec8WranEjRpXWlYwGkYgiFOrS84VnI7rwQSE88gaK8uk4EEOFvNuZ4aJtnf+&#10;o9vB5yKEsEtQQeF9nUjp0oIMuqGtiQOX2cagD7DJpW7wHsJNJcdR9CENlhwaCqxpVVB6OVyNgp0x&#10;3228Xf5U+832ksWZfJ43v0r1e+1yCsJT69/il/tLK/gMY8OX8APk/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uf77/BAAAA2wAAAA8AAAAAAAAAAAAAAAAAmAIAAGRycy9kb3du&#10;cmV2LnhtbFBLBQYAAAAABAAEAPUAAACGAwAAAAA=&#10;" path="m,187029r228614,l228614,,,,,187029xe" filled="f" strokecolor="silver" strokeweight=".051mm">
                  <v:path arrowok="t"/>
                </v:shape>
                <v:shape id="Graphic 79" o:spid="_x0000_s1036" style="position:absolute;left:4817;top:7477;width:2292;height:5607;visibility:visible;mso-wrap-style:square;v-text-anchor:top" coordsize="229235,560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3/KMQA&#10;AADbAAAADwAAAGRycy9kb3ducmV2LnhtbESPT2vCQBTE7wW/w/IEb3VjD6ZGVxGhIC20NPXi7Zl9&#10;JsHs23R3zZ9v3y0Uehxm5jfMZjeYRnTkfG1ZwWKegCAurK65VHD6enl8BuEDssbGMikYycNuO3nY&#10;YKZtz5/U5aEUEcI+QwVVCG0mpS8qMujntiWO3tU6gyFKV0rtsI9w08inJFlKgzXHhQpbOlRU3PK7&#10;UfD9rt/u/myLVzd62x67NGk+LkrNpsN+DSLQEP7Df+2jVpCu4PdL/AF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ed/yjEAAAA2wAAAA8AAAAAAAAAAAAAAAAAmAIAAGRycy9k&#10;b3ducmV2LnhtbFBLBQYAAAAABAAEAPUAAACJAwAAAAA=&#10;" path="m228614,l,,,560314r228614,l228614,xe" fillcolor="#7192ca" stroked="f">
                  <v:path arrowok="t"/>
                </v:shape>
                <v:shape id="Graphic 80" o:spid="_x0000_s1037" style="position:absolute;left:4817;top:7477;width:2292;height:5607;visibility:visible;mso-wrap-style:square;v-text-anchor:top" coordsize="229235,560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bs3sIA&#10;AADbAAAADwAAAGRycy9kb3ducmV2LnhtbERPTWuDQBC9B/Iflgn0lqxakGCzSim1eMkhaWnpbXCn&#10;auvOiruJ+u+zh0CPj/d9KGbTiyuNrrOsIN5FIIhrqztuFHy8l9s9COeRNfaWScFCDop8vTpgpu3E&#10;J7qefSNCCLsMFbTeD5mUrm7JoNvZgThwP3Y06AMcG6lHnEK46WUSRak02HFoaHGgl5bqv/PFKDhe&#10;vqulSUr79Zkmv69D/JZOj0aph838/ATC0+z/xXd3pRXsw/rwJfwAm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1uzewgAAANsAAAAPAAAAAAAAAAAAAAAAAJgCAABkcnMvZG93&#10;bnJldi54bWxQSwUGAAAAAAQABAD1AAAAhwMAAAAA&#10;" path="m,560314r228614,l228614,,,,,560314xe" filled="f" strokecolor="silver" strokeweight=".05114mm">
                  <v:path arrowok="t"/>
                </v:shape>
                <v:shape id="Graphic 81" o:spid="_x0000_s1038" style="position:absolute;left:7103;top:5615;width:2298;height:7467;visibility:visible;mso-wrap-style:square;v-text-anchor:top" coordsize="229870,74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U/q8EA&#10;AADbAAAADwAAAGRycy9kb3ducmV2LnhtbESPQYvCMBSE7wv+h/AEb2vqHkSqUdRFEDxZPezeHs2z&#10;KTYvNYm1++83guBxmJlvmMWqt43oyIfasYLJOANBXDpdc6XgfNp9zkCEiKyxcUwK/ijAajn4WGCu&#10;3YOP1BWxEgnCIUcFJsY2lzKUhiyGsWuJk3dx3mJM0ldSe3wkuG3kV5ZNpcWa04LBlraGymtxtwrI&#10;7zY/hqeZ/+0K/r515uDrjVKjYb+eg4jUx3f41d5rBbMJPL+kHyC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0lP6vBAAAA2wAAAA8AAAAAAAAAAAAAAAAAmAIAAGRycy9kb3du&#10;cmV2LnhtbFBLBQYAAAAABAAEAPUAAACGAwAAAAA=&#10;" path="m229672,l,,,746569r229672,l229672,xe" fillcolor="#7192ca" stroked="f">
                  <v:path arrowok="t"/>
                </v:shape>
                <v:shape id="Graphic 82" o:spid="_x0000_s1039" style="position:absolute;left:7103;top:5615;width:2298;height:7467;visibility:visible;mso-wrap-style:square;v-text-anchor:top" coordsize="229870,74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eNMMA&#10;AADbAAAADwAAAGRycy9kb3ducmV2LnhtbESPT2sCMRTE7wW/Q3hCbzWrB123RqmC4rH+AentdfNM&#10;Fjcv6ybq9ts3QqHHYWZ+w8wWnavFndpQeVYwHGQgiEuvKzYKjof1Ww4iRGSNtWdS8EMBFvPeywwL&#10;7R+8o/s+GpEgHApUYGNsCilDaclhGPiGOHln3zqMSbZG6hYfCe5qOcqysXRYcVqw2NDKUnnZ35yC&#10;zeRyNp+Tr+n1ZJffnqwz29wp9drvPt5BROrif/ivvdUK8hE8v6QfIO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qeNMMAAADbAAAADwAAAAAAAAAAAAAAAACYAgAAZHJzL2Rv&#10;d25yZXYueG1sUEsFBgAAAAAEAAQA9QAAAIgDAAAAAA==&#10;" path="m,746569r229672,l229672,,,,,746569xe" filled="f" strokecolor="silver" strokeweight=".05117mm">
                  <v:path arrowok="t"/>
                </v:shape>
                <v:shape id="Graphic 83" o:spid="_x0000_s1040" style="position:absolute;left:9400;top:5615;width:2292;height:7467;visibility:visible;mso-wrap-style:square;v-text-anchor:top" coordsize="229235,74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VjcsQA&#10;AADbAAAADwAAAGRycy9kb3ducmV2LnhtbESPzWrDMBCE74W+g9hCbo2cH0pwIodQKORQEhKX5rpY&#10;a8uJtTKS6rhvXxUKPQ4z8w2z2Y62EwP50DpWMJtmIIgrp1tuFHyUb88rECEia+wck4JvCrAtHh82&#10;mGt35xMN59iIBOGQowITY59LGSpDFsPU9cTJq523GJP0jdQe7wluOznPshdpseW0YLCnV0PV7fxl&#10;FVBfLZuTvxwu9jDIz1l5NO/XWqnJ07hbg4g0xv/wX3uvFawW8Psl/QBZ/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FY3LEAAAA2wAAAA8AAAAAAAAAAAAAAAAAmAIAAGRycy9k&#10;b3ducmV2LnhtbFBLBQYAAAAABAAEAPUAAACJAwAAAAA=&#10;" path="m228614,l,,,746569r228614,l228614,xe" fillcolor="#7192ca" stroked="f">
                  <v:path arrowok="t"/>
                </v:shape>
                <v:shape id="Graphic 84" o:spid="_x0000_s1041" style="position:absolute;left:9400;top:5615;width:2292;height:7467;visibility:visible;mso-wrap-style:square;v-text-anchor:top" coordsize="229235,74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ag+sIA&#10;AADbAAAADwAAAGRycy9kb3ducmV2LnhtbESPQUvDQBSE74L/YXkFb3Y3IjXEbksRxfbYVjw/ss8k&#10;NPteyK5J7K/vFgoeh5n5hlmuJ9+qgfrQCFvI5gYUcSmu4crC1/HjMQcVIrLDVpgs/FGA9er+bomF&#10;k5H3NBxipRKEQ4EW6hi7QutQ1uQxzKUjTt6P9B5jkn2lXY9jgvtWPxmz0B4bTgs1dvRWU3k6/HoL&#10;Q9Zk3+277MZPkTI/b4zGF2Ptw2zavIKKNMX/8K29dRbyZ7h+ST9Ary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lqD6wgAAANsAAAAPAAAAAAAAAAAAAAAAAJgCAABkcnMvZG93&#10;bnJldi54bWxQSwUGAAAAAAQABAD1AAAAhwMAAAAA&#10;" path="m,746569r228614,l228614,,,,,746569xe" filled="f" strokecolor="silver" strokeweight=".05117mm">
                  <v:path arrowok="t"/>
                </v:shape>
                <v:shape id="Graphic 85" o:spid="_x0000_s1042" style="position:absolute;left:11686;top:5615;width:2292;height:7467;visibility:visible;mso-wrap-style:square;v-text-anchor:top" coordsize="229235,74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encQA&#10;AADbAAAADwAAAGRycy9kb3ducmV2LnhtbESPQWvCQBSE74X+h+UVvNWNokWiG5FCwUNRNKVeH9mX&#10;bDT7NuxuY/rvu4VCj8PMfMNstqPtxEA+tI4VzKYZCOLK6ZYbBR/l2/MKRIjIGjvHpOCbAmyLx4cN&#10;5trd+UTDOTYiQTjkqMDE2OdShsqQxTB1PXHyauctxiR9I7XHe4LbTs6z7EVabDktGOzp1VB1O39Z&#10;BdRXi+bkL4eLPQzyc1Yezfu1VmryNO7WICKN8T/8195rBasl/H5JP0AW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mgXp3EAAAA2wAAAA8AAAAAAAAAAAAAAAAAmAIAAGRycy9k&#10;b3ducmV2LnhtbFBLBQYAAAAABAAEAPUAAACJAwAAAAA=&#10;" path="m228614,l,,,746569r228614,l228614,xe" fillcolor="#7192ca" stroked="f">
                  <v:path arrowok="t"/>
                </v:shape>
                <v:shape id="Graphic 86" o:spid="_x0000_s1043" style="position:absolute;left:11686;top:5615;width:2292;height:7467;visibility:visible;mso-wrap-style:square;v-text-anchor:top" coordsize="229235,746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ibFsIA&#10;AADbAAAADwAAAGRycy9kb3ducmV2LnhtbESPzWrDMBCE74W+g9hAb43kHlLjRAkhtLQ95oecF2tj&#10;m1i7xlJtt09fBQo5DjPzDbPaTL5VA/WhEbaQzQ0o4lJcw5WF0/H9OQcVIrLDVpgs/FCAzfrxYYWF&#10;k5H3NBxipRKEQ4EW6hi7QutQ1uQxzKUjTt5Feo8xyb7SrscxwX2rX4xZaI8Np4UaO9rVVF4P397C&#10;kDXZuX2Tr/FDpMx/t0bjq7H2aTZtl6AiTfEe/m9/Ogv5Am5f0g/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CJsWwgAAANsAAAAPAAAAAAAAAAAAAAAAAJgCAABkcnMvZG93&#10;bnJldi54bWxQSwUGAAAAAAQABAD1AAAAhwMAAAAA&#10;" path="m,746569r228614,l228614,,,,,746569xe" filled="f" strokecolor="silver" strokeweight=".05117mm">
                  <v:path arrowok="t"/>
                </v:shape>
                <v:shape id="Graphic 87" o:spid="_x0000_s1044" style="position:absolute;left:13971;top:9348;width:2299;height:3733;visibility:visible;mso-wrap-style:square;v-text-anchor:top" coordsize="22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STsMA&#10;AADbAAAADwAAAGRycy9kb3ducmV2LnhtbESP0YrCMBRE3xf8h3AF39bURVepRtEFUdkXtX7Atbm2&#10;xeamNLGtf2+EhX0cZuYMs1h1phQN1a6wrGA0jEAQp1YXnCm4JNvPGQjnkTWWlknBkxyslr2PBcba&#10;tnyi5uwzESDsYlSQe1/FUro0J4NuaCvi4N1sbdAHWWdS19gGuCnlVxR9S4MFh4UcK/rJKb2fH0bB&#10;eHdMkgutcbJpd8V4e2h+/bVRatDv1nMQnjr/H/5r77WC2RTe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LySTsMAAADbAAAADwAAAAAAAAAAAAAAAACYAgAAZHJzL2Rv&#10;d25yZXYueG1sUEsFBgAAAAAEAAQA9QAAAIgDAAAAAA==&#10;" path="m229405,l,,,373284r229405,l229405,xe" fillcolor="#7192ca" stroked="f">
                  <v:path arrowok="t"/>
                </v:shape>
                <v:shape id="Graphic 88" o:spid="_x0000_s1045" style="position:absolute;left:13971;top:9348;width:2299;height:3733;visibility:visible;mso-wrap-style:square;v-text-anchor:top" coordsize="22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OZsIA&#10;AADbAAAADwAAAGRycy9kb3ducmV2LnhtbERPy4rCMBTdC/5DuIIbGVMVBukYRWdQXAiDj8XM7tLc&#10;PrS5KU1s69+bheDycN6LVWdK0VDtCssKJuMIBHFidcGZgst5+zEH4TyyxtIyKXiQg9Wy31tgrG3L&#10;R2pOPhMhhF2MCnLvq1hKl+Rk0I1tRRy41NYGfYB1JnWNbQg3pZxG0ac0WHBoyLGi75yS2+luFOz+&#10;fxp7/Z1NEnkcpQfTNpvDX6rUcNCtv0B46vxb/HLvtYJ5GBu+hB8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R05mwgAAANsAAAAPAAAAAAAAAAAAAAAAAJgCAABkcnMvZG93&#10;bnJldi54bWxQSwUGAAAAAAQABAD1AAAAhwMAAAAA&#10;" path="m,373284r229405,l229405,,,,,373284xe" filled="f" strokecolor="silver" strokeweight=".05111mm">
                  <v:path arrowok="t"/>
                </v:shape>
                <v:shape id="Graphic 89" o:spid="_x0000_s1046" style="position:absolute;left:16266;top:7477;width:2293;height:5607;visibility:visible;mso-wrap-style:square;v-text-anchor:top" coordsize="229235,560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iPD8QA&#10;AADbAAAADwAAAGRycy9kb3ducmV2LnhtbESPQWvCQBSE74L/YXmF3nTTHto0ukoRhFBBMe2lt9fs&#10;MwnNvo27mxj/fVcQehxm5htmuR5NKwZyvrGs4GmegCAurW64UvD1uZ2lIHxA1thaJgVX8rBeTSdL&#10;zLS98JGGIlQiQthnqKAOocuk9GVNBv3cdsTRO1lnMETpKqkdXiLctPI5SV6kwYbjQo0dbWoqf4ve&#10;KDjv9a7337b8cFdvu3x4TdrDj1KPD+P7AkSgMfyH7+1cK0jf4PY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Ijw/EAAAA2wAAAA8AAAAAAAAAAAAAAAAAmAIAAGRycy9k&#10;b3ducmV2LnhtbFBLBQYAAAAABAAEAPUAAACJAwAAAAA=&#10;" path="m228614,l,,,560314r228614,l228614,xe" fillcolor="#7192ca" stroked="f">
                  <v:path arrowok="t"/>
                </v:shape>
                <v:shape id="Graphic 90" o:spid="_x0000_s1047" style="position:absolute;left:16266;top:7477;width:2293;height:5607;visibility:visible;mso-wrap-style:square;v-text-anchor:top" coordsize="229235,560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96A8AA&#10;AADbAAAADwAAAGRycy9kb3ducmV2LnhtbERPTYvCMBC9C/6HMII3Ta1QtBpFRMXLHtZdFG9DM7bV&#10;ZlKaaOu/3xwWPD7e93LdmUq8qHGlZQWTcQSCOLO65FzB789+NAPhPLLGyjIpeJOD9arfW2Kqbcvf&#10;9Dr5XIQQdikqKLyvUyldVpBBN7Y1ceButjHoA2xyqRtsQ7ipZBxFiTRYcmgosKZtQdnj9DQKvp7X&#10;4zuP9/ZyTuL7rp4cknZqlBoOus0ChKfOf8T/7qNWMA/rw5fwA+Tq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96A8AAAADbAAAADwAAAAAAAAAAAAAAAACYAgAAZHJzL2Rvd25y&#10;ZXYueG1sUEsFBgAAAAAEAAQA9QAAAIUDAAAAAA==&#10;" path="m,560314r228614,l228614,,,,,560314xe" filled="f" strokecolor="silver" strokeweight=".05114mm">
                  <v:path arrowok="t"/>
                </v:shape>
                <v:shape id="Graphic 91" o:spid="_x0000_s1048" style="position:absolute;left:18552;top:7477;width:2292;height:5607;visibility:visible;mso-wrap-style:square;v-text-anchor:top" coordsize="229235,560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cV1MQA&#10;AADbAAAADwAAAGRycy9kb3ducmV2LnhtbESPQWvCQBSE70L/w/IKvZmNHqqNWaUIgrRgMe2lt9fs&#10;MwnNvo27a0z+fVcQehxm5hsm3wymFT0531hWMEtSEMSl1Q1XCr4+d9MlCB+QNbaWScFIHjbrh0mO&#10;mbZXPlJfhEpECPsMFdQhdJmUvqzJoE9sRxy9k3UGQ5SuktrhNcJNK+dp+iwNNhwXauxoW1P5W1yM&#10;gvNBv1/8ty3f3Ohtt+8Xafvxo9TT4/C6AhFoCP/he3uvFbzM4PYl/g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nnFdTEAAAA2wAAAA8AAAAAAAAAAAAAAAAAmAIAAGRycy9k&#10;b3ducmV2LnhtbFBLBQYAAAAABAAEAPUAAACJAwAAAAA=&#10;" path="m228614,l,,,560314r228614,l228614,xe" fillcolor="#7192ca" stroked="f">
                  <v:path arrowok="t"/>
                </v:shape>
                <v:shape id="Graphic 92" o:spid="_x0000_s1049" style="position:absolute;left:18552;top:7477;width:2292;height:5607;visibility:visible;mso-wrap-style:square;v-text-anchor:top" coordsize="229235,5607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FB78QA&#10;AADbAAAADwAAAGRycy9kb3ducmV2LnhtbESPQYvCMBSE78L+h/AWvGlqheJWoyzLKl48qIvi7dE8&#10;27rNS2mirf/eCILHYWa+YWaLzlTiRo0rLSsYDSMQxJnVJecK/vbLwQSE88gaK8uk4E4OFvOP3gxT&#10;bVve0m3ncxEg7FJUUHhfp1K6rCCDbmhr4uCdbWPQB9nkUjfYBripZBxFiTRYclgosKafgrL/3dUo&#10;2FxP63seL+3xkMSX33q0StqxUar/2X1PQXjq/Dv8aq+1gq8Ynl/CD5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RQe/EAAAA2wAAAA8AAAAAAAAAAAAAAAAAmAIAAGRycy9k&#10;b3ducmV2LnhtbFBLBQYAAAAABAAEAPUAAACJAwAAAAA=&#10;" path="m,560314r228614,l228614,,,,,560314xe" filled="f" strokecolor="silver" strokeweight=".05114mm">
                  <v:path arrowok="t"/>
                </v:shape>
                <v:shape id="Graphic 93" o:spid="_x0000_s1050" style="position:absolute;left:20838;top:11210;width:2299;height:1873;visibility:visible;mso-wrap-style:square;v-text-anchor:top" coordsize="229870,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MQi8AA&#10;AADbAAAADwAAAGRycy9kb3ducmV2LnhtbESPQYvCMBSE74L/ITzBm6YqyG41igiiN9F1QW+P5NlW&#10;m5fSRK3/3giCx2FmvmGm88aW4k61LxwrGPQTEMTamYIzBYe/Ve8HhA/IBkvHpOBJHuazdmuKqXEP&#10;3tF9HzIRIexTVJCHUKVSep2TRd93FXH0zq62GKKsM2lqfES4LeUwScbSYsFxIceKljnp6/5mFdAp&#10;+ddLOlyuRzm0ei23fnc6K9XtNIsJiEBN+IY/7Y1R8DuC95f4A+Ts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LMQi8AAAADbAAAADwAAAAAAAAAAAAAAAACYAgAAZHJzL2Rvd25y&#10;ZXYueG1sUEsFBgAAAAAEAAQA9QAAAIUDAAAAAA==&#10;" path="m229672,l,,,187029r229672,l229672,xe" fillcolor="#7192ca" stroked="f">
                  <v:path arrowok="t"/>
                </v:shape>
                <v:shape id="Graphic 94" o:spid="_x0000_s1051" style="position:absolute;left:20838;top:11210;width:2299;height:1873;visibility:visible;mso-wrap-style:square;v-text-anchor:top" coordsize="229870,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ussIA&#10;AADbAAAADwAAAGRycy9kb3ducmV2LnhtbESP3WrCQBCF7wt9h2UK3tVNRcSmbqQIUn+utH2AaXaa&#10;hGRnY3abbN7eFQQvD+fn46zWwTSip85VlhW8TRMQxLnVFRcKfr63r0sQziNrbCyTgpEcrLPnpxWm&#10;2g58ov7sCxFH2KWooPS+TaV0eUkG3dS2xNH7s51BH2VXSN3hEMdNI2dJspAGK46EElvalJTX538T&#10;Ib+LPhmPBmu3D2H2NT8cNhdUavISPj9AeAr+Eb63d1rB+xxuX+IPkNk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aa6ywgAAANsAAAAPAAAAAAAAAAAAAAAAAJgCAABkcnMvZG93&#10;bnJldi54bWxQSwUGAAAAAAQABAD1AAAAhwMAAAAA&#10;" path="m,187029r229672,l229672,,,,,187029xe" filled="f" strokecolor="silver" strokeweight=".051mm">
                  <v:path arrowok="t"/>
                </v:shape>
                <v:shape id="Graphic 95" o:spid="_x0000_s1052" style="position:absolute;left:23134;top:9;width:2293;height:13074;visibility:visible;mso-wrap-style:square;v-text-anchor:top" coordsize="229235,1307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wl8UA&#10;AADbAAAADwAAAGRycy9kb3ducmV2LnhtbESP3WoCMRSE7wt9h3AKvavZ1vrTrVFEKBQUwVX09rA5&#10;3V26OVmTqKtPbwTBy2FmvmFGk9bU4kjOV5YVvHcSEMS51RUXCjbrn7chCB+QNdaWScGZPEzGz08j&#10;TLU98YqOWShEhLBPUUEZQpNK6fOSDPqObYij92edwRClK6R2eIpwU8uPJOlLgxXHhRIbmpWU/2cH&#10;oyAbuPl2QNTdf678cOfr5aVZHJR6fWmn3yACteERvrd/tYKvHty+xB8gx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1rCXxQAAANsAAAAPAAAAAAAAAAAAAAAAAJgCAABkcnMv&#10;ZG93bnJldi54bWxQSwUGAAAAAAQABAD1AAAAigMAAAAA&#10;" path="m228614,l,,,1307180r228614,l228614,xe" fillcolor="#7192ca" stroked="f">
                  <v:path arrowok="t"/>
                </v:shape>
                <v:shape id="Graphic 96" o:spid="_x0000_s1053" style="position:absolute;left:23134;top:9;width:2293;height:13074;visibility:visible;mso-wrap-style:square;v-text-anchor:top" coordsize="229235,1307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z198cA&#10;AADbAAAADwAAAGRycy9kb3ducmV2LnhtbESPQWvCQBSE74X+h+UJ3nRjD6GmrlIspQUrom2px0f2&#10;NUmbfZvurkn017uC0OMwM98ws0VvatGS85VlBZNxAoI4t7riQsHH+/PoHoQPyBpry6TgSB4W89ub&#10;GWbadryldhcKESHsM1RQhtBkUvq8JIN+bBvi6H1bZzBE6QqpHXYRbmp5lySpNFhxXCixoWVJ+e/u&#10;YBR04e/Yvizd6unttPla/+zr6T79VGo46B8fQATqw3/42n7VCqYpXL7EHyDnZ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9ffHAAAA2wAAAA8AAAAAAAAAAAAAAAAAmAIAAGRy&#10;cy9kb3ducmV2LnhtbFBLBQYAAAAABAAEAPUAAACMAwAAAAA=&#10;" path="m,1307180r228614,l228614,,,,,1307180xe" filled="f" strokecolor="silver" strokeweight=".05119mm">
                  <v:path arrowok="t"/>
                </v:shape>
                <v:shape id="Graphic 97" o:spid="_x0000_s1054" style="position:absolute;left:25421;top:11210;width:2292;height:1873;visibility:visible;mso-wrap-style:square;v-text-anchor:top" coordsize="229235,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P+RMUA&#10;AADbAAAADwAAAGRycy9kb3ducmV2LnhtbESPQWsCMRSE7wX/Q3hCbzWrUNtujbIUFUF60Pagt9fN&#10;cxPcvGw3Udd/3xQEj8PMfMNMZp2rxZnaYD0rGA4yEMSl15YrBd9fi6dXECEia6w9k4IrBZhNew8T&#10;zLW/8IbO21iJBOGQowITY5NLGUpDDsPAN8TJO/jWYUyyraRu8ZLgrpajLBtLh5bTgsGGPgyVx+3J&#10;KdjM66WdPxeL4vC5i/vid21G9kepx35XvIOI1MV7+NZeaQVvL/D/Jf0AOf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5ExQAAANsAAAAPAAAAAAAAAAAAAAAAAJgCAABkcnMv&#10;ZG93bnJldi54bWxQSwUGAAAAAAQABAD1AAAAigMAAAAA&#10;" path="m228614,l,,,187029r228614,l228614,xe" fillcolor="#7192ca" stroked="f">
                  <v:path arrowok="t"/>
                </v:shape>
                <v:shape id="Graphic 98" o:spid="_x0000_s1055" style="position:absolute;left:25421;top:11210;width:2292;height:1873;visibility:visible;mso-wrap-style:square;v-text-anchor:top" coordsize="229235,187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5MJRcIA&#10;AADbAAAADwAAAGRycy9kb3ducmV2LnhtbERPy2rCQBTdF/yH4QrumkldFJNmFCmINkpLrRt3l8zN&#10;AzN3QmY0sV/fWQhdHs47W42mFTfqXWNZwUsUgyAurG64UnD62TwvQDiPrLG1TAru5GC1nDxlmGo7&#10;8Dfdjr4SIYRdigpq77tUSlfUZNBFtiMOXGl7gz7AvpK6xyGEm1bO4/hVGmw4NNTY0XtNxeV4NQoO&#10;xnyMSb7et5/b/FImpfw9b7+Umk3H9RsIT6P/Fz/cO60gCWPDl/AD5P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kwlFwgAAANsAAAAPAAAAAAAAAAAAAAAAAJgCAABkcnMvZG93&#10;bnJldi54bWxQSwUGAAAAAAQABAD1AAAAhwMAAAAA&#10;" path="m,187029r228614,l228614,,,,,187029xe" filled="f" strokecolor="silver" strokeweight=".051mm">
                  <v:path arrowok="t"/>
                </v:shape>
                <v:shape id="Graphic 99" o:spid="_x0000_s1056" style="position:absolute;left:27707;top:9348;width:2299;height:3733;visibility:visible;mso-wrap-style:square;v-text-anchor:top" coordsize="22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Y1esMA&#10;AADbAAAADwAAAGRycy9kb3ducmV2LnhtbESP0YrCMBRE3xf8h3AF39bURRetRtEFUdkXtX7Atbm2&#10;xeamNLGtf2+EhX0cZuYMs1h1phQN1a6wrGA0jEAQp1YXnCm4JNvPKQjnkTWWlknBkxyslr2PBcba&#10;tnyi5uwzESDsYlSQe1/FUro0J4NuaCvi4N1sbdAHWWdS19gGuCnlVxR9S4MFh4UcK/rJKb2fH0bB&#10;eHdMkgutcbJpd8V4e2h+/bVRatDv1nMQnjr/H/5r77WC2QzeX8IPkM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Y1esMAAADbAAAADwAAAAAAAAAAAAAAAACYAgAAZHJzL2Rv&#10;d25yZXYueG1sUEsFBgAAAAAEAAQA9QAAAIgDAAAAAA==&#10;" path="m229405,l,,,373284r229405,l229405,xe" fillcolor="#7192ca" stroked="f">
                  <v:path arrowok="t"/>
                </v:shape>
                <v:shape id="Graphic 100" o:spid="_x0000_s1057" style="position:absolute;left:27707;top:9348;width:2299;height:3733;visibility:visible;mso-wrap-style:square;v-text-anchor:top" coordsize="229870,3733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EtccA&#10;AADcAAAADwAAAGRycy9kb3ducmV2LnhtbESPT2vCQBDF74V+h2WEXopuVCiSuopVLD0IRduDvQ3Z&#10;yZ82Oxuy2yR+e+cgeJvhvXnvN8v14GrVURsqzwamkwQUceZtxYWB76/9eAEqRGSLtWcycKEA69Xj&#10;wxJT63s+UneKhZIQDikaKGNsUq1DVpLDMPENsWi5bx1GWdtC2xZ7CXe1niXJi3ZYsTSU2NC2pOzv&#10;9O8MvP/sOv/7OZ9m+vicH1zfvR3OuTFPo2HzCirSEO/m2/WHFfxE8OUZmUCvr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0BLXHAAAA3AAAAA8AAAAAAAAAAAAAAAAAmAIAAGRy&#10;cy9kb3ducmV2LnhtbFBLBQYAAAAABAAEAPUAAACMAwAAAAA=&#10;" path="m,373284r229405,l229405,,,,,373284xe" filled="f" strokecolor="silver" strokeweight=".05111mm">
                  <v:path arrowok="t"/>
                </v:shape>
                <w10:wrap anchorx="page"/>
              </v:group>
            </w:pict>
          </mc:Fallback>
        </mc:AlternateContent>
      </w:r>
      <w:r>
        <w:rPr>
          <w:rFonts w:ascii="Calibri"/>
          <w:spacing w:val="-10"/>
          <w:sz w:val="15"/>
        </w:rPr>
        <w:t>7</w:t>
      </w:r>
    </w:p>
    <w:p w:rsidR="00A6771A" w:rsidRDefault="00A6771A" w:rsidP="00A6771A">
      <w:pPr>
        <w:spacing w:before="112"/>
        <w:ind w:left="1110"/>
        <w:rPr>
          <w:rFonts w:ascii="Calibri"/>
          <w:sz w:val="15"/>
        </w:rPr>
      </w:pPr>
      <w:r>
        <w:rPr>
          <w:rFonts w:ascii="Calibri"/>
          <w:spacing w:val="-10"/>
          <w:sz w:val="15"/>
        </w:rPr>
        <w:t>6</w:t>
      </w:r>
    </w:p>
    <w:p w:rsidR="00A6771A" w:rsidRDefault="00A6771A" w:rsidP="00A6771A">
      <w:pPr>
        <w:spacing w:before="110"/>
        <w:ind w:left="1110"/>
        <w:rPr>
          <w:rFonts w:ascii="Calibri"/>
          <w:sz w:val="15"/>
        </w:rPr>
      </w:pPr>
      <w:r>
        <w:rPr>
          <w:noProof/>
          <w:lang w:val="en-US"/>
        </w:rPr>
        <mc:AlternateContent>
          <mc:Choice Requires="wps">
            <w:drawing>
              <wp:anchor distT="0" distB="0" distL="0" distR="0" simplePos="0" relativeHeight="487557632" behindDoc="0" locked="0" layoutInCell="1" allowOverlap="1" wp14:anchorId="3CF51D95" wp14:editId="227CA25D">
                <wp:simplePos x="0" y="0"/>
                <wp:positionH relativeFrom="page">
                  <wp:posOffset>4967136</wp:posOffset>
                </wp:positionH>
                <wp:positionV relativeFrom="paragraph">
                  <wp:posOffset>118898</wp:posOffset>
                </wp:positionV>
                <wp:extent cx="991235" cy="1219199"/>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1235" cy="121919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814"/>
                              <w:gridCol w:w="627"/>
                            </w:tblGrid>
                            <w:tr w:rsidR="00A6771A">
                              <w:trPr>
                                <w:trHeight w:val="161"/>
                              </w:trPr>
                              <w:tc>
                                <w:tcPr>
                                  <w:tcW w:w="814" w:type="dxa"/>
                                </w:tcPr>
                                <w:p w:rsidR="00A6771A" w:rsidRDefault="00A6771A">
                                  <w:pPr>
                                    <w:pStyle w:val="TableParagraph"/>
                                    <w:spacing w:line="133" w:lineRule="exact"/>
                                    <w:ind w:left="80"/>
                                    <w:rPr>
                                      <w:rFonts w:ascii="Calibri"/>
                                      <w:sz w:val="13"/>
                                    </w:rPr>
                                  </w:pPr>
                                  <w:r>
                                    <w:rPr>
                                      <w:rFonts w:ascii="Calibri"/>
                                      <w:spacing w:val="-4"/>
                                      <w:sz w:val="13"/>
                                    </w:rPr>
                                    <w:t>Mean</w:t>
                                  </w:r>
                                </w:p>
                              </w:tc>
                              <w:tc>
                                <w:tcPr>
                                  <w:tcW w:w="627" w:type="dxa"/>
                                </w:tcPr>
                                <w:p w:rsidR="00A6771A" w:rsidRDefault="00A6771A">
                                  <w:pPr>
                                    <w:pStyle w:val="TableParagraph"/>
                                    <w:spacing w:line="133" w:lineRule="exact"/>
                                    <w:ind w:left="16" w:right="20"/>
                                    <w:jc w:val="center"/>
                                    <w:rPr>
                                      <w:rFonts w:ascii="Calibri"/>
                                      <w:sz w:val="13"/>
                                    </w:rPr>
                                  </w:pPr>
                                  <w:r>
                                    <w:rPr>
                                      <w:rFonts w:ascii="Calibri"/>
                                      <w:sz w:val="13"/>
                                    </w:rPr>
                                    <w:t>-</w:t>
                                  </w:r>
                                  <w:r>
                                    <w:rPr>
                                      <w:rFonts w:ascii="Calibri"/>
                                      <w:spacing w:val="-2"/>
                                      <w:sz w:val="13"/>
                                    </w:rPr>
                                    <w:t>0.005780</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pacing w:val="-2"/>
                                      <w:sz w:val="13"/>
                                    </w:rPr>
                                    <w:t>Median</w:t>
                                  </w:r>
                                </w:p>
                              </w:tc>
                              <w:tc>
                                <w:tcPr>
                                  <w:tcW w:w="627" w:type="dxa"/>
                                </w:tcPr>
                                <w:p w:rsidR="00A6771A" w:rsidRDefault="00A6771A">
                                  <w:pPr>
                                    <w:pStyle w:val="TableParagraph"/>
                                    <w:spacing w:before="4"/>
                                    <w:ind w:left="16" w:right="20"/>
                                    <w:jc w:val="center"/>
                                    <w:rPr>
                                      <w:rFonts w:ascii="Calibri"/>
                                      <w:sz w:val="13"/>
                                    </w:rPr>
                                  </w:pPr>
                                  <w:r>
                                    <w:rPr>
                                      <w:rFonts w:ascii="Calibri"/>
                                      <w:sz w:val="13"/>
                                    </w:rPr>
                                    <w:t>-</w:t>
                                  </w:r>
                                  <w:r>
                                    <w:rPr>
                                      <w:rFonts w:ascii="Calibri"/>
                                      <w:spacing w:val="-2"/>
                                      <w:sz w:val="13"/>
                                    </w:rPr>
                                    <w:t>0.065105</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pacing w:val="-2"/>
                                      <w:sz w:val="13"/>
                                    </w:rPr>
                                    <w:t>Maximum</w:t>
                                  </w:r>
                                </w:p>
                              </w:tc>
                              <w:tc>
                                <w:tcPr>
                                  <w:tcW w:w="627" w:type="dxa"/>
                                </w:tcPr>
                                <w:p w:rsidR="00A6771A" w:rsidRDefault="00A6771A">
                                  <w:pPr>
                                    <w:pStyle w:val="TableParagraph"/>
                                    <w:spacing w:before="4"/>
                                    <w:ind w:left="19" w:right="4"/>
                                    <w:jc w:val="center"/>
                                    <w:rPr>
                                      <w:rFonts w:ascii="Calibri"/>
                                      <w:sz w:val="13"/>
                                    </w:rPr>
                                  </w:pPr>
                                  <w:r>
                                    <w:rPr>
                                      <w:rFonts w:ascii="Calibri"/>
                                      <w:spacing w:val="-2"/>
                                      <w:sz w:val="13"/>
                                    </w:rPr>
                                    <w:t>0.573432</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pacing w:val="-2"/>
                                      <w:sz w:val="13"/>
                                    </w:rPr>
                                    <w:t>Minimum</w:t>
                                  </w:r>
                                </w:p>
                              </w:tc>
                              <w:tc>
                                <w:tcPr>
                                  <w:tcW w:w="627" w:type="dxa"/>
                                </w:tcPr>
                                <w:p w:rsidR="00A6771A" w:rsidRDefault="00A6771A">
                                  <w:pPr>
                                    <w:pStyle w:val="TableParagraph"/>
                                    <w:spacing w:before="4"/>
                                    <w:ind w:left="16" w:right="20"/>
                                    <w:jc w:val="center"/>
                                    <w:rPr>
                                      <w:rFonts w:ascii="Calibri"/>
                                      <w:sz w:val="13"/>
                                    </w:rPr>
                                  </w:pPr>
                                  <w:r>
                                    <w:rPr>
                                      <w:rFonts w:ascii="Calibri"/>
                                      <w:sz w:val="13"/>
                                    </w:rPr>
                                    <w:t>-</w:t>
                                  </w:r>
                                  <w:r>
                                    <w:rPr>
                                      <w:rFonts w:ascii="Calibri"/>
                                      <w:spacing w:val="-2"/>
                                      <w:sz w:val="13"/>
                                    </w:rPr>
                                    <w:t>0.611036</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z w:val="13"/>
                                    </w:rPr>
                                    <w:t>Std.</w:t>
                                  </w:r>
                                  <w:r>
                                    <w:rPr>
                                      <w:rFonts w:ascii="Calibri"/>
                                      <w:spacing w:val="10"/>
                                      <w:sz w:val="13"/>
                                    </w:rPr>
                                    <w:t xml:space="preserve"> </w:t>
                                  </w:r>
                                  <w:r>
                                    <w:rPr>
                                      <w:rFonts w:ascii="Calibri"/>
                                      <w:spacing w:val="-4"/>
                                      <w:sz w:val="13"/>
                                    </w:rPr>
                                    <w:t>Dev.</w:t>
                                  </w:r>
                                </w:p>
                              </w:tc>
                              <w:tc>
                                <w:tcPr>
                                  <w:tcW w:w="627" w:type="dxa"/>
                                </w:tcPr>
                                <w:p w:rsidR="00A6771A" w:rsidRDefault="00A6771A">
                                  <w:pPr>
                                    <w:pStyle w:val="TableParagraph"/>
                                    <w:spacing w:before="4"/>
                                    <w:ind w:left="19" w:right="4"/>
                                    <w:jc w:val="center"/>
                                    <w:rPr>
                                      <w:rFonts w:ascii="Calibri"/>
                                      <w:sz w:val="13"/>
                                    </w:rPr>
                                  </w:pPr>
                                  <w:r>
                                    <w:rPr>
                                      <w:rFonts w:ascii="Calibri"/>
                                      <w:spacing w:val="-2"/>
                                      <w:sz w:val="13"/>
                                    </w:rPr>
                                    <w:t>0.324384</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pacing w:val="-2"/>
                                      <w:sz w:val="13"/>
                                    </w:rPr>
                                    <w:t>Skewness</w:t>
                                  </w:r>
                                </w:p>
                              </w:tc>
                              <w:tc>
                                <w:tcPr>
                                  <w:tcW w:w="627" w:type="dxa"/>
                                </w:tcPr>
                                <w:p w:rsidR="00A6771A" w:rsidRDefault="00A6771A">
                                  <w:pPr>
                                    <w:pStyle w:val="TableParagraph"/>
                                    <w:spacing w:before="4"/>
                                    <w:ind w:left="19" w:right="4"/>
                                    <w:jc w:val="center"/>
                                    <w:rPr>
                                      <w:rFonts w:ascii="Calibri"/>
                                      <w:sz w:val="13"/>
                                    </w:rPr>
                                  </w:pPr>
                                  <w:r>
                                    <w:rPr>
                                      <w:rFonts w:ascii="Calibri"/>
                                      <w:spacing w:val="-2"/>
                                      <w:sz w:val="13"/>
                                    </w:rPr>
                                    <w:t>0.055566</w:t>
                                  </w:r>
                                </w:p>
                              </w:tc>
                            </w:tr>
                            <w:tr w:rsidR="00A6771A">
                              <w:trPr>
                                <w:trHeight w:val="286"/>
                              </w:trPr>
                              <w:tc>
                                <w:tcPr>
                                  <w:tcW w:w="814" w:type="dxa"/>
                                </w:tcPr>
                                <w:p w:rsidR="00A6771A" w:rsidRDefault="00A6771A">
                                  <w:pPr>
                                    <w:pStyle w:val="TableParagraph"/>
                                    <w:spacing w:before="4"/>
                                    <w:ind w:left="80"/>
                                    <w:rPr>
                                      <w:rFonts w:ascii="Calibri"/>
                                      <w:sz w:val="13"/>
                                    </w:rPr>
                                  </w:pPr>
                                  <w:r>
                                    <w:rPr>
                                      <w:rFonts w:ascii="Calibri"/>
                                      <w:spacing w:val="-2"/>
                                      <w:sz w:val="13"/>
                                    </w:rPr>
                                    <w:t>Kurtosis</w:t>
                                  </w:r>
                                </w:p>
                              </w:tc>
                              <w:tc>
                                <w:tcPr>
                                  <w:tcW w:w="627" w:type="dxa"/>
                                </w:tcPr>
                                <w:p w:rsidR="00A6771A" w:rsidRDefault="00A6771A">
                                  <w:pPr>
                                    <w:pStyle w:val="TableParagraph"/>
                                    <w:spacing w:before="4"/>
                                    <w:ind w:left="19" w:right="4"/>
                                    <w:jc w:val="center"/>
                                    <w:rPr>
                                      <w:rFonts w:ascii="Calibri"/>
                                      <w:sz w:val="13"/>
                                    </w:rPr>
                                  </w:pPr>
                                  <w:r>
                                    <w:rPr>
                                      <w:rFonts w:ascii="Calibri"/>
                                      <w:spacing w:val="-2"/>
                                      <w:sz w:val="13"/>
                                    </w:rPr>
                                    <w:t>1.871209</w:t>
                                  </w:r>
                                </w:p>
                              </w:tc>
                            </w:tr>
                            <w:tr w:rsidR="00A6771A">
                              <w:trPr>
                                <w:trHeight w:val="286"/>
                              </w:trPr>
                              <w:tc>
                                <w:tcPr>
                                  <w:tcW w:w="814" w:type="dxa"/>
                                </w:tcPr>
                                <w:p w:rsidR="00A6771A" w:rsidRDefault="00A6771A">
                                  <w:pPr>
                                    <w:pStyle w:val="TableParagraph"/>
                                    <w:spacing w:before="100"/>
                                    <w:ind w:left="80"/>
                                    <w:rPr>
                                      <w:rFonts w:ascii="Calibri"/>
                                      <w:sz w:val="13"/>
                                    </w:rPr>
                                  </w:pPr>
                                  <w:r>
                                    <w:rPr>
                                      <w:rFonts w:ascii="Calibri"/>
                                      <w:sz w:val="13"/>
                                    </w:rPr>
                                    <w:t>Jarque-</w:t>
                                  </w:r>
                                  <w:r>
                                    <w:rPr>
                                      <w:rFonts w:ascii="Calibri"/>
                                      <w:spacing w:val="-4"/>
                                      <w:sz w:val="13"/>
                                    </w:rPr>
                                    <w:t>Bera</w:t>
                                  </w:r>
                                </w:p>
                              </w:tc>
                              <w:tc>
                                <w:tcPr>
                                  <w:tcW w:w="627" w:type="dxa"/>
                                </w:tcPr>
                                <w:p w:rsidR="00A6771A" w:rsidRDefault="00A6771A">
                                  <w:pPr>
                                    <w:pStyle w:val="TableParagraph"/>
                                    <w:spacing w:before="100"/>
                                    <w:ind w:left="19" w:right="4"/>
                                    <w:jc w:val="center"/>
                                    <w:rPr>
                                      <w:rFonts w:ascii="Calibri"/>
                                      <w:sz w:val="13"/>
                                    </w:rPr>
                                  </w:pPr>
                                  <w:r>
                                    <w:rPr>
                                      <w:rFonts w:ascii="Calibri"/>
                                      <w:spacing w:val="-2"/>
                                      <w:sz w:val="13"/>
                                    </w:rPr>
                                    <w:t>1.876175</w:t>
                                  </w:r>
                                </w:p>
                              </w:tc>
                            </w:tr>
                            <w:tr w:rsidR="00A6771A">
                              <w:trPr>
                                <w:trHeight w:val="237"/>
                              </w:trPr>
                              <w:tc>
                                <w:tcPr>
                                  <w:tcW w:w="814" w:type="dxa"/>
                                </w:tcPr>
                                <w:p w:rsidR="00A6771A" w:rsidRDefault="00A6771A">
                                  <w:pPr>
                                    <w:pStyle w:val="TableParagraph"/>
                                    <w:spacing w:before="4"/>
                                    <w:ind w:left="80"/>
                                    <w:rPr>
                                      <w:rFonts w:ascii="Calibri"/>
                                      <w:sz w:val="13"/>
                                    </w:rPr>
                                  </w:pPr>
                                  <w:r>
                                    <w:rPr>
                                      <w:rFonts w:ascii="Calibri"/>
                                      <w:spacing w:val="-2"/>
                                      <w:sz w:val="13"/>
                                    </w:rPr>
                                    <w:t>Probability</w:t>
                                  </w:r>
                                </w:p>
                              </w:tc>
                              <w:tc>
                                <w:tcPr>
                                  <w:tcW w:w="627" w:type="dxa"/>
                                </w:tcPr>
                                <w:p w:rsidR="00A6771A" w:rsidRDefault="00A6771A">
                                  <w:pPr>
                                    <w:pStyle w:val="TableParagraph"/>
                                    <w:spacing w:before="4"/>
                                    <w:ind w:left="20" w:right="4"/>
                                    <w:jc w:val="center"/>
                                    <w:rPr>
                                      <w:rFonts w:ascii="Calibri"/>
                                      <w:sz w:val="13"/>
                                    </w:rPr>
                                  </w:pPr>
                                  <w:r>
                                    <w:rPr>
                                      <w:rFonts w:ascii="Calibri"/>
                                      <w:spacing w:val="-2"/>
                                      <w:sz w:val="13"/>
                                    </w:rPr>
                                    <w:t>0.391376</w:t>
                                  </w:r>
                                </w:p>
                              </w:tc>
                            </w:tr>
                          </w:tbl>
                          <w:p w:rsidR="00A6771A" w:rsidRDefault="00A6771A" w:rsidP="00A6771A">
                            <w:pPr>
                              <w:pStyle w:val="BodyText"/>
                            </w:pPr>
                          </w:p>
                        </w:txbxContent>
                      </wps:txbx>
                      <wps:bodyPr wrap="square" lIns="0" tIns="0" rIns="0" bIns="0" rtlCol="0">
                        <a:noAutofit/>
                      </wps:bodyPr>
                    </wps:wsp>
                  </a:graphicData>
                </a:graphic>
              </wp:anchor>
            </w:drawing>
          </mc:Choice>
          <mc:Fallback>
            <w:pict>
              <v:shape w14:anchorId="3CF51D95" id="Textbox 101" o:spid="_x0000_s1029" type="#_x0000_t202" style="position:absolute;left:0;text-align:left;margin-left:391.1pt;margin-top:9.35pt;width:78.05pt;height:96pt;z-index:487557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" filled="f" stroked="f">
                <v:path arrowok="t"/>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814"/>
                        <w:gridCol w:w="627"/>
                      </w:tblGrid>
                      <w:tr w:rsidR="00A6771A">
                        <w:trPr>
                          <w:trHeight w:val="161"/>
                        </w:trPr>
                        <w:tc>
                          <w:tcPr>
                            <w:tcW w:w="814" w:type="dxa"/>
                          </w:tcPr>
                          <w:p w:rsidR="00A6771A" w:rsidRDefault="00A6771A">
                            <w:pPr>
                              <w:pStyle w:val="TableParagraph"/>
                              <w:spacing w:line="133" w:lineRule="exact"/>
                              <w:ind w:left="80"/>
                              <w:rPr>
                                <w:rFonts w:ascii="Calibri"/>
                                <w:sz w:val="13"/>
                              </w:rPr>
                            </w:pPr>
                            <w:r>
                              <w:rPr>
                                <w:rFonts w:ascii="Calibri"/>
                                <w:spacing w:val="-4"/>
                                <w:sz w:val="13"/>
                              </w:rPr>
                              <w:t>Mean</w:t>
                            </w:r>
                          </w:p>
                        </w:tc>
                        <w:tc>
                          <w:tcPr>
                            <w:tcW w:w="627" w:type="dxa"/>
                          </w:tcPr>
                          <w:p w:rsidR="00A6771A" w:rsidRDefault="00A6771A">
                            <w:pPr>
                              <w:pStyle w:val="TableParagraph"/>
                              <w:spacing w:line="133" w:lineRule="exact"/>
                              <w:ind w:left="16" w:right="20"/>
                              <w:jc w:val="center"/>
                              <w:rPr>
                                <w:rFonts w:ascii="Calibri"/>
                                <w:sz w:val="13"/>
                              </w:rPr>
                            </w:pPr>
                            <w:r>
                              <w:rPr>
                                <w:rFonts w:ascii="Calibri"/>
                                <w:sz w:val="13"/>
                              </w:rPr>
                              <w:t>-</w:t>
                            </w:r>
                            <w:r>
                              <w:rPr>
                                <w:rFonts w:ascii="Calibri"/>
                                <w:spacing w:val="-2"/>
                                <w:sz w:val="13"/>
                              </w:rPr>
                              <w:t>0.005780</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pacing w:val="-2"/>
                                <w:sz w:val="13"/>
                              </w:rPr>
                              <w:t>Median</w:t>
                            </w:r>
                          </w:p>
                        </w:tc>
                        <w:tc>
                          <w:tcPr>
                            <w:tcW w:w="627" w:type="dxa"/>
                          </w:tcPr>
                          <w:p w:rsidR="00A6771A" w:rsidRDefault="00A6771A">
                            <w:pPr>
                              <w:pStyle w:val="TableParagraph"/>
                              <w:spacing w:before="4"/>
                              <w:ind w:left="16" w:right="20"/>
                              <w:jc w:val="center"/>
                              <w:rPr>
                                <w:rFonts w:ascii="Calibri"/>
                                <w:sz w:val="13"/>
                              </w:rPr>
                            </w:pPr>
                            <w:r>
                              <w:rPr>
                                <w:rFonts w:ascii="Calibri"/>
                                <w:sz w:val="13"/>
                              </w:rPr>
                              <w:t>-</w:t>
                            </w:r>
                            <w:r>
                              <w:rPr>
                                <w:rFonts w:ascii="Calibri"/>
                                <w:spacing w:val="-2"/>
                                <w:sz w:val="13"/>
                              </w:rPr>
                              <w:t>0.065105</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pacing w:val="-2"/>
                                <w:sz w:val="13"/>
                              </w:rPr>
                              <w:t>Maximum</w:t>
                            </w:r>
                          </w:p>
                        </w:tc>
                        <w:tc>
                          <w:tcPr>
                            <w:tcW w:w="627" w:type="dxa"/>
                          </w:tcPr>
                          <w:p w:rsidR="00A6771A" w:rsidRDefault="00A6771A">
                            <w:pPr>
                              <w:pStyle w:val="TableParagraph"/>
                              <w:spacing w:before="4"/>
                              <w:ind w:left="19" w:right="4"/>
                              <w:jc w:val="center"/>
                              <w:rPr>
                                <w:rFonts w:ascii="Calibri"/>
                                <w:sz w:val="13"/>
                              </w:rPr>
                            </w:pPr>
                            <w:r>
                              <w:rPr>
                                <w:rFonts w:ascii="Calibri"/>
                                <w:spacing w:val="-2"/>
                                <w:sz w:val="13"/>
                              </w:rPr>
                              <w:t>0.573432</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pacing w:val="-2"/>
                                <w:sz w:val="13"/>
                              </w:rPr>
                              <w:t>Minimum</w:t>
                            </w:r>
                          </w:p>
                        </w:tc>
                        <w:tc>
                          <w:tcPr>
                            <w:tcW w:w="627" w:type="dxa"/>
                          </w:tcPr>
                          <w:p w:rsidR="00A6771A" w:rsidRDefault="00A6771A">
                            <w:pPr>
                              <w:pStyle w:val="TableParagraph"/>
                              <w:spacing w:before="4"/>
                              <w:ind w:left="16" w:right="20"/>
                              <w:jc w:val="center"/>
                              <w:rPr>
                                <w:rFonts w:ascii="Calibri"/>
                                <w:sz w:val="13"/>
                              </w:rPr>
                            </w:pPr>
                            <w:r>
                              <w:rPr>
                                <w:rFonts w:ascii="Calibri"/>
                                <w:sz w:val="13"/>
                              </w:rPr>
                              <w:t>-</w:t>
                            </w:r>
                            <w:r>
                              <w:rPr>
                                <w:rFonts w:ascii="Calibri"/>
                                <w:spacing w:val="-2"/>
                                <w:sz w:val="13"/>
                              </w:rPr>
                              <w:t>0.611036</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z w:val="13"/>
                              </w:rPr>
                              <w:t>Std.</w:t>
                            </w:r>
                            <w:r>
                              <w:rPr>
                                <w:rFonts w:ascii="Calibri"/>
                                <w:spacing w:val="10"/>
                                <w:sz w:val="13"/>
                              </w:rPr>
                              <w:t xml:space="preserve"> </w:t>
                            </w:r>
                            <w:r>
                              <w:rPr>
                                <w:rFonts w:ascii="Calibri"/>
                                <w:spacing w:val="-4"/>
                                <w:sz w:val="13"/>
                              </w:rPr>
                              <w:t>Dev.</w:t>
                            </w:r>
                          </w:p>
                        </w:tc>
                        <w:tc>
                          <w:tcPr>
                            <w:tcW w:w="627" w:type="dxa"/>
                          </w:tcPr>
                          <w:p w:rsidR="00A6771A" w:rsidRDefault="00A6771A">
                            <w:pPr>
                              <w:pStyle w:val="TableParagraph"/>
                              <w:spacing w:before="4"/>
                              <w:ind w:left="19" w:right="4"/>
                              <w:jc w:val="center"/>
                              <w:rPr>
                                <w:rFonts w:ascii="Calibri"/>
                                <w:sz w:val="13"/>
                              </w:rPr>
                            </w:pPr>
                            <w:r>
                              <w:rPr>
                                <w:rFonts w:ascii="Calibri"/>
                                <w:spacing w:val="-2"/>
                                <w:sz w:val="13"/>
                              </w:rPr>
                              <w:t>0.324384</w:t>
                            </w:r>
                          </w:p>
                        </w:tc>
                      </w:tr>
                      <w:tr w:rsidR="00A6771A">
                        <w:trPr>
                          <w:trHeight w:val="190"/>
                        </w:trPr>
                        <w:tc>
                          <w:tcPr>
                            <w:tcW w:w="814" w:type="dxa"/>
                          </w:tcPr>
                          <w:p w:rsidR="00A6771A" w:rsidRDefault="00A6771A">
                            <w:pPr>
                              <w:pStyle w:val="TableParagraph"/>
                              <w:spacing w:before="4"/>
                              <w:ind w:left="80"/>
                              <w:rPr>
                                <w:rFonts w:ascii="Calibri"/>
                                <w:sz w:val="13"/>
                              </w:rPr>
                            </w:pPr>
                            <w:r>
                              <w:rPr>
                                <w:rFonts w:ascii="Calibri"/>
                                <w:spacing w:val="-2"/>
                                <w:sz w:val="13"/>
                              </w:rPr>
                              <w:t>Skewness</w:t>
                            </w:r>
                          </w:p>
                        </w:tc>
                        <w:tc>
                          <w:tcPr>
                            <w:tcW w:w="627" w:type="dxa"/>
                          </w:tcPr>
                          <w:p w:rsidR="00A6771A" w:rsidRDefault="00A6771A">
                            <w:pPr>
                              <w:pStyle w:val="TableParagraph"/>
                              <w:spacing w:before="4"/>
                              <w:ind w:left="19" w:right="4"/>
                              <w:jc w:val="center"/>
                              <w:rPr>
                                <w:rFonts w:ascii="Calibri"/>
                                <w:sz w:val="13"/>
                              </w:rPr>
                            </w:pPr>
                            <w:r>
                              <w:rPr>
                                <w:rFonts w:ascii="Calibri"/>
                                <w:spacing w:val="-2"/>
                                <w:sz w:val="13"/>
                              </w:rPr>
                              <w:t>0.055566</w:t>
                            </w:r>
                          </w:p>
                        </w:tc>
                      </w:tr>
                      <w:tr w:rsidR="00A6771A">
                        <w:trPr>
                          <w:trHeight w:val="286"/>
                        </w:trPr>
                        <w:tc>
                          <w:tcPr>
                            <w:tcW w:w="814" w:type="dxa"/>
                          </w:tcPr>
                          <w:p w:rsidR="00A6771A" w:rsidRDefault="00A6771A">
                            <w:pPr>
                              <w:pStyle w:val="TableParagraph"/>
                              <w:spacing w:before="4"/>
                              <w:ind w:left="80"/>
                              <w:rPr>
                                <w:rFonts w:ascii="Calibri"/>
                                <w:sz w:val="13"/>
                              </w:rPr>
                            </w:pPr>
                            <w:r>
                              <w:rPr>
                                <w:rFonts w:ascii="Calibri"/>
                                <w:spacing w:val="-2"/>
                                <w:sz w:val="13"/>
                              </w:rPr>
                              <w:t>Kurtosis</w:t>
                            </w:r>
                          </w:p>
                        </w:tc>
                        <w:tc>
                          <w:tcPr>
                            <w:tcW w:w="627" w:type="dxa"/>
                          </w:tcPr>
                          <w:p w:rsidR="00A6771A" w:rsidRDefault="00A6771A">
                            <w:pPr>
                              <w:pStyle w:val="TableParagraph"/>
                              <w:spacing w:before="4"/>
                              <w:ind w:left="19" w:right="4"/>
                              <w:jc w:val="center"/>
                              <w:rPr>
                                <w:rFonts w:ascii="Calibri"/>
                                <w:sz w:val="13"/>
                              </w:rPr>
                            </w:pPr>
                            <w:r>
                              <w:rPr>
                                <w:rFonts w:ascii="Calibri"/>
                                <w:spacing w:val="-2"/>
                                <w:sz w:val="13"/>
                              </w:rPr>
                              <w:t>1.871209</w:t>
                            </w:r>
                          </w:p>
                        </w:tc>
                      </w:tr>
                      <w:tr w:rsidR="00A6771A">
                        <w:trPr>
                          <w:trHeight w:val="286"/>
                        </w:trPr>
                        <w:tc>
                          <w:tcPr>
                            <w:tcW w:w="814" w:type="dxa"/>
                          </w:tcPr>
                          <w:p w:rsidR="00A6771A" w:rsidRDefault="00A6771A">
                            <w:pPr>
                              <w:pStyle w:val="TableParagraph"/>
                              <w:spacing w:before="100"/>
                              <w:ind w:left="80"/>
                              <w:rPr>
                                <w:rFonts w:ascii="Calibri"/>
                                <w:sz w:val="13"/>
                              </w:rPr>
                            </w:pPr>
                            <w:r>
                              <w:rPr>
                                <w:rFonts w:ascii="Calibri"/>
                                <w:sz w:val="13"/>
                              </w:rPr>
                              <w:t>Jarque-</w:t>
                            </w:r>
                            <w:r>
                              <w:rPr>
                                <w:rFonts w:ascii="Calibri"/>
                                <w:spacing w:val="-4"/>
                                <w:sz w:val="13"/>
                              </w:rPr>
                              <w:t>Bera</w:t>
                            </w:r>
                          </w:p>
                        </w:tc>
                        <w:tc>
                          <w:tcPr>
                            <w:tcW w:w="627" w:type="dxa"/>
                          </w:tcPr>
                          <w:p w:rsidR="00A6771A" w:rsidRDefault="00A6771A">
                            <w:pPr>
                              <w:pStyle w:val="TableParagraph"/>
                              <w:spacing w:before="100"/>
                              <w:ind w:left="19" w:right="4"/>
                              <w:jc w:val="center"/>
                              <w:rPr>
                                <w:rFonts w:ascii="Calibri"/>
                                <w:sz w:val="13"/>
                              </w:rPr>
                            </w:pPr>
                            <w:r>
                              <w:rPr>
                                <w:rFonts w:ascii="Calibri"/>
                                <w:spacing w:val="-2"/>
                                <w:sz w:val="13"/>
                              </w:rPr>
                              <w:t>1.876175</w:t>
                            </w:r>
                          </w:p>
                        </w:tc>
                      </w:tr>
                      <w:tr w:rsidR="00A6771A">
                        <w:trPr>
                          <w:trHeight w:val="237"/>
                        </w:trPr>
                        <w:tc>
                          <w:tcPr>
                            <w:tcW w:w="814" w:type="dxa"/>
                          </w:tcPr>
                          <w:p w:rsidR="00A6771A" w:rsidRDefault="00A6771A">
                            <w:pPr>
                              <w:pStyle w:val="TableParagraph"/>
                              <w:spacing w:before="4"/>
                              <w:ind w:left="80"/>
                              <w:rPr>
                                <w:rFonts w:ascii="Calibri"/>
                                <w:sz w:val="13"/>
                              </w:rPr>
                            </w:pPr>
                            <w:r>
                              <w:rPr>
                                <w:rFonts w:ascii="Calibri"/>
                                <w:spacing w:val="-2"/>
                                <w:sz w:val="13"/>
                              </w:rPr>
                              <w:t>Probability</w:t>
                            </w:r>
                          </w:p>
                        </w:tc>
                        <w:tc>
                          <w:tcPr>
                            <w:tcW w:w="627" w:type="dxa"/>
                          </w:tcPr>
                          <w:p w:rsidR="00A6771A" w:rsidRDefault="00A6771A">
                            <w:pPr>
                              <w:pStyle w:val="TableParagraph"/>
                              <w:spacing w:before="4"/>
                              <w:ind w:left="20" w:right="4"/>
                              <w:jc w:val="center"/>
                              <w:rPr>
                                <w:rFonts w:ascii="Calibri"/>
                                <w:sz w:val="13"/>
                              </w:rPr>
                            </w:pPr>
                            <w:r>
                              <w:rPr>
                                <w:rFonts w:ascii="Calibri"/>
                                <w:spacing w:val="-2"/>
                                <w:sz w:val="13"/>
                              </w:rPr>
                              <w:t>0.391376</w:t>
                            </w:r>
                          </w:p>
                        </w:tc>
                      </w:tr>
                    </w:tbl>
                    <w:p w:rsidR="00A6771A" w:rsidRDefault="00A6771A" w:rsidP="00A6771A">
                      <w:pPr>
                        <w:pStyle w:val="BodyText"/>
                      </w:pPr>
                    </w:p>
                  </w:txbxContent>
                </v:textbox>
                <w10:wrap anchorx="page"/>
              </v:shape>
            </w:pict>
          </mc:Fallback>
        </mc:AlternateContent>
      </w:r>
      <w:r>
        <w:rPr>
          <w:rFonts w:ascii="Calibri"/>
          <w:spacing w:val="-10"/>
          <w:sz w:val="15"/>
        </w:rPr>
        <w:t>5</w:t>
      </w:r>
    </w:p>
    <w:p w:rsidR="00A6771A" w:rsidRDefault="00A6771A" w:rsidP="00A6771A">
      <w:pPr>
        <w:pStyle w:val="BodyText"/>
        <w:ind w:left="100" w:right="114"/>
        <w:jc w:val="center"/>
        <w:rPr>
          <w:b/>
        </w:rPr>
      </w:pPr>
    </w:p>
    <w:p w:rsidR="00A6771A" w:rsidRDefault="00A6771A" w:rsidP="00A6771A">
      <w:pPr>
        <w:pStyle w:val="BodyText"/>
        <w:ind w:left="100" w:right="114"/>
        <w:jc w:val="center"/>
        <w:rPr>
          <w:b/>
        </w:rPr>
      </w:pPr>
    </w:p>
    <w:p w:rsidR="00A6771A" w:rsidRDefault="00A6771A" w:rsidP="00A6771A">
      <w:pPr>
        <w:pStyle w:val="BodyText"/>
        <w:ind w:left="100" w:right="114"/>
        <w:jc w:val="center"/>
        <w:rPr>
          <w:b/>
        </w:rPr>
      </w:pPr>
    </w:p>
    <w:p w:rsidR="00A6771A" w:rsidRDefault="00A6771A" w:rsidP="00A6771A">
      <w:pPr>
        <w:pStyle w:val="BodyText"/>
        <w:ind w:left="100" w:right="114"/>
        <w:jc w:val="center"/>
        <w:rPr>
          <w:b/>
        </w:rPr>
      </w:pPr>
    </w:p>
    <w:p w:rsidR="00A6771A" w:rsidRDefault="00A6771A" w:rsidP="00A6771A">
      <w:pPr>
        <w:pStyle w:val="BodyText"/>
        <w:ind w:left="100" w:right="114"/>
        <w:jc w:val="center"/>
        <w:rPr>
          <w:b/>
        </w:rPr>
      </w:pPr>
    </w:p>
    <w:p w:rsidR="00A6771A" w:rsidRDefault="00A6771A" w:rsidP="00A6771A">
      <w:pPr>
        <w:pStyle w:val="BodyText"/>
        <w:ind w:left="100" w:right="114"/>
        <w:jc w:val="center"/>
        <w:rPr>
          <w:b/>
        </w:rPr>
      </w:pPr>
    </w:p>
    <w:p w:rsidR="00A6771A" w:rsidRDefault="00A6771A" w:rsidP="00A6771A">
      <w:pPr>
        <w:pStyle w:val="BodyText"/>
        <w:ind w:left="100" w:right="114"/>
        <w:jc w:val="center"/>
        <w:rPr>
          <w:b/>
        </w:rPr>
      </w:pPr>
    </w:p>
    <w:p w:rsidR="00A6771A" w:rsidRDefault="00A6771A" w:rsidP="00A6771A">
      <w:pPr>
        <w:pStyle w:val="BodyText"/>
        <w:ind w:left="100" w:right="114"/>
        <w:jc w:val="center"/>
        <w:rPr>
          <w:b/>
        </w:rPr>
      </w:pPr>
    </w:p>
    <w:p w:rsidR="00A6771A" w:rsidRDefault="00A6771A" w:rsidP="00A6771A">
      <w:pPr>
        <w:pStyle w:val="BodyText"/>
        <w:ind w:left="100" w:right="114"/>
        <w:jc w:val="center"/>
        <w:rPr>
          <w:b/>
        </w:rPr>
      </w:pPr>
    </w:p>
    <w:p w:rsidR="00A6771A" w:rsidRPr="00A6771A" w:rsidRDefault="00A6771A" w:rsidP="00A6771A">
      <w:pPr>
        <w:pStyle w:val="BodyText"/>
        <w:spacing w:line="276" w:lineRule="auto"/>
        <w:ind w:left="102" w:right="113" w:firstLine="851"/>
        <w:jc w:val="both"/>
      </w:pPr>
      <w:r>
        <w:t>Dapat dilihat dari grafik histogram diatas nilai Jarque-Bera sebesar 1.876175 sementara nilai Probability 0.391376 yang mana lebih besar dari signifikan 0.05. Sehingga dapat disimpulkan bahwa data dalam penelitian ini telah terdistribusi dengan normal.</w:t>
      </w:r>
    </w:p>
    <w:p w:rsidR="00A6771A" w:rsidRDefault="00A6771A" w:rsidP="00A6771A">
      <w:pPr>
        <w:pStyle w:val="BodyText"/>
        <w:ind w:left="100" w:right="114"/>
        <w:jc w:val="center"/>
        <w:rPr>
          <w:b/>
        </w:rPr>
      </w:pPr>
    </w:p>
    <w:p w:rsidR="00A6771A" w:rsidRDefault="00A6771A" w:rsidP="00A6771A">
      <w:pPr>
        <w:pStyle w:val="BodyText"/>
        <w:ind w:left="100" w:right="114"/>
        <w:rPr>
          <w:b/>
        </w:rPr>
      </w:pPr>
      <w:r>
        <w:rPr>
          <w:b/>
        </w:rPr>
        <w:t>Uji Multikolinearitas</w:t>
      </w:r>
    </w:p>
    <w:p w:rsidR="00A6771A" w:rsidRDefault="00A6771A" w:rsidP="00A6771A">
      <w:pPr>
        <w:pStyle w:val="BodyText"/>
        <w:ind w:left="100" w:right="114"/>
        <w:jc w:val="center"/>
        <w:rPr>
          <w:b/>
        </w:rPr>
      </w:pPr>
      <w:r>
        <w:rPr>
          <w:b/>
        </w:rPr>
        <w:t>Hasil Uji Multikolinearitas</w:t>
      </w:r>
    </w:p>
    <w:p w:rsidR="00A6771A" w:rsidRDefault="00A6771A" w:rsidP="00A6771A">
      <w:pPr>
        <w:pStyle w:val="BodyText"/>
        <w:ind w:left="100" w:right="114"/>
        <w:jc w:val="center"/>
        <w:rPr>
          <w:b/>
        </w:rPr>
      </w:pPr>
    </w:p>
    <w:tbl>
      <w:tblPr>
        <w:tblW w:w="0" w:type="auto"/>
        <w:jc w:val="center"/>
        <w:tblLayout w:type="fixed"/>
        <w:tblCellMar>
          <w:left w:w="0" w:type="dxa"/>
          <w:right w:w="0" w:type="dxa"/>
        </w:tblCellMar>
        <w:tblLook w:val="01E0" w:firstRow="1" w:lastRow="1" w:firstColumn="1" w:lastColumn="1" w:noHBand="0" w:noVBand="0"/>
      </w:tblPr>
      <w:tblGrid>
        <w:gridCol w:w="976"/>
        <w:gridCol w:w="1533"/>
        <w:gridCol w:w="1464"/>
      </w:tblGrid>
      <w:tr w:rsidR="00A6771A" w:rsidTr="0034654B">
        <w:trPr>
          <w:trHeight w:val="467"/>
          <w:jc w:val="center"/>
        </w:trPr>
        <w:tc>
          <w:tcPr>
            <w:tcW w:w="976" w:type="dxa"/>
            <w:tcBorders>
              <w:top w:val="single" w:sz="4" w:space="0" w:color="000000"/>
              <w:left w:val="single" w:sz="4" w:space="0" w:color="000000"/>
              <w:bottom w:val="double" w:sz="6" w:space="0" w:color="000000"/>
            </w:tcBorders>
          </w:tcPr>
          <w:p w:rsidR="00A6771A" w:rsidRDefault="00A6771A" w:rsidP="0034654B">
            <w:pPr>
              <w:pStyle w:val="TableParagraph"/>
              <w:rPr>
                <w:sz w:val="20"/>
              </w:rPr>
            </w:pPr>
          </w:p>
        </w:tc>
        <w:tc>
          <w:tcPr>
            <w:tcW w:w="1533" w:type="dxa"/>
            <w:tcBorders>
              <w:top w:val="single" w:sz="4" w:space="0" w:color="000000"/>
              <w:bottom w:val="double" w:sz="6" w:space="0" w:color="000000"/>
            </w:tcBorders>
          </w:tcPr>
          <w:p w:rsidR="00A6771A" w:rsidRDefault="00A6771A" w:rsidP="0034654B">
            <w:pPr>
              <w:pStyle w:val="TableParagraph"/>
              <w:spacing w:before="13"/>
              <w:ind w:left="50" w:right="52"/>
              <w:jc w:val="center"/>
              <w:rPr>
                <w:sz w:val="18"/>
              </w:rPr>
            </w:pPr>
            <w:r>
              <w:rPr>
                <w:spacing w:val="-5"/>
                <w:sz w:val="18"/>
              </w:rPr>
              <w:t>X1</w:t>
            </w:r>
          </w:p>
        </w:tc>
        <w:tc>
          <w:tcPr>
            <w:tcW w:w="1464" w:type="dxa"/>
            <w:tcBorders>
              <w:top w:val="single" w:sz="4" w:space="0" w:color="000000"/>
              <w:bottom w:val="double" w:sz="6" w:space="0" w:color="000000"/>
              <w:right w:val="single" w:sz="4" w:space="0" w:color="000000"/>
            </w:tcBorders>
          </w:tcPr>
          <w:p w:rsidR="00A6771A" w:rsidRDefault="00A6771A" w:rsidP="0034654B">
            <w:pPr>
              <w:pStyle w:val="TableParagraph"/>
              <w:spacing w:before="13"/>
              <w:ind w:left="45" w:right="59"/>
              <w:jc w:val="center"/>
              <w:rPr>
                <w:sz w:val="18"/>
              </w:rPr>
            </w:pPr>
            <w:r>
              <w:rPr>
                <w:spacing w:val="-5"/>
                <w:sz w:val="18"/>
              </w:rPr>
              <w:t>X2</w:t>
            </w:r>
          </w:p>
        </w:tc>
      </w:tr>
      <w:tr w:rsidR="00A6771A" w:rsidTr="0034654B">
        <w:trPr>
          <w:trHeight w:val="485"/>
          <w:jc w:val="center"/>
        </w:trPr>
        <w:tc>
          <w:tcPr>
            <w:tcW w:w="976" w:type="dxa"/>
            <w:tcBorders>
              <w:top w:val="double" w:sz="6" w:space="0" w:color="000000"/>
              <w:left w:val="single" w:sz="4" w:space="0" w:color="000000"/>
            </w:tcBorders>
          </w:tcPr>
          <w:p w:rsidR="00A6771A" w:rsidRDefault="00A6771A" w:rsidP="0034654B">
            <w:pPr>
              <w:pStyle w:val="TableParagraph"/>
              <w:spacing w:before="104"/>
              <w:ind w:left="11"/>
              <w:jc w:val="center"/>
              <w:rPr>
                <w:sz w:val="18"/>
              </w:rPr>
            </w:pPr>
            <w:r>
              <w:rPr>
                <w:spacing w:val="-5"/>
                <w:sz w:val="18"/>
              </w:rPr>
              <w:t>X1</w:t>
            </w:r>
          </w:p>
        </w:tc>
        <w:tc>
          <w:tcPr>
            <w:tcW w:w="1533" w:type="dxa"/>
            <w:tcBorders>
              <w:top w:val="double" w:sz="6" w:space="0" w:color="000000"/>
            </w:tcBorders>
          </w:tcPr>
          <w:p w:rsidR="00A6771A" w:rsidRDefault="00A6771A" w:rsidP="0034654B">
            <w:pPr>
              <w:pStyle w:val="TableParagraph"/>
              <w:spacing w:before="104"/>
              <w:ind w:left="52" w:right="2"/>
              <w:jc w:val="center"/>
              <w:rPr>
                <w:sz w:val="18"/>
              </w:rPr>
            </w:pPr>
            <w:r>
              <w:rPr>
                <w:spacing w:val="-2"/>
                <w:sz w:val="18"/>
              </w:rPr>
              <w:t>1.000000</w:t>
            </w:r>
          </w:p>
        </w:tc>
        <w:tc>
          <w:tcPr>
            <w:tcW w:w="1464" w:type="dxa"/>
            <w:tcBorders>
              <w:top w:val="double" w:sz="6" w:space="0" w:color="000000"/>
              <w:right w:val="single" w:sz="4" w:space="0" w:color="000000"/>
            </w:tcBorders>
          </w:tcPr>
          <w:p w:rsidR="00A6771A" w:rsidRDefault="00A6771A" w:rsidP="0034654B">
            <w:pPr>
              <w:pStyle w:val="TableParagraph"/>
              <w:spacing w:before="104"/>
              <w:ind w:left="62" w:right="24"/>
              <w:jc w:val="center"/>
              <w:rPr>
                <w:sz w:val="18"/>
              </w:rPr>
            </w:pPr>
            <w:r>
              <w:rPr>
                <w:spacing w:val="-2"/>
                <w:sz w:val="18"/>
              </w:rPr>
              <w:t>0.253672</w:t>
            </w:r>
          </w:p>
        </w:tc>
      </w:tr>
      <w:tr w:rsidR="00A6771A" w:rsidTr="0034654B">
        <w:trPr>
          <w:trHeight w:val="330"/>
          <w:jc w:val="center"/>
        </w:trPr>
        <w:tc>
          <w:tcPr>
            <w:tcW w:w="976" w:type="dxa"/>
            <w:tcBorders>
              <w:left w:val="single" w:sz="4" w:space="0" w:color="000000"/>
              <w:bottom w:val="single" w:sz="4" w:space="0" w:color="000000"/>
            </w:tcBorders>
          </w:tcPr>
          <w:p w:rsidR="00A6771A" w:rsidRDefault="00A6771A" w:rsidP="0034654B">
            <w:pPr>
              <w:pStyle w:val="TableParagraph"/>
              <w:spacing w:line="192" w:lineRule="exact"/>
              <w:ind w:left="11"/>
              <w:jc w:val="center"/>
              <w:rPr>
                <w:sz w:val="18"/>
              </w:rPr>
            </w:pPr>
            <w:r>
              <w:rPr>
                <w:spacing w:val="-5"/>
                <w:sz w:val="18"/>
              </w:rPr>
              <w:t>X2</w:t>
            </w:r>
          </w:p>
        </w:tc>
        <w:tc>
          <w:tcPr>
            <w:tcW w:w="1533" w:type="dxa"/>
            <w:tcBorders>
              <w:bottom w:val="single" w:sz="4" w:space="0" w:color="000000"/>
            </w:tcBorders>
          </w:tcPr>
          <w:p w:rsidR="00A6771A" w:rsidRDefault="00A6771A" w:rsidP="0034654B">
            <w:pPr>
              <w:pStyle w:val="TableParagraph"/>
              <w:spacing w:line="192" w:lineRule="exact"/>
              <w:ind w:left="52" w:right="2"/>
              <w:jc w:val="center"/>
              <w:rPr>
                <w:sz w:val="18"/>
              </w:rPr>
            </w:pPr>
            <w:r>
              <w:rPr>
                <w:spacing w:val="-2"/>
                <w:sz w:val="18"/>
              </w:rPr>
              <w:t>0.253672</w:t>
            </w:r>
          </w:p>
        </w:tc>
        <w:tc>
          <w:tcPr>
            <w:tcW w:w="1464" w:type="dxa"/>
            <w:tcBorders>
              <w:bottom w:val="single" w:sz="4" w:space="0" w:color="000000"/>
              <w:right w:val="single" w:sz="4" w:space="0" w:color="000000"/>
            </w:tcBorders>
          </w:tcPr>
          <w:p w:rsidR="00A6771A" w:rsidRDefault="00A6771A" w:rsidP="0034654B">
            <w:pPr>
              <w:pStyle w:val="TableParagraph"/>
              <w:spacing w:line="192" w:lineRule="exact"/>
              <w:ind w:left="62" w:right="24"/>
              <w:jc w:val="center"/>
              <w:rPr>
                <w:sz w:val="18"/>
              </w:rPr>
            </w:pPr>
            <w:r>
              <w:rPr>
                <w:spacing w:val="-2"/>
                <w:sz w:val="18"/>
              </w:rPr>
              <w:t>1.000000</w:t>
            </w:r>
          </w:p>
        </w:tc>
      </w:tr>
    </w:tbl>
    <w:p w:rsidR="00A6771A" w:rsidRDefault="00A6771A" w:rsidP="00A6771A">
      <w:pPr>
        <w:pStyle w:val="BodyText"/>
        <w:ind w:left="100" w:right="114"/>
        <w:rPr>
          <w:b/>
        </w:rPr>
      </w:pPr>
    </w:p>
    <w:p w:rsidR="00A6771A" w:rsidRDefault="00473319" w:rsidP="00473319">
      <w:pPr>
        <w:pStyle w:val="BodyText"/>
        <w:spacing w:line="276" w:lineRule="auto"/>
        <w:ind w:left="102" w:right="113" w:firstLine="851"/>
        <w:jc w:val="both"/>
      </w:pPr>
      <w:r>
        <w:t>Berdasarkan tabel diatas, hasil perhitungan menunjukan semua variabel independen mempunyai nilai &lt; 0.09. Dengan demikian, dapat disimpulkan bahwa seluruh variabel independen tidak terjadi multikolinearitas.</w:t>
      </w:r>
    </w:p>
    <w:p w:rsidR="00473319" w:rsidRDefault="00473319" w:rsidP="00473319">
      <w:pPr>
        <w:pStyle w:val="BodyText"/>
        <w:spacing w:line="276" w:lineRule="auto"/>
        <w:ind w:right="113"/>
        <w:jc w:val="both"/>
      </w:pPr>
    </w:p>
    <w:p w:rsidR="00473319" w:rsidRDefault="00473319" w:rsidP="00473319">
      <w:pPr>
        <w:pStyle w:val="BodyText"/>
        <w:spacing w:line="276" w:lineRule="auto"/>
        <w:ind w:right="113"/>
        <w:jc w:val="both"/>
        <w:rPr>
          <w:b/>
        </w:rPr>
      </w:pPr>
      <w:r>
        <w:rPr>
          <w:b/>
        </w:rPr>
        <w:t xml:space="preserve">Uji Heteroskedastisitas </w:t>
      </w:r>
    </w:p>
    <w:p w:rsidR="00473319" w:rsidRPr="00473319" w:rsidRDefault="00476634" w:rsidP="00476634">
      <w:pPr>
        <w:pStyle w:val="BodyText"/>
        <w:spacing w:line="276" w:lineRule="auto"/>
        <w:ind w:right="113"/>
        <w:jc w:val="center"/>
        <w:rPr>
          <w:b/>
        </w:rPr>
      </w:pPr>
      <w:r>
        <w:rPr>
          <w:b/>
        </w:rPr>
        <w:t>Hasil Uji Heteroskedastisitas</w:t>
      </w:r>
    </w:p>
    <w:tbl>
      <w:tblPr>
        <w:tblW w:w="0" w:type="auto"/>
        <w:tblInd w:w="1293" w:type="dxa"/>
        <w:tblLayout w:type="fixed"/>
        <w:tblCellMar>
          <w:left w:w="0" w:type="dxa"/>
          <w:right w:w="0" w:type="dxa"/>
        </w:tblCellMar>
        <w:tblLook w:val="01E0" w:firstRow="1" w:lastRow="1" w:firstColumn="1" w:lastColumn="1" w:noHBand="0" w:noVBand="0"/>
      </w:tblPr>
      <w:tblGrid>
        <w:gridCol w:w="1810"/>
        <w:gridCol w:w="1416"/>
        <w:gridCol w:w="2229"/>
        <w:gridCol w:w="1079"/>
      </w:tblGrid>
      <w:tr w:rsidR="005641A5" w:rsidTr="004E53D0">
        <w:trPr>
          <w:trHeight w:val="315"/>
        </w:trPr>
        <w:tc>
          <w:tcPr>
            <w:tcW w:w="6534" w:type="dxa"/>
            <w:gridSpan w:val="4"/>
            <w:tcBorders>
              <w:top w:val="single" w:sz="4" w:space="0" w:color="000000"/>
              <w:left w:val="single" w:sz="4" w:space="0" w:color="000000"/>
              <w:bottom w:val="double" w:sz="6" w:space="0" w:color="000000"/>
              <w:right w:val="single" w:sz="4" w:space="0" w:color="000000"/>
            </w:tcBorders>
          </w:tcPr>
          <w:p w:rsidR="005641A5" w:rsidRDefault="005641A5" w:rsidP="004E53D0">
            <w:pPr>
              <w:pStyle w:val="TableParagraph"/>
              <w:spacing w:before="13"/>
              <w:ind w:left="9"/>
              <w:rPr>
                <w:sz w:val="18"/>
              </w:rPr>
            </w:pPr>
            <w:r>
              <w:rPr>
                <w:spacing w:val="-2"/>
                <w:sz w:val="18"/>
              </w:rPr>
              <w:t>Heteroskedasticity</w:t>
            </w:r>
            <w:r>
              <w:rPr>
                <w:sz w:val="18"/>
              </w:rPr>
              <w:t xml:space="preserve"> </w:t>
            </w:r>
            <w:r>
              <w:rPr>
                <w:spacing w:val="-2"/>
                <w:sz w:val="18"/>
              </w:rPr>
              <w:t>Test:</w:t>
            </w:r>
            <w:r>
              <w:rPr>
                <w:spacing w:val="-1"/>
                <w:sz w:val="18"/>
              </w:rPr>
              <w:t xml:space="preserve"> </w:t>
            </w:r>
            <w:r>
              <w:rPr>
                <w:spacing w:val="-4"/>
                <w:sz w:val="18"/>
              </w:rPr>
              <w:t>ARCH</w:t>
            </w:r>
          </w:p>
        </w:tc>
      </w:tr>
      <w:tr w:rsidR="005641A5" w:rsidTr="004E53D0">
        <w:trPr>
          <w:trHeight w:val="319"/>
        </w:trPr>
        <w:tc>
          <w:tcPr>
            <w:tcW w:w="1810" w:type="dxa"/>
            <w:tcBorders>
              <w:top w:val="double" w:sz="6" w:space="0" w:color="000000"/>
              <w:left w:val="single" w:sz="4" w:space="0" w:color="000000"/>
            </w:tcBorders>
          </w:tcPr>
          <w:p w:rsidR="005641A5" w:rsidRDefault="005641A5" w:rsidP="004E53D0">
            <w:pPr>
              <w:pStyle w:val="TableParagraph"/>
              <w:spacing w:before="104" w:line="196" w:lineRule="exact"/>
              <w:ind w:left="9"/>
              <w:rPr>
                <w:sz w:val="18"/>
              </w:rPr>
            </w:pPr>
            <w:r>
              <w:rPr>
                <w:sz w:val="18"/>
              </w:rPr>
              <w:t>F-</w:t>
            </w:r>
            <w:r>
              <w:rPr>
                <w:spacing w:val="-2"/>
                <w:sz w:val="18"/>
              </w:rPr>
              <w:t>statistic</w:t>
            </w:r>
          </w:p>
        </w:tc>
        <w:tc>
          <w:tcPr>
            <w:tcW w:w="1416" w:type="dxa"/>
            <w:tcBorders>
              <w:top w:val="double" w:sz="6" w:space="0" w:color="000000"/>
            </w:tcBorders>
          </w:tcPr>
          <w:p w:rsidR="005641A5" w:rsidRDefault="005641A5" w:rsidP="004E53D0">
            <w:pPr>
              <w:pStyle w:val="TableParagraph"/>
              <w:spacing w:before="104" w:line="196" w:lineRule="exact"/>
              <w:ind w:right="97"/>
              <w:jc w:val="right"/>
              <w:rPr>
                <w:sz w:val="18"/>
              </w:rPr>
            </w:pPr>
            <w:r>
              <w:rPr>
                <w:spacing w:val="-2"/>
                <w:sz w:val="18"/>
              </w:rPr>
              <w:t>0.019568</w:t>
            </w:r>
          </w:p>
        </w:tc>
        <w:tc>
          <w:tcPr>
            <w:tcW w:w="2229" w:type="dxa"/>
            <w:tcBorders>
              <w:top w:val="double" w:sz="6" w:space="0" w:color="000000"/>
            </w:tcBorders>
          </w:tcPr>
          <w:p w:rsidR="005641A5" w:rsidRDefault="005641A5" w:rsidP="004E53D0">
            <w:pPr>
              <w:pStyle w:val="TableParagraph"/>
              <w:spacing w:before="104" w:line="196" w:lineRule="exact"/>
              <w:ind w:left="111"/>
              <w:rPr>
                <w:sz w:val="18"/>
              </w:rPr>
            </w:pPr>
            <w:r>
              <w:rPr>
                <w:sz w:val="18"/>
              </w:rPr>
              <w:t>Prob.</w:t>
            </w:r>
            <w:r>
              <w:rPr>
                <w:spacing w:val="-5"/>
                <w:sz w:val="18"/>
              </w:rPr>
              <w:t xml:space="preserve"> </w:t>
            </w:r>
            <w:r>
              <w:rPr>
                <w:spacing w:val="-2"/>
                <w:sz w:val="18"/>
              </w:rPr>
              <w:t>F(1,32)</w:t>
            </w:r>
          </w:p>
        </w:tc>
        <w:tc>
          <w:tcPr>
            <w:tcW w:w="1079" w:type="dxa"/>
            <w:tcBorders>
              <w:top w:val="double" w:sz="6" w:space="0" w:color="000000"/>
              <w:right w:val="single" w:sz="4" w:space="0" w:color="000000"/>
            </w:tcBorders>
          </w:tcPr>
          <w:p w:rsidR="005641A5" w:rsidRDefault="005641A5" w:rsidP="004E53D0">
            <w:pPr>
              <w:pStyle w:val="TableParagraph"/>
              <w:spacing w:before="104" w:line="196" w:lineRule="exact"/>
              <w:ind w:right="-15"/>
              <w:jc w:val="right"/>
              <w:rPr>
                <w:sz w:val="18"/>
              </w:rPr>
            </w:pPr>
            <w:r>
              <w:rPr>
                <w:spacing w:val="-2"/>
                <w:sz w:val="18"/>
              </w:rPr>
              <w:t>0.8896</w:t>
            </w:r>
          </w:p>
        </w:tc>
      </w:tr>
      <w:tr w:rsidR="005641A5" w:rsidTr="004E53D0">
        <w:trPr>
          <w:trHeight w:val="307"/>
        </w:trPr>
        <w:tc>
          <w:tcPr>
            <w:tcW w:w="1810" w:type="dxa"/>
            <w:tcBorders>
              <w:left w:val="single" w:sz="4" w:space="0" w:color="000000"/>
              <w:bottom w:val="double" w:sz="6" w:space="0" w:color="000000"/>
            </w:tcBorders>
          </w:tcPr>
          <w:p w:rsidR="005641A5" w:rsidRDefault="005641A5" w:rsidP="004E53D0">
            <w:pPr>
              <w:pStyle w:val="TableParagraph"/>
              <w:spacing w:before="4"/>
              <w:ind w:left="9"/>
              <w:rPr>
                <w:sz w:val="18"/>
              </w:rPr>
            </w:pPr>
            <w:r>
              <w:rPr>
                <w:spacing w:val="-2"/>
                <w:sz w:val="18"/>
              </w:rPr>
              <w:t>Obs*R-squared</w:t>
            </w:r>
          </w:p>
        </w:tc>
        <w:tc>
          <w:tcPr>
            <w:tcW w:w="1416" w:type="dxa"/>
            <w:tcBorders>
              <w:bottom w:val="double" w:sz="6" w:space="0" w:color="000000"/>
            </w:tcBorders>
          </w:tcPr>
          <w:p w:rsidR="005641A5" w:rsidRDefault="005641A5" w:rsidP="004E53D0">
            <w:pPr>
              <w:pStyle w:val="TableParagraph"/>
              <w:spacing w:before="4"/>
              <w:ind w:right="97"/>
              <w:jc w:val="right"/>
              <w:rPr>
                <w:sz w:val="18"/>
              </w:rPr>
            </w:pPr>
            <w:r>
              <w:rPr>
                <w:spacing w:val="-2"/>
                <w:sz w:val="18"/>
              </w:rPr>
              <w:t>0.020779</w:t>
            </w:r>
          </w:p>
        </w:tc>
        <w:tc>
          <w:tcPr>
            <w:tcW w:w="2229" w:type="dxa"/>
            <w:tcBorders>
              <w:bottom w:val="double" w:sz="6" w:space="0" w:color="000000"/>
            </w:tcBorders>
          </w:tcPr>
          <w:p w:rsidR="005641A5" w:rsidRDefault="005641A5" w:rsidP="004E53D0">
            <w:pPr>
              <w:pStyle w:val="TableParagraph"/>
              <w:spacing w:before="4"/>
              <w:ind w:left="111"/>
              <w:rPr>
                <w:sz w:val="18"/>
              </w:rPr>
            </w:pPr>
            <w:r>
              <w:rPr>
                <w:sz w:val="18"/>
              </w:rPr>
              <w:t>Prob.</w:t>
            </w:r>
            <w:r>
              <w:rPr>
                <w:spacing w:val="-12"/>
                <w:sz w:val="18"/>
              </w:rPr>
              <w:t xml:space="preserve"> </w:t>
            </w:r>
            <w:r>
              <w:rPr>
                <w:sz w:val="18"/>
              </w:rPr>
              <w:t>Chi-</w:t>
            </w:r>
            <w:r>
              <w:rPr>
                <w:spacing w:val="-2"/>
                <w:sz w:val="18"/>
              </w:rPr>
              <w:t>Square(1)</w:t>
            </w:r>
          </w:p>
        </w:tc>
        <w:tc>
          <w:tcPr>
            <w:tcW w:w="1079" w:type="dxa"/>
            <w:tcBorders>
              <w:bottom w:val="double" w:sz="6" w:space="0" w:color="000000"/>
              <w:right w:val="single" w:sz="4" w:space="0" w:color="000000"/>
            </w:tcBorders>
          </w:tcPr>
          <w:p w:rsidR="005641A5" w:rsidRDefault="005641A5" w:rsidP="004E53D0">
            <w:pPr>
              <w:pStyle w:val="TableParagraph"/>
              <w:spacing w:before="4"/>
              <w:ind w:right="-15"/>
              <w:jc w:val="right"/>
              <w:rPr>
                <w:sz w:val="18"/>
              </w:rPr>
            </w:pPr>
            <w:r>
              <w:rPr>
                <w:spacing w:val="-2"/>
                <w:sz w:val="18"/>
              </w:rPr>
              <w:t>0.8854</w:t>
            </w:r>
          </w:p>
        </w:tc>
      </w:tr>
      <w:tr w:rsidR="005641A5" w:rsidTr="004E53D0">
        <w:trPr>
          <w:trHeight w:val="95"/>
        </w:trPr>
        <w:tc>
          <w:tcPr>
            <w:tcW w:w="6534" w:type="dxa"/>
            <w:gridSpan w:val="4"/>
            <w:tcBorders>
              <w:top w:val="double" w:sz="6" w:space="0" w:color="000000"/>
              <w:left w:val="single" w:sz="4" w:space="0" w:color="000000"/>
              <w:bottom w:val="single" w:sz="4" w:space="0" w:color="000000"/>
              <w:right w:val="single" w:sz="4" w:space="0" w:color="000000"/>
            </w:tcBorders>
          </w:tcPr>
          <w:p w:rsidR="005641A5" w:rsidRDefault="005641A5" w:rsidP="004E53D0">
            <w:pPr>
              <w:pStyle w:val="TableParagraph"/>
              <w:rPr>
                <w:sz w:val="4"/>
              </w:rPr>
            </w:pPr>
          </w:p>
        </w:tc>
      </w:tr>
    </w:tbl>
    <w:p w:rsidR="005641A5" w:rsidRDefault="005641A5" w:rsidP="005641A5">
      <w:pPr>
        <w:pStyle w:val="BodyText"/>
        <w:ind w:left="100" w:right="114"/>
        <w:jc w:val="both"/>
      </w:pPr>
    </w:p>
    <w:p w:rsidR="00A6771A" w:rsidRDefault="005641A5" w:rsidP="004D6A92">
      <w:pPr>
        <w:pStyle w:val="BodyText"/>
        <w:spacing w:line="276" w:lineRule="auto"/>
        <w:ind w:left="96" w:right="113" w:firstLine="851"/>
        <w:jc w:val="both"/>
      </w:pPr>
      <w:r>
        <w:t>Berdasarkan tabel pengujian diatas menunjukan bahwa</w:t>
      </w:r>
      <w:r w:rsidR="00476634">
        <w:t xml:space="preserve"> seluruh nilai probabilitas chi-</w:t>
      </w:r>
      <w:r>
        <w:t xml:space="preserve">square lebih besar dari taraf signifikan yaitu 0.05 sehinnga dapat disimpulkan bahwa tidak terjadi masalah heteroskedastisitas. </w:t>
      </w:r>
    </w:p>
    <w:p w:rsidR="004D6A92" w:rsidRDefault="004D6A92" w:rsidP="004D6A92">
      <w:pPr>
        <w:pStyle w:val="BodyText"/>
        <w:spacing w:line="276" w:lineRule="auto"/>
        <w:ind w:left="96" w:right="113" w:firstLine="851"/>
        <w:jc w:val="both"/>
      </w:pPr>
    </w:p>
    <w:p w:rsidR="004D6A92" w:rsidRDefault="004D6A92" w:rsidP="004D6A92">
      <w:pPr>
        <w:pStyle w:val="BodyText"/>
        <w:spacing w:line="276" w:lineRule="auto"/>
        <w:ind w:right="113"/>
        <w:jc w:val="both"/>
        <w:rPr>
          <w:b/>
        </w:rPr>
      </w:pPr>
      <w:r>
        <w:rPr>
          <w:b/>
        </w:rPr>
        <w:t>Uji Autokorelasi</w:t>
      </w:r>
    </w:p>
    <w:p w:rsidR="004D6A92" w:rsidRDefault="004D6A92" w:rsidP="004D6A92">
      <w:pPr>
        <w:pStyle w:val="BodyText"/>
        <w:spacing w:line="276" w:lineRule="auto"/>
        <w:ind w:right="113"/>
        <w:jc w:val="center"/>
        <w:rPr>
          <w:b/>
        </w:rPr>
      </w:pPr>
      <w:r>
        <w:rPr>
          <w:b/>
        </w:rPr>
        <w:t>Hasil Uji Autokorelasi</w:t>
      </w:r>
    </w:p>
    <w:tbl>
      <w:tblPr>
        <w:tblW w:w="0" w:type="auto"/>
        <w:tblInd w:w="1293" w:type="dxa"/>
        <w:tblLayout w:type="fixed"/>
        <w:tblCellMar>
          <w:left w:w="0" w:type="dxa"/>
          <w:right w:w="0" w:type="dxa"/>
        </w:tblCellMar>
        <w:tblLook w:val="01E0" w:firstRow="1" w:lastRow="1" w:firstColumn="1" w:lastColumn="1" w:noHBand="0" w:noVBand="0"/>
      </w:tblPr>
      <w:tblGrid>
        <w:gridCol w:w="1810"/>
        <w:gridCol w:w="1416"/>
        <w:gridCol w:w="2229"/>
        <w:gridCol w:w="1079"/>
      </w:tblGrid>
      <w:tr w:rsidR="004D6A92" w:rsidTr="004E53D0">
        <w:trPr>
          <w:trHeight w:val="356"/>
        </w:trPr>
        <w:tc>
          <w:tcPr>
            <w:tcW w:w="1810" w:type="dxa"/>
            <w:tcBorders>
              <w:top w:val="single" w:sz="4" w:space="0" w:color="000000"/>
              <w:left w:val="single" w:sz="4" w:space="0" w:color="000000"/>
            </w:tcBorders>
          </w:tcPr>
          <w:p w:rsidR="004D6A92" w:rsidRDefault="004D6A92" w:rsidP="004E53D0">
            <w:pPr>
              <w:pStyle w:val="TableParagraph"/>
              <w:spacing w:before="138" w:line="198" w:lineRule="exact"/>
              <w:ind w:left="9"/>
              <w:rPr>
                <w:sz w:val="18"/>
              </w:rPr>
            </w:pPr>
            <w:r>
              <w:rPr>
                <w:sz w:val="18"/>
              </w:rPr>
              <w:t>F-</w:t>
            </w:r>
            <w:r>
              <w:rPr>
                <w:spacing w:val="-2"/>
                <w:sz w:val="18"/>
              </w:rPr>
              <w:t>statistic</w:t>
            </w:r>
          </w:p>
        </w:tc>
        <w:tc>
          <w:tcPr>
            <w:tcW w:w="1416" w:type="dxa"/>
            <w:tcBorders>
              <w:top w:val="single" w:sz="4" w:space="0" w:color="000000"/>
            </w:tcBorders>
          </w:tcPr>
          <w:p w:rsidR="004D6A92" w:rsidRDefault="004D6A92" w:rsidP="004E53D0">
            <w:pPr>
              <w:pStyle w:val="TableParagraph"/>
              <w:spacing w:before="138" w:line="198" w:lineRule="exact"/>
              <w:ind w:right="97"/>
              <w:jc w:val="right"/>
              <w:rPr>
                <w:sz w:val="18"/>
              </w:rPr>
            </w:pPr>
            <w:r>
              <w:rPr>
                <w:spacing w:val="-2"/>
                <w:sz w:val="18"/>
              </w:rPr>
              <w:t>0.053163</w:t>
            </w:r>
          </w:p>
        </w:tc>
        <w:tc>
          <w:tcPr>
            <w:tcW w:w="2229" w:type="dxa"/>
            <w:tcBorders>
              <w:top w:val="single" w:sz="4" w:space="0" w:color="000000"/>
            </w:tcBorders>
          </w:tcPr>
          <w:p w:rsidR="004D6A92" w:rsidRDefault="004D6A92" w:rsidP="004E53D0">
            <w:pPr>
              <w:pStyle w:val="TableParagraph"/>
              <w:spacing w:before="138" w:line="198" w:lineRule="exact"/>
              <w:ind w:left="111"/>
              <w:rPr>
                <w:sz w:val="18"/>
              </w:rPr>
            </w:pPr>
            <w:r>
              <w:rPr>
                <w:sz w:val="18"/>
              </w:rPr>
              <w:t>Prob.</w:t>
            </w:r>
            <w:r>
              <w:rPr>
                <w:spacing w:val="-5"/>
                <w:sz w:val="18"/>
              </w:rPr>
              <w:t xml:space="preserve"> </w:t>
            </w:r>
            <w:r>
              <w:rPr>
                <w:spacing w:val="-2"/>
                <w:sz w:val="18"/>
              </w:rPr>
              <w:t>F(1,30)</w:t>
            </w:r>
          </w:p>
        </w:tc>
        <w:tc>
          <w:tcPr>
            <w:tcW w:w="1079" w:type="dxa"/>
            <w:tcBorders>
              <w:top w:val="single" w:sz="4" w:space="0" w:color="000000"/>
              <w:right w:val="single" w:sz="4" w:space="0" w:color="000000"/>
            </w:tcBorders>
          </w:tcPr>
          <w:p w:rsidR="004D6A92" w:rsidRDefault="004D6A92" w:rsidP="004E53D0">
            <w:pPr>
              <w:pStyle w:val="TableParagraph"/>
              <w:spacing w:before="138" w:line="198" w:lineRule="exact"/>
              <w:ind w:right="-15"/>
              <w:jc w:val="right"/>
              <w:rPr>
                <w:sz w:val="18"/>
              </w:rPr>
            </w:pPr>
            <w:r>
              <w:rPr>
                <w:spacing w:val="-2"/>
                <w:sz w:val="18"/>
              </w:rPr>
              <w:t>0.8192</w:t>
            </w:r>
          </w:p>
        </w:tc>
      </w:tr>
      <w:tr w:rsidR="004D6A92" w:rsidTr="004E53D0">
        <w:trPr>
          <w:trHeight w:val="310"/>
        </w:trPr>
        <w:tc>
          <w:tcPr>
            <w:tcW w:w="1810" w:type="dxa"/>
            <w:tcBorders>
              <w:left w:val="single" w:sz="4" w:space="0" w:color="000000"/>
              <w:bottom w:val="single" w:sz="4" w:space="0" w:color="000000"/>
            </w:tcBorders>
          </w:tcPr>
          <w:p w:rsidR="004D6A92" w:rsidRDefault="004D6A92" w:rsidP="004E53D0">
            <w:pPr>
              <w:pStyle w:val="TableParagraph"/>
              <w:ind w:left="9"/>
              <w:rPr>
                <w:sz w:val="18"/>
              </w:rPr>
            </w:pPr>
            <w:r>
              <w:rPr>
                <w:spacing w:val="-2"/>
                <w:sz w:val="18"/>
              </w:rPr>
              <w:t>Obs*R-squared</w:t>
            </w:r>
          </w:p>
        </w:tc>
        <w:tc>
          <w:tcPr>
            <w:tcW w:w="1416" w:type="dxa"/>
            <w:tcBorders>
              <w:bottom w:val="single" w:sz="4" w:space="0" w:color="000000"/>
            </w:tcBorders>
          </w:tcPr>
          <w:p w:rsidR="004D6A92" w:rsidRDefault="004D6A92" w:rsidP="004E53D0">
            <w:pPr>
              <w:pStyle w:val="TableParagraph"/>
              <w:ind w:right="97"/>
              <w:jc w:val="right"/>
              <w:rPr>
                <w:sz w:val="18"/>
              </w:rPr>
            </w:pPr>
            <w:r>
              <w:rPr>
                <w:spacing w:val="-2"/>
                <w:sz w:val="18"/>
              </w:rPr>
              <w:t>0.061914</w:t>
            </w:r>
          </w:p>
        </w:tc>
        <w:tc>
          <w:tcPr>
            <w:tcW w:w="2229" w:type="dxa"/>
            <w:tcBorders>
              <w:bottom w:val="single" w:sz="4" w:space="0" w:color="000000"/>
            </w:tcBorders>
          </w:tcPr>
          <w:p w:rsidR="004D6A92" w:rsidRDefault="004D6A92" w:rsidP="004E53D0">
            <w:pPr>
              <w:pStyle w:val="TableParagraph"/>
              <w:ind w:left="111"/>
              <w:rPr>
                <w:sz w:val="18"/>
              </w:rPr>
            </w:pPr>
            <w:r>
              <w:rPr>
                <w:sz w:val="18"/>
              </w:rPr>
              <w:t>Prob.</w:t>
            </w:r>
            <w:r>
              <w:rPr>
                <w:spacing w:val="-12"/>
                <w:sz w:val="18"/>
              </w:rPr>
              <w:t xml:space="preserve"> </w:t>
            </w:r>
            <w:r>
              <w:rPr>
                <w:sz w:val="18"/>
              </w:rPr>
              <w:t>Chi-</w:t>
            </w:r>
            <w:r>
              <w:rPr>
                <w:spacing w:val="-2"/>
                <w:sz w:val="18"/>
              </w:rPr>
              <w:t>Square(1)</w:t>
            </w:r>
          </w:p>
        </w:tc>
        <w:tc>
          <w:tcPr>
            <w:tcW w:w="1079" w:type="dxa"/>
            <w:tcBorders>
              <w:bottom w:val="single" w:sz="4" w:space="0" w:color="000000"/>
              <w:right w:val="single" w:sz="4" w:space="0" w:color="000000"/>
            </w:tcBorders>
          </w:tcPr>
          <w:p w:rsidR="004D6A92" w:rsidRDefault="004D6A92" w:rsidP="004E53D0">
            <w:pPr>
              <w:pStyle w:val="TableParagraph"/>
              <w:ind w:right="-15"/>
              <w:jc w:val="right"/>
              <w:rPr>
                <w:sz w:val="18"/>
              </w:rPr>
            </w:pPr>
            <w:r>
              <w:rPr>
                <w:spacing w:val="-2"/>
                <w:sz w:val="18"/>
              </w:rPr>
              <w:t>0.8035</w:t>
            </w:r>
          </w:p>
        </w:tc>
      </w:tr>
    </w:tbl>
    <w:p w:rsidR="004D6A92" w:rsidRDefault="004D6A92" w:rsidP="004D6A92">
      <w:pPr>
        <w:pStyle w:val="BodyText"/>
        <w:spacing w:line="276" w:lineRule="auto"/>
        <w:ind w:right="113"/>
        <w:rPr>
          <w:b/>
        </w:rPr>
      </w:pPr>
    </w:p>
    <w:p w:rsidR="004D6A92" w:rsidRDefault="004D6A92" w:rsidP="00AA5341">
      <w:pPr>
        <w:pStyle w:val="BodyText"/>
        <w:spacing w:line="276" w:lineRule="auto"/>
        <w:ind w:right="113" w:firstLine="851"/>
        <w:jc w:val="both"/>
      </w:pPr>
      <w:r>
        <w:t>Berdasarkan tabel pengujian diatas menunjukan bahwa uji autokorelasi menggunkan uji LM test dengan probabiliti chi-square sebesar 0.8035 lebih besar dari 0.05 sehingga dapat disimpulkan tidak terjadi masalah autokorelasi.</w:t>
      </w:r>
    </w:p>
    <w:p w:rsidR="004D6A92" w:rsidRDefault="004D6A92" w:rsidP="004D6A92">
      <w:pPr>
        <w:pStyle w:val="BodyText"/>
        <w:spacing w:line="276" w:lineRule="auto"/>
        <w:ind w:right="113"/>
      </w:pPr>
    </w:p>
    <w:p w:rsidR="00AA5341" w:rsidRDefault="00AA5341" w:rsidP="004D6A92">
      <w:pPr>
        <w:pStyle w:val="BodyText"/>
        <w:spacing w:line="276" w:lineRule="auto"/>
        <w:ind w:right="113"/>
        <w:rPr>
          <w:b/>
        </w:rPr>
      </w:pPr>
      <w:r>
        <w:rPr>
          <w:b/>
        </w:rPr>
        <w:t>Uji Koefisien Determinasi (</w:t>
      </w:r>
      <m:oMath>
        <m:sSup>
          <m:sSupPr>
            <m:ctrlPr>
              <w:rPr>
                <w:rFonts w:ascii="Cambria Math" w:hAnsi="Cambria Math"/>
                <w:b/>
                <w:i/>
              </w:rPr>
            </m:ctrlPr>
          </m:sSupPr>
          <m:e>
            <m:r>
              <m:rPr>
                <m:sty m:val="bi"/>
              </m:rPr>
              <w:rPr>
                <w:rFonts w:ascii="Cambria Math" w:hAnsi="Cambria Math"/>
              </w:rPr>
              <m:t>R</m:t>
            </m:r>
          </m:e>
          <m:sup>
            <m:r>
              <m:rPr>
                <m:sty m:val="bi"/>
              </m:rPr>
              <w:rPr>
                <w:rFonts w:ascii="Cambria Math" w:hAnsi="Cambria Math"/>
              </w:rPr>
              <m:t>2</m:t>
            </m:r>
          </m:sup>
        </m:sSup>
        <m:r>
          <m:rPr>
            <m:sty m:val="bi"/>
          </m:rPr>
          <w:rPr>
            <w:rFonts w:ascii="Cambria Math" w:hAnsi="Cambria Math"/>
          </w:rPr>
          <m:t>)</m:t>
        </m:r>
      </m:oMath>
    </w:p>
    <w:p w:rsidR="00087282" w:rsidRPr="00AA5341" w:rsidRDefault="00087282" w:rsidP="00087282">
      <w:pPr>
        <w:pStyle w:val="BodyText"/>
        <w:spacing w:line="276" w:lineRule="auto"/>
        <w:ind w:right="113"/>
        <w:jc w:val="center"/>
        <w:rPr>
          <w:b/>
        </w:rPr>
      </w:pPr>
      <w:r>
        <w:rPr>
          <w:b/>
        </w:rPr>
        <w:t>Hasil Uji Koefisien Determinasi (</w:t>
      </w:r>
      <m:oMath>
        <m:sSup>
          <m:sSupPr>
            <m:ctrlPr>
              <w:rPr>
                <w:rFonts w:ascii="Cambria Math" w:hAnsi="Cambria Math"/>
                <w:b/>
                <w:i/>
              </w:rPr>
            </m:ctrlPr>
          </m:sSupPr>
          <m:e>
            <m:r>
              <m:rPr>
                <m:sty m:val="bi"/>
              </m:rPr>
              <w:rPr>
                <w:rFonts w:ascii="Cambria Math" w:hAnsi="Cambria Math"/>
              </w:rPr>
              <m:t>R</m:t>
            </m:r>
          </m:e>
          <m:sup>
            <m:r>
              <m:rPr>
                <m:sty m:val="bi"/>
              </m:rPr>
              <w:rPr>
                <w:rFonts w:ascii="Cambria Math" w:hAnsi="Cambria Math"/>
              </w:rPr>
              <m:t>2</m:t>
            </m:r>
          </m:sup>
        </m:sSup>
      </m:oMath>
      <w:r>
        <w:rPr>
          <w:b/>
        </w:rPr>
        <w:t>)</w:t>
      </w:r>
    </w:p>
    <w:tbl>
      <w:tblPr>
        <w:tblW w:w="0" w:type="auto"/>
        <w:jc w:val="center"/>
        <w:tblLayout w:type="fixed"/>
        <w:tblCellMar>
          <w:left w:w="0" w:type="dxa"/>
          <w:right w:w="0" w:type="dxa"/>
        </w:tblCellMar>
        <w:tblLook w:val="01E0" w:firstRow="1" w:lastRow="1" w:firstColumn="1" w:lastColumn="1" w:noHBand="0" w:noVBand="0"/>
      </w:tblPr>
      <w:tblGrid>
        <w:gridCol w:w="1984"/>
        <w:gridCol w:w="1243"/>
        <w:gridCol w:w="2120"/>
        <w:gridCol w:w="1189"/>
      </w:tblGrid>
      <w:tr w:rsidR="00087282" w:rsidTr="004E53D0">
        <w:trPr>
          <w:trHeight w:val="231"/>
          <w:jc w:val="center"/>
        </w:trPr>
        <w:tc>
          <w:tcPr>
            <w:tcW w:w="1984" w:type="dxa"/>
            <w:tcBorders>
              <w:top w:val="single" w:sz="4" w:space="0" w:color="000000"/>
              <w:left w:val="single" w:sz="4" w:space="0" w:color="000000"/>
            </w:tcBorders>
          </w:tcPr>
          <w:p w:rsidR="00087282" w:rsidRDefault="00087282" w:rsidP="004E53D0">
            <w:pPr>
              <w:pStyle w:val="TableParagraph"/>
              <w:spacing w:before="13" w:line="198" w:lineRule="exact"/>
              <w:ind w:left="9"/>
              <w:rPr>
                <w:sz w:val="18"/>
              </w:rPr>
            </w:pPr>
            <w:r>
              <w:rPr>
                <w:sz w:val="18"/>
              </w:rPr>
              <w:t>Root</w:t>
            </w:r>
            <w:r>
              <w:rPr>
                <w:spacing w:val="2"/>
                <w:sz w:val="18"/>
              </w:rPr>
              <w:t xml:space="preserve"> </w:t>
            </w:r>
            <w:r>
              <w:rPr>
                <w:spacing w:val="-5"/>
                <w:sz w:val="18"/>
              </w:rPr>
              <w:t>MSE</w:t>
            </w:r>
          </w:p>
        </w:tc>
        <w:tc>
          <w:tcPr>
            <w:tcW w:w="1243" w:type="dxa"/>
            <w:tcBorders>
              <w:top w:val="single" w:sz="4" w:space="0" w:color="000000"/>
            </w:tcBorders>
          </w:tcPr>
          <w:p w:rsidR="00087282" w:rsidRDefault="00087282" w:rsidP="004E53D0">
            <w:pPr>
              <w:pStyle w:val="TableParagraph"/>
              <w:spacing w:before="13" w:line="198" w:lineRule="exact"/>
              <w:ind w:right="98"/>
              <w:jc w:val="right"/>
              <w:rPr>
                <w:sz w:val="18"/>
              </w:rPr>
            </w:pPr>
            <w:r>
              <w:rPr>
                <w:spacing w:val="-2"/>
                <w:sz w:val="18"/>
              </w:rPr>
              <w:t>0.319768</w:t>
            </w:r>
          </w:p>
        </w:tc>
        <w:tc>
          <w:tcPr>
            <w:tcW w:w="2120" w:type="dxa"/>
            <w:tcBorders>
              <w:top w:val="single" w:sz="4" w:space="0" w:color="000000"/>
            </w:tcBorders>
          </w:tcPr>
          <w:p w:rsidR="00087282" w:rsidRDefault="00087282" w:rsidP="004E53D0">
            <w:pPr>
              <w:pStyle w:val="TableParagraph"/>
              <w:spacing w:before="13" w:line="198" w:lineRule="exact"/>
              <w:ind w:left="110"/>
              <w:rPr>
                <w:sz w:val="18"/>
              </w:rPr>
            </w:pPr>
            <w:r>
              <w:rPr>
                <w:spacing w:val="-4"/>
                <w:sz w:val="18"/>
              </w:rPr>
              <w:t>R-</w:t>
            </w:r>
            <w:r>
              <w:rPr>
                <w:spacing w:val="-2"/>
                <w:sz w:val="18"/>
              </w:rPr>
              <w:t>squared</w:t>
            </w:r>
          </w:p>
        </w:tc>
        <w:tc>
          <w:tcPr>
            <w:tcW w:w="1189" w:type="dxa"/>
            <w:tcBorders>
              <w:top w:val="single" w:sz="4" w:space="0" w:color="000000"/>
              <w:right w:val="single" w:sz="4" w:space="0" w:color="000000"/>
            </w:tcBorders>
          </w:tcPr>
          <w:p w:rsidR="00087282" w:rsidRDefault="00087282" w:rsidP="004E53D0">
            <w:pPr>
              <w:pStyle w:val="TableParagraph"/>
              <w:spacing w:before="13" w:line="198" w:lineRule="exact"/>
              <w:ind w:right="-15"/>
              <w:jc w:val="right"/>
              <w:rPr>
                <w:sz w:val="18"/>
              </w:rPr>
            </w:pPr>
            <w:r>
              <w:rPr>
                <w:spacing w:val="-2"/>
                <w:sz w:val="18"/>
              </w:rPr>
              <w:t>0.437919</w:t>
            </w:r>
          </w:p>
        </w:tc>
      </w:tr>
      <w:tr w:rsidR="00087282" w:rsidTr="004E53D0">
        <w:trPr>
          <w:trHeight w:val="223"/>
          <w:jc w:val="center"/>
        </w:trPr>
        <w:tc>
          <w:tcPr>
            <w:tcW w:w="1984" w:type="dxa"/>
            <w:tcBorders>
              <w:left w:val="single" w:sz="4" w:space="0" w:color="000000"/>
            </w:tcBorders>
          </w:tcPr>
          <w:p w:rsidR="00087282" w:rsidRDefault="00087282" w:rsidP="004E53D0">
            <w:pPr>
              <w:pStyle w:val="TableParagraph"/>
              <w:spacing w:line="196" w:lineRule="exact"/>
              <w:ind w:left="9"/>
              <w:rPr>
                <w:sz w:val="18"/>
              </w:rPr>
            </w:pPr>
            <w:r>
              <w:rPr>
                <w:sz w:val="18"/>
              </w:rPr>
              <w:t>Mean</w:t>
            </w:r>
            <w:r>
              <w:rPr>
                <w:spacing w:val="-8"/>
                <w:sz w:val="18"/>
              </w:rPr>
              <w:t xml:space="preserve"> </w:t>
            </w:r>
            <w:r>
              <w:rPr>
                <w:sz w:val="18"/>
              </w:rPr>
              <w:t>dependent</w:t>
            </w:r>
            <w:r>
              <w:rPr>
                <w:spacing w:val="-4"/>
                <w:sz w:val="18"/>
              </w:rPr>
              <w:t xml:space="preserve"> </w:t>
            </w:r>
            <w:r>
              <w:rPr>
                <w:spacing w:val="-5"/>
                <w:sz w:val="18"/>
              </w:rPr>
              <w:t>var</w:t>
            </w:r>
          </w:p>
        </w:tc>
        <w:tc>
          <w:tcPr>
            <w:tcW w:w="1243" w:type="dxa"/>
          </w:tcPr>
          <w:p w:rsidR="00087282" w:rsidRDefault="00087282" w:rsidP="004E53D0">
            <w:pPr>
              <w:pStyle w:val="TableParagraph"/>
              <w:spacing w:line="196" w:lineRule="exact"/>
              <w:ind w:right="98"/>
              <w:jc w:val="right"/>
              <w:rPr>
                <w:sz w:val="18"/>
              </w:rPr>
            </w:pPr>
            <w:r>
              <w:rPr>
                <w:sz w:val="18"/>
              </w:rPr>
              <w:t>-</w:t>
            </w:r>
            <w:r>
              <w:rPr>
                <w:spacing w:val="-2"/>
                <w:sz w:val="18"/>
              </w:rPr>
              <w:t>3.701763</w:t>
            </w:r>
          </w:p>
        </w:tc>
        <w:tc>
          <w:tcPr>
            <w:tcW w:w="2120" w:type="dxa"/>
          </w:tcPr>
          <w:p w:rsidR="00087282" w:rsidRDefault="00087282" w:rsidP="004E53D0">
            <w:pPr>
              <w:pStyle w:val="TableParagraph"/>
              <w:spacing w:line="196" w:lineRule="exact"/>
              <w:ind w:left="110"/>
              <w:rPr>
                <w:sz w:val="18"/>
              </w:rPr>
            </w:pPr>
            <w:r>
              <w:rPr>
                <w:sz w:val="18"/>
              </w:rPr>
              <w:t>Adjusted</w:t>
            </w:r>
            <w:r>
              <w:rPr>
                <w:spacing w:val="-13"/>
                <w:sz w:val="18"/>
              </w:rPr>
              <w:t xml:space="preserve"> </w:t>
            </w:r>
            <w:r>
              <w:rPr>
                <w:sz w:val="18"/>
              </w:rPr>
              <w:t>R-</w:t>
            </w:r>
            <w:r>
              <w:rPr>
                <w:spacing w:val="-2"/>
                <w:sz w:val="18"/>
              </w:rPr>
              <w:t>squared</w:t>
            </w:r>
          </w:p>
        </w:tc>
        <w:tc>
          <w:tcPr>
            <w:tcW w:w="1189" w:type="dxa"/>
            <w:tcBorders>
              <w:right w:val="single" w:sz="4" w:space="0" w:color="000000"/>
            </w:tcBorders>
          </w:tcPr>
          <w:p w:rsidR="00087282" w:rsidRDefault="00087282" w:rsidP="004E53D0">
            <w:pPr>
              <w:pStyle w:val="TableParagraph"/>
              <w:spacing w:line="196" w:lineRule="exact"/>
              <w:ind w:right="-15"/>
              <w:jc w:val="right"/>
              <w:rPr>
                <w:sz w:val="18"/>
              </w:rPr>
            </w:pPr>
            <w:r>
              <w:rPr>
                <w:spacing w:val="-2"/>
                <w:sz w:val="18"/>
              </w:rPr>
              <w:t>0.383524</w:t>
            </w:r>
          </w:p>
        </w:tc>
      </w:tr>
      <w:tr w:rsidR="00087282" w:rsidTr="004E53D0">
        <w:trPr>
          <w:trHeight w:val="223"/>
          <w:jc w:val="center"/>
        </w:trPr>
        <w:tc>
          <w:tcPr>
            <w:tcW w:w="1984" w:type="dxa"/>
            <w:tcBorders>
              <w:left w:val="single" w:sz="4" w:space="0" w:color="000000"/>
            </w:tcBorders>
          </w:tcPr>
          <w:p w:rsidR="00087282" w:rsidRDefault="00087282" w:rsidP="004E53D0">
            <w:pPr>
              <w:pStyle w:val="TableParagraph"/>
              <w:spacing w:before="4" w:line="198" w:lineRule="exact"/>
              <w:ind w:left="9"/>
              <w:rPr>
                <w:sz w:val="18"/>
              </w:rPr>
            </w:pPr>
            <w:r>
              <w:rPr>
                <w:sz w:val="18"/>
              </w:rPr>
              <w:t>S.D.</w:t>
            </w:r>
            <w:r>
              <w:rPr>
                <w:spacing w:val="-9"/>
                <w:sz w:val="18"/>
              </w:rPr>
              <w:t xml:space="preserve"> </w:t>
            </w:r>
            <w:r>
              <w:rPr>
                <w:sz w:val="18"/>
              </w:rPr>
              <w:t>dependent</w:t>
            </w:r>
            <w:r>
              <w:rPr>
                <w:spacing w:val="-3"/>
                <w:sz w:val="18"/>
              </w:rPr>
              <w:t xml:space="preserve"> </w:t>
            </w:r>
            <w:r>
              <w:rPr>
                <w:spacing w:val="-5"/>
                <w:sz w:val="18"/>
              </w:rPr>
              <w:t>var</w:t>
            </w:r>
          </w:p>
        </w:tc>
        <w:tc>
          <w:tcPr>
            <w:tcW w:w="1243" w:type="dxa"/>
          </w:tcPr>
          <w:p w:rsidR="00087282" w:rsidRDefault="00087282" w:rsidP="004E53D0">
            <w:pPr>
              <w:pStyle w:val="TableParagraph"/>
              <w:spacing w:before="4" w:line="198" w:lineRule="exact"/>
              <w:ind w:right="98"/>
              <w:jc w:val="right"/>
              <w:rPr>
                <w:sz w:val="18"/>
              </w:rPr>
            </w:pPr>
            <w:r>
              <w:rPr>
                <w:spacing w:val="-2"/>
                <w:sz w:val="18"/>
              </w:rPr>
              <w:t>2.250850</w:t>
            </w:r>
          </w:p>
        </w:tc>
        <w:tc>
          <w:tcPr>
            <w:tcW w:w="2120" w:type="dxa"/>
          </w:tcPr>
          <w:p w:rsidR="00087282" w:rsidRDefault="00087282" w:rsidP="004E53D0">
            <w:pPr>
              <w:pStyle w:val="TableParagraph"/>
              <w:spacing w:before="4" w:line="198" w:lineRule="exact"/>
              <w:ind w:left="110"/>
              <w:rPr>
                <w:sz w:val="18"/>
              </w:rPr>
            </w:pPr>
            <w:r>
              <w:rPr>
                <w:sz w:val="18"/>
              </w:rPr>
              <w:t>S.E.</w:t>
            </w:r>
            <w:r>
              <w:rPr>
                <w:spacing w:val="-6"/>
                <w:sz w:val="18"/>
              </w:rPr>
              <w:t xml:space="preserve"> </w:t>
            </w:r>
            <w:r>
              <w:rPr>
                <w:sz w:val="18"/>
              </w:rPr>
              <w:t>of</w:t>
            </w:r>
            <w:r>
              <w:rPr>
                <w:spacing w:val="-6"/>
                <w:sz w:val="18"/>
              </w:rPr>
              <w:t xml:space="preserve"> </w:t>
            </w:r>
            <w:r>
              <w:rPr>
                <w:spacing w:val="-2"/>
                <w:sz w:val="18"/>
              </w:rPr>
              <w:t>regression</w:t>
            </w:r>
          </w:p>
        </w:tc>
        <w:tc>
          <w:tcPr>
            <w:tcW w:w="1189" w:type="dxa"/>
            <w:tcBorders>
              <w:right w:val="single" w:sz="4" w:space="0" w:color="000000"/>
            </w:tcBorders>
          </w:tcPr>
          <w:p w:rsidR="00087282" w:rsidRDefault="00087282" w:rsidP="004E53D0">
            <w:pPr>
              <w:pStyle w:val="TableParagraph"/>
              <w:spacing w:before="4" w:line="198" w:lineRule="exact"/>
              <w:ind w:right="-15"/>
              <w:jc w:val="right"/>
              <w:rPr>
                <w:sz w:val="18"/>
              </w:rPr>
            </w:pPr>
            <w:r>
              <w:rPr>
                <w:spacing w:val="-2"/>
                <w:sz w:val="18"/>
              </w:rPr>
              <w:t>0.339773</w:t>
            </w:r>
          </w:p>
        </w:tc>
      </w:tr>
      <w:tr w:rsidR="00087282" w:rsidTr="004E53D0">
        <w:trPr>
          <w:trHeight w:val="225"/>
          <w:jc w:val="center"/>
        </w:trPr>
        <w:tc>
          <w:tcPr>
            <w:tcW w:w="1984" w:type="dxa"/>
            <w:tcBorders>
              <w:left w:val="single" w:sz="4" w:space="0" w:color="000000"/>
            </w:tcBorders>
          </w:tcPr>
          <w:p w:rsidR="00087282" w:rsidRDefault="00087282" w:rsidP="004E53D0">
            <w:pPr>
              <w:pStyle w:val="TableParagraph"/>
              <w:spacing w:line="198" w:lineRule="exact"/>
              <w:ind w:left="9"/>
              <w:rPr>
                <w:sz w:val="18"/>
              </w:rPr>
            </w:pPr>
            <w:r>
              <w:rPr>
                <w:sz w:val="18"/>
              </w:rPr>
              <w:t>Sum</w:t>
            </w:r>
            <w:r>
              <w:rPr>
                <w:spacing w:val="-3"/>
                <w:sz w:val="18"/>
              </w:rPr>
              <w:t xml:space="preserve"> </w:t>
            </w:r>
            <w:r>
              <w:rPr>
                <w:sz w:val="18"/>
              </w:rPr>
              <w:t>squared</w:t>
            </w:r>
            <w:r>
              <w:rPr>
                <w:spacing w:val="-4"/>
                <w:sz w:val="18"/>
              </w:rPr>
              <w:t xml:space="preserve"> resid</w:t>
            </w:r>
          </w:p>
        </w:tc>
        <w:tc>
          <w:tcPr>
            <w:tcW w:w="1243" w:type="dxa"/>
          </w:tcPr>
          <w:p w:rsidR="00087282" w:rsidRDefault="00087282" w:rsidP="004E53D0">
            <w:pPr>
              <w:pStyle w:val="TableParagraph"/>
              <w:spacing w:line="198" w:lineRule="exact"/>
              <w:ind w:right="98"/>
              <w:jc w:val="right"/>
              <w:rPr>
                <w:sz w:val="18"/>
              </w:rPr>
            </w:pPr>
            <w:r>
              <w:rPr>
                <w:spacing w:val="-2"/>
                <w:sz w:val="18"/>
              </w:rPr>
              <w:t>3.578809</w:t>
            </w:r>
          </w:p>
        </w:tc>
        <w:tc>
          <w:tcPr>
            <w:tcW w:w="2120" w:type="dxa"/>
          </w:tcPr>
          <w:p w:rsidR="00087282" w:rsidRDefault="00087282" w:rsidP="004E53D0">
            <w:pPr>
              <w:pStyle w:val="TableParagraph"/>
              <w:spacing w:line="198" w:lineRule="exact"/>
              <w:ind w:left="110"/>
              <w:rPr>
                <w:sz w:val="18"/>
              </w:rPr>
            </w:pPr>
            <w:r>
              <w:rPr>
                <w:spacing w:val="-2"/>
                <w:sz w:val="18"/>
              </w:rPr>
              <w:t>F-statistic</w:t>
            </w:r>
          </w:p>
        </w:tc>
        <w:tc>
          <w:tcPr>
            <w:tcW w:w="1189" w:type="dxa"/>
            <w:tcBorders>
              <w:right w:val="single" w:sz="4" w:space="0" w:color="000000"/>
            </w:tcBorders>
          </w:tcPr>
          <w:p w:rsidR="00087282" w:rsidRDefault="00087282" w:rsidP="004E53D0">
            <w:pPr>
              <w:pStyle w:val="TableParagraph"/>
              <w:spacing w:line="198" w:lineRule="exact"/>
              <w:ind w:right="-15"/>
              <w:jc w:val="right"/>
              <w:rPr>
                <w:sz w:val="18"/>
              </w:rPr>
            </w:pPr>
            <w:r>
              <w:rPr>
                <w:spacing w:val="-2"/>
                <w:sz w:val="18"/>
              </w:rPr>
              <w:t>8.050719</w:t>
            </w:r>
          </w:p>
        </w:tc>
      </w:tr>
      <w:tr w:rsidR="00087282" w:rsidTr="004E53D0">
        <w:trPr>
          <w:trHeight w:val="219"/>
          <w:jc w:val="center"/>
        </w:trPr>
        <w:tc>
          <w:tcPr>
            <w:tcW w:w="1984" w:type="dxa"/>
            <w:tcBorders>
              <w:left w:val="single" w:sz="4" w:space="0" w:color="000000"/>
              <w:bottom w:val="single" w:sz="4" w:space="0" w:color="000000"/>
            </w:tcBorders>
          </w:tcPr>
          <w:p w:rsidR="00087282" w:rsidRDefault="00087282" w:rsidP="004E53D0">
            <w:pPr>
              <w:pStyle w:val="TableParagraph"/>
              <w:spacing w:line="192" w:lineRule="exact"/>
              <w:ind w:left="9"/>
              <w:rPr>
                <w:sz w:val="18"/>
              </w:rPr>
            </w:pPr>
            <w:r>
              <w:rPr>
                <w:spacing w:val="-2"/>
                <w:sz w:val="18"/>
              </w:rPr>
              <w:t>Durbin-Watson</w:t>
            </w:r>
            <w:r>
              <w:rPr>
                <w:spacing w:val="12"/>
                <w:sz w:val="18"/>
              </w:rPr>
              <w:t xml:space="preserve"> </w:t>
            </w:r>
            <w:r>
              <w:rPr>
                <w:spacing w:val="-4"/>
                <w:sz w:val="18"/>
              </w:rPr>
              <w:t>stat</w:t>
            </w:r>
          </w:p>
        </w:tc>
        <w:tc>
          <w:tcPr>
            <w:tcW w:w="1243" w:type="dxa"/>
            <w:tcBorders>
              <w:bottom w:val="single" w:sz="4" w:space="0" w:color="000000"/>
            </w:tcBorders>
          </w:tcPr>
          <w:p w:rsidR="00087282" w:rsidRDefault="00087282" w:rsidP="004E53D0">
            <w:pPr>
              <w:pStyle w:val="TableParagraph"/>
              <w:spacing w:line="192" w:lineRule="exact"/>
              <w:ind w:right="98"/>
              <w:jc w:val="right"/>
              <w:rPr>
                <w:sz w:val="18"/>
              </w:rPr>
            </w:pPr>
            <w:r>
              <w:rPr>
                <w:spacing w:val="-2"/>
                <w:sz w:val="18"/>
              </w:rPr>
              <w:t>2.057868</w:t>
            </w:r>
          </w:p>
        </w:tc>
        <w:tc>
          <w:tcPr>
            <w:tcW w:w="2120" w:type="dxa"/>
            <w:tcBorders>
              <w:bottom w:val="single" w:sz="4" w:space="0" w:color="000000"/>
            </w:tcBorders>
          </w:tcPr>
          <w:p w:rsidR="00087282" w:rsidRDefault="00087282" w:rsidP="004E53D0">
            <w:pPr>
              <w:pStyle w:val="TableParagraph"/>
              <w:spacing w:line="192" w:lineRule="exact"/>
              <w:ind w:left="110"/>
              <w:rPr>
                <w:sz w:val="18"/>
              </w:rPr>
            </w:pPr>
            <w:r>
              <w:rPr>
                <w:spacing w:val="-2"/>
                <w:sz w:val="18"/>
              </w:rPr>
              <w:t>Prob(F-statistic)</w:t>
            </w:r>
          </w:p>
        </w:tc>
        <w:tc>
          <w:tcPr>
            <w:tcW w:w="1189" w:type="dxa"/>
            <w:tcBorders>
              <w:bottom w:val="single" w:sz="4" w:space="0" w:color="000000"/>
              <w:right w:val="single" w:sz="4" w:space="0" w:color="000000"/>
            </w:tcBorders>
          </w:tcPr>
          <w:p w:rsidR="00087282" w:rsidRDefault="00087282" w:rsidP="004E53D0">
            <w:pPr>
              <w:pStyle w:val="TableParagraph"/>
              <w:spacing w:line="192" w:lineRule="exact"/>
              <w:ind w:right="-15"/>
              <w:jc w:val="right"/>
              <w:rPr>
                <w:sz w:val="18"/>
              </w:rPr>
            </w:pPr>
            <w:r>
              <w:rPr>
                <w:spacing w:val="-2"/>
                <w:sz w:val="18"/>
              </w:rPr>
              <w:t>0.000414</w:t>
            </w:r>
          </w:p>
        </w:tc>
      </w:tr>
    </w:tbl>
    <w:p w:rsidR="00A6771A" w:rsidRDefault="00A6771A" w:rsidP="004D6A92">
      <w:pPr>
        <w:pStyle w:val="BodyText"/>
        <w:spacing w:line="276" w:lineRule="auto"/>
        <w:ind w:left="99" w:right="114"/>
        <w:jc w:val="center"/>
        <w:rPr>
          <w:b/>
        </w:rPr>
      </w:pPr>
    </w:p>
    <w:p w:rsidR="00A6771A" w:rsidRPr="00087282" w:rsidRDefault="00087282" w:rsidP="00087282">
      <w:pPr>
        <w:pStyle w:val="BodyText"/>
        <w:spacing w:line="276" w:lineRule="auto"/>
        <w:ind w:left="102" w:right="113" w:firstLine="851"/>
        <w:jc w:val="both"/>
      </w:pPr>
      <w:r>
        <w:t xml:space="preserve">Berdasarkan tabel diatas, hasil uji determinasi dengan nilai Adjust R-squared sebesar 0.383524 atau 38,35%. Hasil ini menujukan bahwa </w:t>
      </w:r>
      <w:r>
        <w:rPr>
          <w:i/>
        </w:rPr>
        <w:t xml:space="preserve">tax avoidance </w:t>
      </w:r>
      <w:r>
        <w:t xml:space="preserve">dapat dijelaskan oleh variabel independent sebesar 38,35% sedangkan sisahnya sebesar 61,65% dijelaskan oleh variabel lain yang tidak diteliti dalam penelitian ini. </w:t>
      </w:r>
    </w:p>
    <w:p w:rsidR="00A6771A" w:rsidRPr="00A6771A" w:rsidRDefault="00A6771A" w:rsidP="00A6771A">
      <w:pPr>
        <w:pStyle w:val="BodyText"/>
        <w:ind w:left="100" w:right="114"/>
        <w:jc w:val="center"/>
        <w:rPr>
          <w:b/>
        </w:rPr>
      </w:pPr>
    </w:p>
    <w:p w:rsidR="00186A17" w:rsidRDefault="00087282">
      <w:pPr>
        <w:pStyle w:val="BodyText"/>
        <w:rPr>
          <w:b/>
        </w:rPr>
      </w:pPr>
      <w:r>
        <w:rPr>
          <w:b/>
        </w:rPr>
        <w:lastRenderedPageBreak/>
        <w:t>Uji Simultan (Uji F)</w:t>
      </w:r>
    </w:p>
    <w:p w:rsidR="00087282" w:rsidRDefault="00087282" w:rsidP="00087282">
      <w:pPr>
        <w:pStyle w:val="BodyText"/>
        <w:jc w:val="center"/>
        <w:rPr>
          <w:b/>
        </w:rPr>
      </w:pPr>
      <w:r>
        <w:rPr>
          <w:b/>
        </w:rPr>
        <w:t xml:space="preserve">Hasil Uji F </w:t>
      </w:r>
    </w:p>
    <w:tbl>
      <w:tblPr>
        <w:tblW w:w="0" w:type="auto"/>
        <w:jc w:val="center"/>
        <w:tblLayout w:type="fixed"/>
        <w:tblCellMar>
          <w:left w:w="0" w:type="dxa"/>
          <w:right w:w="0" w:type="dxa"/>
        </w:tblCellMar>
        <w:tblLook w:val="01E0" w:firstRow="1" w:lastRow="1" w:firstColumn="1" w:lastColumn="1" w:noHBand="0" w:noVBand="0"/>
      </w:tblPr>
      <w:tblGrid>
        <w:gridCol w:w="1984"/>
        <w:gridCol w:w="1243"/>
        <w:gridCol w:w="2120"/>
        <w:gridCol w:w="1189"/>
      </w:tblGrid>
      <w:tr w:rsidR="00087282" w:rsidTr="004E53D0">
        <w:trPr>
          <w:trHeight w:val="231"/>
          <w:jc w:val="center"/>
        </w:trPr>
        <w:tc>
          <w:tcPr>
            <w:tcW w:w="1984" w:type="dxa"/>
            <w:tcBorders>
              <w:top w:val="single" w:sz="4" w:space="0" w:color="000000"/>
              <w:left w:val="single" w:sz="4" w:space="0" w:color="000000"/>
            </w:tcBorders>
          </w:tcPr>
          <w:p w:rsidR="00087282" w:rsidRDefault="00087282" w:rsidP="004E53D0">
            <w:pPr>
              <w:pStyle w:val="TableParagraph"/>
              <w:spacing w:before="13"/>
              <w:ind w:left="9"/>
              <w:rPr>
                <w:sz w:val="18"/>
              </w:rPr>
            </w:pPr>
            <w:r>
              <w:rPr>
                <w:sz w:val="18"/>
              </w:rPr>
              <w:t>Root</w:t>
            </w:r>
            <w:r>
              <w:rPr>
                <w:spacing w:val="2"/>
                <w:sz w:val="18"/>
              </w:rPr>
              <w:t xml:space="preserve"> </w:t>
            </w:r>
            <w:r>
              <w:rPr>
                <w:spacing w:val="-5"/>
                <w:sz w:val="18"/>
              </w:rPr>
              <w:t>MSE</w:t>
            </w:r>
          </w:p>
        </w:tc>
        <w:tc>
          <w:tcPr>
            <w:tcW w:w="1243" w:type="dxa"/>
            <w:tcBorders>
              <w:top w:val="single" w:sz="4" w:space="0" w:color="000000"/>
            </w:tcBorders>
          </w:tcPr>
          <w:p w:rsidR="00087282" w:rsidRDefault="00087282" w:rsidP="004E53D0">
            <w:pPr>
              <w:pStyle w:val="TableParagraph"/>
              <w:spacing w:before="13"/>
              <w:ind w:right="98"/>
              <w:jc w:val="right"/>
              <w:rPr>
                <w:sz w:val="18"/>
              </w:rPr>
            </w:pPr>
            <w:r>
              <w:rPr>
                <w:spacing w:val="-2"/>
                <w:sz w:val="18"/>
              </w:rPr>
              <w:t>0.319768</w:t>
            </w:r>
          </w:p>
        </w:tc>
        <w:tc>
          <w:tcPr>
            <w:tcW w:w="2120" w:type="dxa"/>
            <w:tcBorders>
              <w:top w:val="single" w:sz="4" w:space="0" w:color="000000"/>
            </w:tcBorders>
          </w:tcPr>
          <w:p w:rsidR="00087282" w:rsidRDefault="00087282" w:rsidP="004E53D0">
            <w:pPr>
              <w:pStyle w:val="TableParagraph"/>
              <w:spacing w:before="13"/>
              <w:ind w:left="110"/>
              <w:rPr>
                <w:sz w:val="18"/>
              </w:rPr>
            </w:pPr>
            <w:r>
              <w:rPr>
                <w:spacing w:val="-4"/>
                <w:sz w:val="18"/>
              </w:rPr>
              <w:t>R-</w:t>
            </w:r>
            <w:r>
              <w:rPr>
                <w:spacing w:val="-2"/>
                <w:sz w:val="18"/>
              </w:rPr>
              <w:t>squared</w:t>
            </w:r>
          </w:p>
        </w:tc>
        <w:tc>
          <w:tcPr>
            <w:tcW w:w="1189" w:type="dxa"/>
            <w:tcBorders>
              <w:top w:val="single" w:sz="4" w:space="0" w:color="000000"/>
              <w:right w:val="single" w:sz="4" w:space="0" w:color="000000"/>
            </w:tcBorders>
          </w:tcPr>
          <w:p w:rsidR="00087282" w:rsidRDefault="00087282" w:rsidP="004E53D0">
            <w:pPr>
              <w:pStyle w:val="TableParagraph"/>
              <w:spacing w:before="13"/>
              <w:ind w:right="-15"/>
              <w:jc w:val="right"/>
              <w:rPr>
                <w:sz w:val="18"/>
              </w:rPr>
            </w:pPr>
            <w:r>
              <w:rPr>
                <w:spacing w:val="-2"/>
                <w:sz w:val="18"/>
              </w:rPr>
              <w:t>0.437919</w:t>
            </w:r>
          </w:p>
        </w:tc>
      </w:tr>
      <w:tr w:rsidR="00087282" w:rsidTr="004E53D0">
        <w:trPr>
          <w:trHeight w:val="225"/>
          <w:jc w:val="center"/>
        </w:trPr>
        <w:tc>
          <w:tcPr>
            <w:tcW w:w="1984" w:type="dxa"/>
            <w:tcBorders>
              <w:left w:val="single" w:sz="4" w:space="0" w:color="000000"/>
            </w:tcBorders>
          </w:tcPr>
          <w:p w:rsidR="00087282" w:rsidRDefault="00087282" w:rsidP="004E53D0">
            <w:pPr>
              <w:pStyle w:val="TableParagraph"/>
              <w:spacing w:line="199" w:lineRule="exact"/>
              <w:ind w:left="9"/>
              <w:rPr>
                <w:sz w:val="18"/>
              </w:rPr>
            </w:pPr>
            <w:r>
              <w:rPr>
                <w:sz w:val="18"/>
              </w:rPr>
              <w:t>Mean</w:t>
            </w:r>
            <w:r>
              <w:rPr>
                <w:spacing w:val="-8"/>
                <w:sz w:val="18"/>
              </w:rPr>
              <w:t xml:space="preserve"> </w:t>
            </w:r>
            <w:r>
              <w:rPr>
                <w:sz w:val="18"/>
              </w:rPr>
              <w:t>dependent</w:t>
            </w:r>
            <w:r>
              <w:rPr>
                <w:spacing w:val="-4"/>
                <w:sz w:val="18"/>
              </w:rPr>
              <w:t xml:space="preserve"> </w:t>
            </w:r>
            <w:r>
              <w:rPr>
                <w:spacing w:val="-5"/>
                <w:sz w:val="18"/>
              </w:rPr>
              <w:t>var</w:t>
            </w:r>
          </w:p>
        </w:tc>
        <w:tc>
          <w:tcPr>
            <w:tcW w:w="1243" w:type="dxa"/>
          </w:tcPr>
          <w:p w:rsidR="00087282" w:rsidRDefault="00087282" w:rsidP="004E53D0">
            <w:pPr>
              <w:pStyle w:val="TableParagraph"/>
              <w:spacing w:line="199" w:lineRule="exact"/>
              <w:ind w:right="98"/>
              <w:jc w:val="right"/>
              <w:rPr>
                <w:sz w:val="18"/>
              </w:rPr>
            </w:pPr>
            <w:r>
              <w:rPr>
                <w:sz w:val="18"/>
              </w:rPr>
              <w:t>-</w:t>
            </w:r>
            <w:r>
              <w:rPr>
                <w:spacing w:val="-2"/>
                <w:sz w:val="18"/>
              </w:rPr>
              <w:t>3.701763</w:t>
            </w:r>
          </w:p>
        </w:tc>
        <w:tc>
          <w:tcPr>
            <w:tcW w:w="2120" w:type="dxa"/>
          </w:tcPr>
          <w:p w:rsidR="00087282" w:rsidRDefault="00087282" w:rsidP="004E53D0">
            <w:pPr>
              <w:pStyle w:val="TableParagraph"/>
              <w:spacing w:line="199" w:lineRule="exact"/>
              <w:ind w:left="110"/>
              <w:rPr>
                <w:sz w:val="18"/>
              </w:rPr>
            </w:pPr>
            <w:r>
              <w:rPr>
                <w:sz w:val="18"/>
              </w:rPr>
              <w:t>Adjusted</w:t>
            </w:r>
            <w:r>
              <w:rPr>
                <w:spacing w:val="-13"/>
                <w:sz w:val="18"/>
              </w:rPr>
              <w:t xml:space="preserve"> </w:t>
            </w:r>
            <w:r>
              <w:rPr>
                <w:sz w:val="18"/>
              </w:rPr>
              <w:t>R-</w:t>
            </w:r>
            <w:r>
              <w:rPr>
                <w:spacing w:val="-2"/>
                <w:sz w:val="18"/>
              </w:rPr>
              <w:t>squared</w:t>
            </w:r>
          </w:p>
        </w:tc>
        <w:tc>
          <w:tcPr>
            <w:tcW w:w="1189" w:type="dxa"/>
            <w:tcBorders>
              <w:right w:val="single" w:sz="4" w:space="0" w:color="000000"/>
            </w:tcBorders>
          </w:tcPr>
          <w:p w:rsidR="00087282" w:rsidRDefault="00087282" w:rsidP="004E53D0">
            <w:pPr>
              <w:pStyle w:val="TableParagraph"/>
              <w:spacing w:line="199" w:lineRule="exact"/>
              <w:ind w:right="-15"/>
              <w:jc w:val="right"/>
              <w:rPr>
                <w:sz w:val="18"/>
              </w:rPr>
            </w:pPr>
            <w:r>
              <w:rPr>
                <w:spacing w:val="-2"/>
                <w:sz w:val="18"/>
              </w:rPr>
              <w:t>0.383524</w:t>
            </w:r>
          </w:p>
        </w:tc>
      </w:tr>
      <w:tr w:rsidR="00087282" w:rsidTr="004E53D0">
        <w:trPr>
          <w:trHeight w:val="225"/>
          <w:jc w:val="center"/>
        </w:trPr>
        <w:tc>
          <w:tcPr>
            <w:tcW w:w="1984" w:type="dxa"/>
            <w:tcBorders>
              <w:left w:val="single" w:sz="4" w:space="0" w:color="000000"/>
            </w:tcBorders>
          </w:tcPr>
          <w:p w:rsidR="00087282" w:rsidRDefault="00087282" w:rsidP="004E53D0">
            <w:pPr>
              <w:pStyle w:val="TableParagraph"/>
              <w:spacing w:line="198" w:lineRule="exact"/>
              <w:ind w:left="9"/>
              <w:rPr>
                <w:sz w:val="18"/>
              </w:rPr>
            </w:pPr>
            <w:r>
              <w:rPr>
                <w:sz w:val="18"/>
              </w:rPr>
              <w:t>S.D.</w:t>
            </w:r>
            <w:r>
              <w:rPr>
                <w:spacing w:val="-9"/>
                <w:sz w:val="18"/>
              </w:rPr>
              <w:t xml:space="preserve"> </w:t>
            </w:r>
            <w:r>
              <w:rPr>
                <w:sz w:val="18"/>
              </w:rPr>
              <w:t>dependent</w:t>
            </w:r>
            <w:r>
              <w:rPr>
                <w:spacing w:val="-3"/>
                <w:sz w:val="18"/>
              </w:rPr>
              <w:t xml:space="preserve"> </w:t>
            </w:r>
            <w:r>
              <w:rPr>
                <w:spacing w:val="-5"/>
                <w:sz w:val="18"/>
              </w:rPr>
              <w:t>var</w:t>
            </w:r>
          </w:p>
        </w:tc>
        <w:tc>
          <w:tcPr>
            <w:tcW w:w="1243" w:type="dxa"/>
          </w:tcPr>
          <w:p w:rsidR="00087282" w:rsidRDefault="00087282" w:rsidP="004E53D0">
            <w:pPr>
              <w:pStyle w:val="TableParagraph"/>
              <w:spacing w:line="198" w:lineRule="exact"/>
              <w:ind w:right="98"/>
              <w:jc w:val="right"/>
              <w:rPr>
                <w:sz w:val="18"/>
              </w:rPr>
            </w:pPr>
            <w:r>
              <w:rPr>
                <w:spacing w:val="-2"/>
                <w:sz w:val="18"/>
              </w:rPr>
              <w:t>2.250850</w:t>
            </w:r>
          </w:p>
        </w:tc>
        <w:tc>
          <w:tcPr>
            <w:tcW w:w="2120" w:type="dxa"/>
          </w:tcPr>
          <w:p w:rsidR="00087282" w:rsidRDefault="00087282" w:rsidP="004E53D0">
            <w:pPr>
              <w:pStyle w:val="TableParagraph"/>
              <w:spacing w:line="198" w:lineRule="exact"/>
              <w:ind w:left="110"/>
              <w:rPr>
                <w:sz w:val="18"/>
              </w:rPr>
            </w:pPr>
            <w:r>
              <w:rPr>
                <w:sz w:val="18"/>
              </w:rPr>
              <w:t>S.E.</w:t>
            </w:r>
            <w:r>
              <w:rPr>
                <w:spacing w:val="-6"/>
                <w:sz w:val="18"/>
              </w:rPr>
              <w:t xml:space="preserve"> </w:t>
            </w:r>
            <w:r>
              <w:rPr>
                <w:sz w:val="18"/>
              </w:rPr>
              <w:t>of</w:t>
            </w:r>
            <w:r>
              <w:rPr>
                <w:spacing w:val="-6"/>
                <w:sz w:val="18"/>
              </w:rPr>
              <w:t xml:space="preserve"> </w:t>
            </w:r>
            <w:r>
              <w:rPr>
                <w:spacing w:val="-2"/>
                <w:sz w:val="18"/>
              </w:rPr>
              <w:t>regression</w:t>
            </w:r>
          </w:p>
        </w:tc>
        <w:tc>
          <w:tcPr>
            <w:tcW w:w="1189" w:type="dxa"/>
            <w:tcBorders>
              <w:right w:val="single" w:sz="4" w:space="0" w:color="000000"/>
            </w:tcBorders>
          </w:tcPr>
          <w:p w:rsidR="00087282" w:rsidRDefault="00087282" w:rsidP="004E53D0">
            <w:pPr>
              <w:pStyle w:val="TableParagraph"/>
              <w:spacing w:line="198" w:lineRule="exact"/>
              <w:ind w:right="-15"/>
              <w:jc w:val="right"/>
              <w:rPr>
                <w:sz w:val="18"/>
              </w:rPr>
            </w:pPr>
            <w:r>
              <w:rPr>
                <w:spacing w:val="-2"/>
                <w:sz w:val="18"/>
              </w:rPr>
              <w:t>0.339773</w:t>
            </w:r>
          </w:p>
        </w:tc>
      </w:tr>
      <w:tr w:rsidR="00087282" w:rsidTr="004E53D0">
        <w:trPr>
          <w:trHeight w:val="225"/>
          <w:jc w:val="center"/>
        </w:trPr>
        <w:tc>
          <w:tcPr>
            <w:tcW w:w="1984" w:type="dxa"/>
            <w:tcBorders>
              <w:left w:val="single" w:sz="4" w:space="0" w:color="000000"/>
            </w:tcBorders>
          </w:tcPr>
          <w:p w:rsidR="00087282" w:rsidRDefault="00087282" w:rsidP="004E53D0">
            <w:pPr>
              <w:pStyle w:val="TableParagraph"/>
              <w:spacing w:line="198" w:lineRule="exact"/>
              <w:ind w:left="9"/>
              <w:rPr>
                <w:sz w:val="18"/>
              </w:rPr>
            </w:pPr>
            <w:r>
              <w:rPr>
                <w:sz w:val="18"/>
              </w:rPr>
              <w:t>Sum</w:t>
            </w:r>
            <w:r>
              <w:rPr>
                <w:spacing w:val="-3"/>
                <w:sz w:val="18"/>
              </w:rPr>
              <w:t xml:space="preserve"> </w:t>
            </w:r>
            <w:r>
              <w:rPr>
                <w:sz w:val="18"/>
              </w:rPr>
              <w:t>squared</w:t>
            </w:r>
            <w:r>
              <w:rPr>
                <w:spacing w:val="-4"/>
                <w:sz w:val="18"/>
              </w:rPr>
              <w:t xml:space="preserve"> resid</w:t>
            </w:r>
          </w:p>
        </w:tc>
        <w:tc>
          <w:tcPr>
            <w:tcW w:w="1243" w:type="dxa"/>
          </w:tcPr>
          <w:p w:rsidR="00087282" w:rsidRDefault="00087282" w:rsidP="004E53D0">
            <w:pPr>
              <w:pStyle w:val="TableParagraph"/>
              <w:spacing w:line="198" w:lineRule="exact"/>
              <w:ind w:right="98"/>
              <w:jc w:val="right"/>
              <w:rPr>
                <w:sz w:val="18"/>
              </w:rPr>
            </w:pPr>
            <w:r>
              <w:rPr>
                <w:spacing w:val="-2"/>
                <w:sz w:val="18"/>
              </w:rPr>
              <w:t>3.578809</w:t>
            </w:r>
          </w:p>
        </w:tc>
        <w:tc>
          <w:tcPr>
            <w:tcW w:w="2120" w:type="dxa"/>
          </w:tcPr>
          <w:p w:rsidR="00087282" w:rsidRDefault="00087282" w:rsidP="004E53D0">
            <w:pPr>
              <w:pStyle w:val="TableParagraph"/>
              <w:spacing w:line="198" w:lineRule="exact"/>
              <w:ind w:left="110"/>
              <w:rPr>
                <w:sz w:val="18"/>
              </w:rPr>
            </w:pPr>
            <w:r>
              <w:rPr>
                <w:spacing w:val="-2"/>
                <w:sz w:val="18"/>
              </w:rPr>
              <w:t>F-statistic</w:t>
            </w:r>
          </w:p>
        </w:tc>
        <w:tc>
          <w:tcPr>
            <w:tcW w:w="1189" w:type="dxa"/>
            <w:tcBorders>
              <w:right w:val="single" w:sz="4" w:space="0" w:color="000000"/>
            </w:tcBorders>
          </w:tcPr>
          <w:p w:rsidR="00087282" w:rsidRDefault="00087282" w:rsidP="004E53D0">
            <w:pPr>
              <w:pStyle w:val="TableParagraph"/>
              <w:spacing w:line="198" w:lineRule="exact"/>
              <w:ind w:right="-15"/>
              <w:jc w:val="right"/>
              <w:rPr>
                <w:sz w:val="18"/>
              </w:rPr>
            </w:pPr>
            <w:r>
              <w:rPr>
                <w:spacing w:val="-2"/>
                <w:sz w:val="18"/>
              </w:rPr>
              <w:t>8.050719</w:t>
            </w:r>
          </w:p>
        </w:tc>
      </w:tr>
      <w:tr w:rsidR="00087282" w:rsidTr="004E53D0">
        <w:trPr>
          <w:trHeight w:val="218"/>
          <w:jc w:val="center"/>
        </w:trPr>
        <w:tc>
          <w:tcPr>
            <w:tcW w:w="1984" w:type="dxa"/>
            <w:tcBorders>
              <w:left w:val="single" w:sz="4" w:space="0" w:color="000000"/>
              <w:bottom w:val="single" w:sz="4" w:space="0" w:color="000000"/>
            </w:tcBorders>
          </w:tcPr>
          <w:p w:rsidR="00087282" w:rsidRDefault="00087282" w:rsidP="004E53D0">
            <w:pPr>
              <w:pStyle w:val="TableParagraph"/>
              <w:spacing w:line="192" w:lineRule="exact"/>
              <w:ind w:left="9"/>
              <w:rPr>
                <w:sz w:val="18"/>
              </w:rPr>
            </w:pPr>
            <w:r>
              <w:rPr>
                <w:spacing w:val="-2"/>
                <w:sz w:val="18"/>
              </w:rPr>
              <w:t>Durbin-Watson</w:t>
            </w:r>
            <w:r>
              <w:rPr>
                <w:spacing w:val="12"/>
                <w:sz w:val="18"/>
              </w:rPr>
              <w:t xml:space="preserve"> </w:t>
            </w:r>
            <w:r>
              <w:rPr>
                <w:spacing w:val="-4"/>
                <w:sz w:val="18"/>
              </w:rPr>
              <w:t>stat</w:t>
            </w:r>
          </w:p>
        </w:tc>
        <w:tc>
          <w:tcPr>
            <w:tcW w:w="1243" w:type="dxa"/>
            <w:tcBorders>
              <w:bottom w:val="single" w:sz="4" w:space="0" w:color="000000"/>
            </w:tcBorders>
          </w:tcPr>
          <w:p w:rsidR="00087282" w:rsidRDefault="00087282" w:rsidP="004E53D0">
            <w:pPr>
              <w:pStyle w:val="TableParagraph"/>
              <w:spacing w:line="192" w:lineRule="exact"/>
              <w:ind w:right="98"/>
              <w:jc w:val="right"/>
              <w:rPr>
                <w:sz w:val="18"/>
              </w:rPr>
            </w:pPr>
            <w:r>
              <w:rPr>
                <w:spacing w:val="-2"/>
                <w:sz w:val="18"/>
              </w:rPr>
              <w:t>2.057868</w:t>
            </w:r>
          </w:p>
        </w:tc>
        <w:tc>
          <w:tcPr>
            <w:tcW w:w="2120" w:type="dxa"/>
            <w:tcBorders>
              <w:bottom w:val="single" w:sz="4" w:space="0" w:color="000000"/>
            </w:tcBorders>
          </w:tcPr>
          <w:p w:rsidR="00087282" w:rsidRDefault="00087282" w:rsidP="004E53D0">
            <w:pPr>
              <w:pStyle w:val="TableParagraph"/>
              <w:spacing w:line="192" w:lineRule="exact"/>
              <w:ind w:left="110"/>
              <w:rPr>
                <w:sz w:val="18"/>
              </w:rPr>
            </w:pPr>
            <w:r>
              <w:rPr>
                <w:spacing w:val="-2"/>
                <w:sz w:val="18"/>
              </w:rPr>
              <w:t>Prob(F-statistic)</w:t>
            </w:r>
          </w:p>
        </w:tc>
        <w:tc>
          <w:tcPr>
            <w:tcW w:w="1189" w:type="dxa"/>
            <w:tcBorders>
              <w:bottom w:val="single" w:sz="4" w:space="0" w:color="000000"/>
              <w:right w:val="single" w:sz="4" w:space="0" w:color="000000"/>
            </w:tcBorders>
          </w:tcPr>
          <w:p w:rsidR="00087282" w:rsidRDefault="00087282" w:rsidP="004E53D0">
            <w:pPr>
              <w:pStyle w:val="TableParagraph"/>
              <w:spacing w:line="192" w:lineRule="exact"/>
              <w:ind w:right="-15"/>
              <w:jc w:val="right"/>
              <w:rPr>
                <w:sz w:val="18"/>
              </w:rPr>
            </w:pPr>
            <w:r>
              <w:rPr>
                <w:spacing w:val="-2"/>
                <w:sz w:val="18"/>
              </w:rPr>
              <w:t>0.000414</w:t>
            </w:r>
          </w:p>
        </w:tc>
      </w:tr>
    </w:tbl>
    <w:p w:rsidR="00087282" w:rsidRDefault="00087282" w:rsidP="00087282">
      <w:pPr>
        <w:pStyle w:val="BodyText"/>
        <w:jc w:val="both"/>
        <w:rPr>
          <w:b/>
        </w:rPr>
      </w:pPr>
    </w:p>
    <w:p w:rsidR="00087282" w:rsidRDefault="00087282" w:rsidP="009F4552">
      <w:pPr>
        <w:pStyle w:val="BodyText"/>
        <w:spacing w:line="276" w:lineRule="auto"/>
        <w:ind w:firstLine="851"/>
        <w:jc w:val="both"/>
        <w:rPr>
          <w:i/>
        </w:rPr>
      </w:pPr>
      <w:r>
        <w:t>Berdasarkan tabel diatas, menunjukan bahwa nilai Prob (F-statistik) sebesar 0.000414. Artinya, nilai signifikansi F</w:t>
      </w:r>
      <w:r w:rsidR="009F4552">
        <w:t xml:space="preserve"> lebih</w:t>
      </w:r>
      <w:r>
        <w:t xml:space="preserve"> kecil dari 0.05. Sehingga dapat disimpulkan bahwa variabel independen secara bersama-sama berpengaruh terhadap </w:t>
      </w:r>
      <w:r>
        <w:rPr>
          <w:i/>
        </w:rPr>
        <w:t>tax avoidance.</w:t>
      </w:r>
    </w:p>
    <w:p w:rsidR="00087282" w:rsidRDefault="00087282" w:rsidP="009F4552">
      <w:pPr>
        <w:pStyle w:val="BodyText"/>
        <w:spacing w:line="276" w:lineRule="auto"/>
        <w:jc w:val="both"/>
        <w:rPr>
          <w:i/>
        </w:rPr>
      </w:pPr>
    </w:p>
    <w:p w:rsidR="009F4552" w:rsidRDefault="009F4552" w:rsidP="009F4552">
      <w:pPr>
        <w:pStyle w:val="BodyText"/>
        <w:spacing w:line="276" w:lineRule="auto"/>
        <w:jc w:val="both"/>
        <w:rPr>
          <w:b/>
        </w:rPr>
      </w:pPr>
      <w:r>
        <w:rPr>
          <w:b/>
        </w:rPr>
        <w:t>Uji Parsial (Uji t)</w:t>
      </w:r>
    </w:p>
    <w:p w:rsidR="009F4552" w:rsidRDefault="009F4552" w:rsidP="009F4552">
      <w:pPr>
        <w:pStyle w:val="BodyText"/>
        <w:spacing w:line="276" w:lineRule="auto"/>
        <w:jc w:val="center"/>
        <w:rPr>
          <w:b/>
        </w:rPr>
      </w:pPr>
      <w:r>
        <w:rPr>
          <w:b/>
        </w:rPr>
        <w:t>Hasil Uji t</w:t>
      </w:r>
    </w:p>
    <w:tbl>
      <w:tblPr>
        <w:tblW w:w="0" w:type="auto"/>
        <w:jc w:val="center"/>
        <w:tblLayout w:type="fixed"/>
        <w:tblCellMar>
          <w:left w:w="0" w:type="dxa"/>
          <w:right w:w="0" w:type="dxa"/>
        </w:tblCellMar>
        <w:tblLook w:val="01E0" w:firstRow="1" w:lastRow="1" w:firstColumn="1" w:lastColumn="1" w:noHBand="0" w:noVBand="0"/>
      </w:tblPr>
      <w:tblGrid>
        <w:gridCol w:w="1808"/>
        <w:gridCol w:w="1530"/>
        <w:gridCol w:w="1186"/>
        <w:gridCol w:w="1232"/>
        <w:gridCol w:w="780"/>
      </w:tblGrid>
      <w:tr w:rsidR="009F4552" w:rsidTr="004E53D0">
        <w:trPr>
          <w:trHeight w:val="435"/>
          <w:jc w:val="center"/>
        </w:trPr>
        <w:tc>
          <w:tcPr>
            <w:tcW w:w="1808" w:type="dxa"/>
            <w:tcBorders>
              <w:top w:val="single" w:sz="4" w:space="0" w:color="000000"/>
              <w:left w:val="single" w:sz="4" w:space="0" w:color="000000"/>
              <w:bottom w:val="double" w:sz="6" w:space="0" w:color="000000"/>
            </w:tcBorders>
          </w:tcPr>
          <w:p w:rsidR="009F4552" w:rsidRDefault="009F4552" w:rsidP="004E53D0">
            <w:pPr>
              <w:pStyle w:val="TableParagraph"/>
              <w:spacing w:before="133"/>
              <w:ind w:left="232"/>
              <w:jc w:val="center"/>
              <w:rPr>
                <w:sz w:val="18"/>
              </w:rPr>
            </w:pPr>
            <w:r>
              <w:rPr>
                <w:spacing w:val="-2"/>
                <w:sz w:val="18"/>
              </w:rPr>
              <w:t>Variable</w:t>
            </w:r>
          </w:p>
        </w:tc>
        <w:tc>
          <w:tcPr>
            <w:tcW w:w="1530" w:type="dxa"/>
            <w:tcBorders>
              <w:top w:val="single" w:sz="4" w:space="0" w:color="000000"/>
              <w:bottom w:val="double" w:sz="6" w:space="0" w:color="000000"/>
            </w:tcBorders>
          </w:tcPr>
          <w:p w:rsidR="009F4552" w:rsidRDefault="009F4552" w:rsidP="004E53D0">
            <w:pPr>
              <w:pStyle w:val="TableParagraph"/>
              <w:spacing w:before="133"/>
              <w:ind w:right="213"/>
              <w:jc w:val="right"/>
              <w:rPr>
                <w:sz w:val="18"/>
              </w:rPr>
            </w:pPr>
            <w:r>
              <w:rPr>
                <w:spacing w:val="-2"/>
                <w:sz w:val="18"/>
              </w:rPr>
              <w:t>Coefficient</w:t>
            </w:r>
          </w:p>
        </w:tc>
        <w:tc>
          <w:tcPr>
            <w:tcW w:w="1186" w:type="dxa"/>
            <w:tcBorders>
              <w:top w:val="single" w:sz="4" w:space="0" w:color="000000"/>
              <w:bottom w:val="double" w:sz="6" w:space="0" w:color="000000"/>
            </w:tcBorders>
          </w:tcPr>
          <w:p w:rsidR="009F4552" w:rsidRDefault="009F4552" w:rsidP="004E53D0">
            <w:pPr>
              <w:pStyle w:val="TableParagraph"/>
              <w:spacing w:before="133"/>
              <w:ind w:left="56" w:right="32"/>
              <w:jc w:val="center"/>
              <w:rPr>
                <w:sz w:val="18"/>
              </w:rPr>
            </w:pPr>
            <w:r>
              <w:rPr>
                <w:sz w:val="18"/>
              </w:rPr>
              <w:t xml:space="preserve">Std. </w:t>
            </w:r>
            <w:r>
              <w:rPr>
                <w:spacing w:val="-2"/>
                <w:sz w:val="18"/>
              </w:rPr>
              <w:t>Error</w:t>
            </w:r>
          </w:p>
        </w:tc>
        <w:tc>
          <w:tcPr>
            <w:tcW w:w="1232" w:type="dxa"/>
            <w:tcBorders>
              <w:top w:val="single" w:sz="4" w:space="0" w:color="000000"/>
              <w:bottom w:val="double" w:sz="6" w:space="0" w:color="000000"/>
            </w:tcBorders>
          </w:tcPr>
          <w:p w:rsidR="009F4552" w:rsidRDefault="009F4552" w:rsidP="004E53D0">
            <w:pPr>
              <w:pStyle w:val="TableParagraph"/>
              <w:spacing w:before="133"/>
              <w:ind w:left="68" w:right="11"/>
              <w:jc w:val="center"/>
              <w:rPr>
                <w:sz w:val="18"/>
              </w:rPr>
            </w:pPr>
            <w:r>
              <w:rPr>
                <w:sz w:val="18"/>
              </w:rPr>
              <w:t>t-</w:t>
            </w:r>
            <w:r>
              <w:rPr>
                <w:spacing w:val="-2"/>
                <w:sz w:val="18"/>
              </w:rPr>
              <w:t>Statistic</w:t>
            </w:r>
          </w:p>
        </w:tc>
        <w:tc>
          <w:tcPr>
            <w:tcW w:w="780" w:type="dxa"/>
            <w:tcBorders>
              <w:top w:val="single" w:sz="4" w:space="0" w:color="000000"/>
              <w:bottom w:val="double" w:sz="6" w:space="0" w:color="000000"/>
              <w:right w:val="single" w:sz="4" w:space="0" w:color="000000"/>
            </w:tcBorders>
          </w:tcPr>
          <w:p w:rsidR="009F4552" w:rsidRDefault="009F4552" w:rsidP="004E53D0">
            <w:pPr>
              <w:pStyle w:val="TableParagraph"/>
              <w:spacing w:before="133"/>
              <w:ind w:left="246"/>
              <w:rPr>
                <w:sz w:val="18"/>
              </w:rPr>
            </w:pPr>
            <w:r>
              <w:rPr>
                <w:spacing w:val="-2"/>
                <w:sz w:val="18"/>
              </w:rPr>
              <w:t>Prob.</w:t>
            </w:r>
          </w:p>
        </w:tc>
      </w:tr>
      <w:tr w:rsidR="009F4552" w:rsidTr="004E53D0">
        <w:trPr>
          <w:trHeight w:val="322"/>
          <w:jc w:val="center"/>
        </w:trPr>
        <w:tc>
          <w:tcPr>
            <w:tcW w:w="1808" w:type="dxa"/>
            <w:tcBorders>
              <w:top w:val="double" w:sz="6" w:space="0" w:color="000000"/>
              <w:left w:val="single" w:sz="4" w:space="0" w:color="000000"/>
            </w:tcBorders>
          </w:tcPr>
          <w:p w:rsidR="009F4552" w:rsidRDefault="009F4552" w:rsidP="004E53D0">
            <w:pPr>
              <w:pStyle w:val="TableParagraph"/>
              <w:spacing w:before="104" w:line="199" w:lineRule="exact"/>
              <w:ind w:left="232" w:right="3"/>
              <w:jc w:val="center"/>
              <w:rPr>
                <w:sz w:val="18"/>
              </w:rPr>
            </w:pPr>
            <w:r>
              <w:rPr>
                <w:spacing w:val="-10"/>
                <w:sz w:val="18"/>
              </w:rPr>
              <w:t>C</w:t>
            </w:r>
          </w:p>
        </w:tc>
        <w:tc>
          <w:tcPr>
            <w:tcW w:w="1530" w:type="dxa"/>
            <w:tcBorders>
              <w:top w:val="double" w:sz="6" w:space="0" w:color="000000"/>
            </w:tcBorders>
          </w:tcPr>
          <w:p w:rsidR="009F4552" w:rsidRDefault="009F4552" w:rsidP="004E53D0">
            <w:pPr>
              <w:pStyle w:val="TableParagraph"/>
              <w:spacing w:before="104" w:line="199" w:lineRule="exact"/>
              <w:ind w:right="209"/>
              <w:jc w:val="right"/>
              <w:rPr>
                <w:sz w:val="18"/>
              </w:rPr>
            </w:pPr>
            <w:r>
              <w:rPr>
                <w:sz w:val="18"/>
              </w:rPr>
              <w:t>-</w:t>
            </w:r>
            <w:r>
              <w:rPr>
                <w:spacing w:val="-2"/>
                <w:sz w:val="18"/>
              </w:rPr>
              <w:t>1.116513</w:t>
            </w:r>
          </w:p>
        </w:tc>
        <w:tc>
          <w:tcPr>
            <w:tcW w:w="1186" w:type="dxa"/>
            <w:tcBorders>
              <w:top w:val="double" w:sz="6" w:space="0" w:color="000000"/>
            </w:tcBorders>
          </w:tcPr>
          <w:p w:rsidR="009F4552" w:rsidRDefault="009F4552" w:rsidP="004E53D0">
            <w:pPr>
              <w:pStyle w:val="TableParagraph"/>
              <w:spacing w:before="104" w:line="199" w:lineRule="exact"/>
              <w:ind w:left="56"/>
              <w:jc w:val="center"/>
              <w:rPr>
                <w:sz w:val="18"/>
              </w:rPr>
            </w:pPr>
            <w:r>
              <w:rPr>
                <w:spacing w:val="-2"/>
                <w:sz w:val="18"/>
              </w:rPr>
              <w:t>0.114151</w:t>
            </w:r>
          </w:p>
        </w:tc>
        <w:tc>
          <w:tcPr>
            <w:tcW w:w="1232" w:type="dxa"/>
            <w:tcBorders>
              <w:top w:val="double" w:sz="6" w:space="0" w:color="000000"/>
            </w:tcBorders>
          </w:tcPr>
          <w:p w:rsidR="009F4552" w:rsidRDefault="009F4552" w:rsidP="004E53D0">
            <w:pPr>
              <w:pStyle w:val="TableParagraph"/>
              <w:spacing w:before="104" w:line="199" w:lineRule="exact"/>
              <w:ind w:left="59" w:right="70"/>
              <w:jc w:val="center"/>
              <w:rPr>
                <w:sz w:val="18"/>
              </w:rPr>
            </w:pPr>
            <w:r>
              <w:rPr>
                <w:sz w:val="18"/>
              </w:rPr>
              <w:t>-</w:t>
            </w:r>
            <w:r>
              <w:rPr>
                <w:spacing w:val="-2"/>
                <w:sz w:val="18"/>
              </w:rPr>
              <w:t>9.781018</w:t>
            </w:r>
          </w:p>
        </w:tc>
        <w:tc>
          <w:tcPr>
            <w:tcW w:w="780" w:type="dxa"/>
            <w:tcBorders>
              <w:top w:val="double" w:sz="6" w:space="0" w:color="000000"/>
              <w:right w:val="single" w:sz="4" w:space="0" w:color="000000"/>
            </w:tcBorders>
          </w:tcPr>
          <w:p w:rsidR="009F4552" w:rsidRDefault="009F4552" w:rsidP="004E53D0">
            <w:pPr>
              <w:pStyle w:val="TableParagraph"/>
              <w:spacing w:before="104" w:line="199" w:lineRule="exact"/>
              <w:ind w:left="222" w:right="-15"/>
              <w:rPr>
                <w:sz w:val="18"/>
              </w:rPr>
            </w:pPr>
            <w:r>
              <w:rPr>
                <w:spacing w:val="-2"/>
                <w:sz w:val="18"/>
              </w:rPr>
              <w:t>0.0000</w:t>
            </w:r>
          </w:p>
        </w:tc>
      </w:tr>
      <w:tr w:rsidR="009F4552" w:rsidTr="004E53D0">
        <w:trPr>
          <w:trHeight w:val="225"/>
          <w:jc w:val="center"/>
        </w:trPr>
        <w:tc>
          <w:tcPr>
            <w:tcW w:w="1808" w:type="dxa"/>
            <w:tcBorders>
              <w:left w:val="single" w:sz="4" w:space="0" w:color="000000"/>
            </w:tcBorders>
          </w:tcPr>
          <w:p w:rsidR="009F4552" w:rsidRDefault="009F4552" w:rsidP="004E53D0">
            <w:pPr>
              <w:pStyle w:val="TableParagraph"/>
              <w:spacing w:line="198" w:lineRule="exact"/>
              <w:ind w:left="232" w:right="11"/>
              <w:jc w:val="center"/>
              <w:rPr>
                <w:sz w:val="18"/>
              </w:rPr>
            </w:pPr>
            <w:r>
              <w:rPr>
                <w:spacing w:val="-5"/>
                <w:sz w:val="18"/>
              </w:rPr>
              <w:t>X1</w:t>
            </w:r>
          </w:p>
        </w:tc>
        <w:tc>
          <w:tcPr>
            <w:tcW w:w="1530" w:type="dxa"/>
          </w:tcPr>
          <w:p w:rsidR="009F4552" w:rsidRDefault="009F4552" w:rsidP="004E53D0">
            <w:pPr>
              <w:pStyle w:val="TableParagraph"/>
              <w:spacing w:line="198" w:lineRule="exact"/>
              <w:ind w:right="209"/>
              <w:jc w:val="right"/>
              <w:rPr>
                <w:sz w:val="18"/>
              </w:rPr>
            </w:pPr>
            <w:r>
              <w:rPr>
                <w:sz w:val="18"/>
              </w:rPr>
              <w:t>-</w:t>
            </w:r>
            <w:r>
              <w:rPr>
                <w:spacing w:val="-2"/>
                <w:sz w:val="18"/>
              </w:rPr>
              <w:t>0.622178</w:t>
            </w:r>
          </w:p>
        </w:tc>
        <w:tc>
          <w:tcPr>
            <w:tcW w:w="1186" w:type="dxa"/>
          </w:tcPr>
          <w:p w:rsidR="009F4552" w:rsidRDefault="009F4552" w:rsidP="004E53D0">
            <w:pPr>
              <w:pStyle w:val="TableParagraph"/>
              <w:spacing w:line="198" w:lineRule="exact"/>
              <w:ind w:left="56" w:right="9"/>
              <w:jc w:val="center"/>
              <w:rPr>
                <w:sz w:val="18"/>
              </w:rPr>
            </w:pPr>
            <w:r>
              <w:rPr>
                <w:spacing w:val="-2"/>
                <w:sz w:val="18"/>
              </w:rPr>
              <w:t>0.187081</w:t>
            </w:r>
          </w:p>
        </w:tc>
        <w:tc>
          <w:tcPr>
            <w:tcW w:w="1232" w:type="dxa"/>
          </w:tcPr>
          <w:p w:rsidR="009F4552" w:rsidRDefault="009F4552" w:rsidP="004E53D0">
            <w:pPr>
              <w:pStyle w:val="TableParagraph"/>
              <w:spacing w:line="198" w:lineRule="exact"/>
              <w:ind w:left="59" w:right="70"/>
              <w:jc w:val="center"/>
              <w:rPr>
                <w:sz w:val="18"/>
              </w:rPr>
            </w:pPr>
            <w:r>
              <w:rPr>
                <w:sz w:val="18"/>
              </w:rPr>
              <w:t>-</w:t>
            </w:r>
            <w:r>
              <w:rPr>
                <w:spacing w:val="-2"/>
                <w:sz w:val="18"/>
              </w:rPr>
              <w:t>3.325723</w:t>
            </w:r>
          </w:p>
        </w:tc>
        <w:tc>
          <w:tcPr>
            <w:tcW w:w="780" w:type="dxa"/>
            <w:tcBorders>
              <w:right w:val="single" w:sz="4" w:space="0" w:color="000000"/>
            </w:tcBorders>
          </w:tcPr>
          <w:p w:rsidR="009F4552" w:rsidRDefault="009F4552" w:rsidP="004E53D0">
            <w:pPr>
              <w:pStyle w:val="TableParagraph"/>
              <w:spacing w:line="198" w:lineRule="exact"/>
              <w:ind w:left="222" w:right="-15"/>
              <w:rPr>
                <w:sz w:val="18"/>
              </w:rPr>
            </w:pPr>
            <w:r>
              <w:rPr>
                <w:spacing w:val="-2"/>
                <w:sz w:val="18"/>
              </w:rPr>
              <w:t>0.0023</w:t>
            </w:r>
          </w:p>
        </w:tc>
      </w:tr>
      <w:tr w:rsidR="009F4552" w:rsidTr="004E53D0">
        <w:trPr>
          <w:trHeight w:val="225"/>
          <w:jc w:val="center"/>
        </w:trPr>
        <w:tc>
          <w:tcPr>
            <w:tcW w:w="1808" w:type="dxa"/>
            <w:tcBorders>
              <w:left w:val="single" w:sz="4" w:space="0" w:color="000000"/>
            </w:tcBorders>
          </w:tcPr>
          <w:p w:rsidR="009F4552" w:rsidRDefault="009F4552" w:rsidP="004E53D0">
            <w:pPr>
              <w:pStyle w:val="TableParagraph"/>
              <w:spacing w:line="198" w:lineRule="exact"/>
              <w:ind w:left="232" w:right="11"/>
              <w:jc w:val="center"/>
              <w:rPr>
                <w:sz w:val="18"/>
              </w:rPr>
            </w:pPr>
            <w:r>
              <w:rPr>
                <w:spacing w:val="-5"/>
                <w:sz w:val="18"/>
              </w:rPr>
              <w:t>X2</w:t>
            </w:r>
          </w:p>
        </w:tc>
        <w:tc>
          <w:tcPr>
            <w:tcW w:w="1530" w:type="dxa"/>
          </w:tcPr>
          <w:p w:rsidR="009F4552" w:rsidRDefault="009F4552" w:rsidP="004E53D0">
            <w:pPr>
              <w:pStyle w:val="TableParagraph"/>
              <w:spacing w:line="198" w:lineRule="exact"/>
              <w:ind w:right="209"/>
              <w:jc w:val="right"/>
              <w:rPr>
                <w:sz w:val="18"/>
              </w:rPr>
            </w:pPr>
            <w:r>
              <w:rPr>
                <w:sz w:val="18"/>
              </w:rPr>
              <w:t>-</w:t>
            </w:r>
            <w:r>
              <w:rPr>
                <w:spacing w:val="-2"/>
                <w:sz w:val="18"/>
              </w:rPr>
              <w:t>0.082932</w:t>
            </w:r>
          </w:p>
        </w:tc>
        <w:tc>
          <w:tcPr>
            <w:tcW w:w="1186" w:type="dxa"/>
          </w:tcPr>
          <w:p w:rsidR="009F4552" w:rsidRDefault="009F4552" w:rsidP="004E53D0">
            <w:pPr>
              <w:pStyle w:val="TableParagraph"/>
              <w:spacing w:line="198" w:lineRule="exact"/>
              <w:ind w:left="56" w:right="9"/>
              <w:jc w:val="center"/>
              <w:rPr>
                <w:sz w:val="18"/>
              </w:rPr>
            </w:pPr>
            <w:r>
              <w:rPr>
                <w:spacing w:val="-2"/>
                <w:sz w:val="18"/>
              </w:rPr>
              <w:t>0.157052</w:t>
            </w:r>
          </w:p>
        </w:tc>
        <w:tc>
          <w:tcPr>
            <w:tcW w:w="1232" w:type="dxa"/>
          </w:tcPr>
          <w:p w:rsidR="009F4552" w:rsidRDefault="009F4552" w:rsidP="004E53D0">
            <w:pPr>
              <w:pStyle w:val="TableParagraph"/>
              <w:spacing w:line="198" w:lineRule="exact"/>
              <w:ind w:left="59" w:right="70"/>
              <w:jc w:val="center"/>
              <w:rPr>
                <w:sz w:val="18"/>
              </w:rPr>
            </w:pPr>
            <w:r>
              <w:rPr>
                <w:sz w:val="18"/>
              </w:rPr>
              <w:t>-</w:t>
            </w:r>
            <w:r>
              <w:rPr>
                <w:spacing w:val="-2"/>
                <w:sz w:val="18"/>
              </w:rPr>
              <w:t>0.528052</w:t>
            </w:r>
          </w:p>
        </w:tc>
        <w:tc>
          <w:tcPr>
            <w:tcW w:w="780" w:type="dxa"/>
            <w:tcBorders>
              <w:right w:val="single" w:sz="4" w:space="0" w:color="000000"/>
            </w:tcBorders>
          </w:tcPr>
          <w:p w:rsidR="009F4552" w:rsidRDefault="009F4552" w:rsidP="004E53D0">
            <w:pPr>
              <w:pStyle w:val="TableParagraph"/>
              <w:spacing w:line="198" w:lineRule="exact"/>
              <w:ind w:left="222" w:right="-15"/>
              <w:rPr>
                <w:sz w:val="18"/>
              </w:rPr>
            </w:pPr>
            <w:r>
              <w:rPr>
                <w:spacing w:val="-2"/>
                <w:sz w:val="18"/>
              </w:rPr>
              <w:t>0.6012</w:t>
            </w:r>
          </w:p>
        </w:tc>
      </w:tr>
      <w:tr w:rsidR="009F4552" w:rsidTr="004E53D0">
        <w:trPr>
          <w:trHeight w:val="310"/>
          <w:jc w:val="center"/>
        </w:trPr>
        <w:tc>
          <w:tcPr>
            <w:tcW w:w="1808" w:type="dxa"/>
            <w:tcBorders>
              <w:left w:val="single" w:sz="4" w:space="0" w:color="000000"/>
              <w:bottom w:val="single" w:sz="4" w:space="0" w:color="000000"/>
            </w:tcBorders>
          </w:tcPr>
          <w:p w:rsidR="009F4552" w:rsidRDefault="009F4552" w:rsidP="004E53D0">
            <w:pPr>
              <w:pStyle w:val="TableParagraph"/>
              <w:ind w:left="232" w:right="4"/>
              <w:jc w:val="center"/>
              <w:rPr>
                <w:sz w:val="18"/>
              </w:rPr>
            </w:pPr>
            <w:r>
              <w:rPr>
                <w:spacing w:val="-10"/>
                <w:sz w:val="18"/>
              </w:rPr>
              <w:t>Z</w:t>
            </w:r>
          </w:p>
        </w:tc>
        <w:tc>
          <w:tcPr>
            <w:tcW w:w="1530" w:type="dxa"/>
            <w:tcBorders>
              <w:bottom w:val="single" w:sz="4" w:space="0" w:color="000000"/>
            </w:tcBorders>
          </w:tcPr>
          <w:p w:rsidR="009F4552" w:rsidRDefault="009F4552" w:rsidP="004E53D0">
            <w:pPr>
              <w:pStyle w:val="TableParagraph"/>
              <w:ind w:right="209"/>
              <w:jc w:val="right"/>
              <w:rPr>
                <w:sz w:val="18"/>
              </w:rPr>
            </w:pPr>
            <w:r>
              <w:rPr>
                <w:sz w:val="18"/>
              </w:rPr>
              <w:t>-</w:t>
            </w:r>
            <w:r>
              <w:rPr>
                <w:spacing w:val="-2"/>
                <w:sz w:val="18"/>
              </w:rPr>
              <w:t>0.421032</w:t>
            </w:r>
          </w:p>
        </w:tc>
        <w:tc>
          <w:tcPr>
            <w:tcW w:w="1186" w:type="dxa"/>
            <w:tcBorders>
              <w:bottom w:val="single" w:sz="4" w:space="0" w:color="000000"/>
            </w:tcBorders>
          </w:tcPr>
          <w:p w:rsidR="009F4552" w:rsidRDefault="009F4552" w:rsidP="004E53D0">
            <w:pPr>
              <w:pStyle w:val="TableParagraph"/>
              <w:ind w:left="56" w:right="9"/>
              <w:jc w:val="center"/>
              <w:rPr>
                <w:sz w:val="18"/>
              </w:rPr>
            </w:pPr>
            <w:r>
              <w:rPr>
                <w:spacing w:val="-2"/>
                <w:sz w:val="18"/>
              </w:rPr>
              <w:t>0.135216</w:t>
            </w:r>
          </w:p>
        </w:tc>
        <w:tc>
          <w:tcPr>
            <w:tcW w:w="1232" w:type="dxa"/>
            <w:tcBorders>
              <w:bottom w:val="single" w:sz="4" w:space="0" w:color="000000"/>
            </w:tcBorders>
          </w:tcPr>
          <w:p w:rsidR="009F4552" w:rsidRDefault="009F4552" w:rsidP="004E53D0">
            <w:pPr>
              <w:pStyle w:val="TableParagraph"/>
              <w:ind w:left="59" w:right="59"/>
              <w:jc w:val="center"/>
              <w:rPr>
                <w:sz w:val="18"/>
              </w:rPr>
            </w:pPr>
            <w:r>
              <w:rPr>
                <w:sz w:val="18"/>
              </w:rPr>
              <w:t>-</w:t>
            </w:r>
            <w:r>
              <w:rPr>
                <w:spacing w:val="-2"/>
                <w:sz w:val="18"/>
              </w:rPr>
              <w:t>3.113778</w:t>
            </w:r>
          </w:p>
        </w:tc>
        <w:tc>
          <w:tcPr>
            <w:tcW w:w="780" w:type="dxa"/>
            <w:tcBorders>
              <w:bottom w:val="single" w:sz="4" w:space="0" w:color="000000"/>
              <w:right w:val="single" w:sz="4" w:space="0" w:color="000000"/>
            </w:tcBorders>
          </w:tcPr>
          <w:p w:rsidR="009F4552" w:rsidRDefault="009F4552" w:rsidP="004E53D0">
            <w:pPr>
              <w:pStyle w:val="TableParagraph"/>
              <w:ind w:left="222" w:right="-15"/>
              <w:rPr>
                <w:sz w:val="18"/>
              </w:rPr>
            </w:pPr>
            <w:r>
              <w:rPr>
                <w:spacing w:val="-2"/>
                <w:sz w:val="18"/>
              </w:rPr>
              <w:t>0.0040</w:t>
            </w:r>
          </w:p>
        </w:tc>
      </w:tr>
    </w:tbl>
    <w:p w:rsidR="009F4552" w:rsidRDefault="009F4552" w:rsidP="009F4552">
      <w:pPr>
        <w:pStyle w:val="BodyText"/>
        <w:spacing w:line="276" w:lineRule="auto"/>
        <w:rPr>
          <w:b/>
        </w:rPr>
      </w:pPr>
    </w:p>
    <w:p w:rsidR="009F4552" w:rsidRPr="009F4552" w:rsidRDefault="009F4552" w:rsidP="009F4552">
      <w:pPr>
        <w:pStyle w:val="BodyText"/>
        <w:numPr>
          <w:ilvl w:val="0"/>
          <w:numId w:val="3"/>
        </w:numPr>
        <w:spacing w:line="276" w:lineRule="auto"/>
      </w:pPr>
      <w:r>
        <w:rPr>
          <w:i/>
        </w:rPr>
        <w:t xml:space="preserve">Sales growth </w:t>
      </w:r>
      <w:r>
        <w:t xml:space="preserve">berpengaruh terhadap </w:t>
      </w:r>
      <w:r>
        <w:rPr>
          <w:i/>
        </w:rPr>
        <w:t xml:space="preserve">tax avoidance. </w:t>
      </w:r>
      <w:r>
        <w:t xml:space="preserve">Tabel diatas menunjukan bahwa variabel </w:t>
      </w:r>
      <w:r>
        <w:rPr>
          <w:i/>
        </w:rPr>
        <w:t xml:space="preserve">sales growth </w:t>
      </w:r>
      <w:r>
        <w:t xml:space="preserve">memiliki nilai profitabilitas sebesar 0.0023, nilai tersebut lebih kecil jika dibandingkan dengan tingakat signifikasi (0.05). maka </w:t>
      </w:r>
      <w:r>
        <w:rPr>
          <w:i/>
        </w:rPr>
        <w:t xml:space="preserve">sales growth  </w:t>
      </w:r>
      <w:r>
        <w:t xml:space="preserve">berpengaruh terhadap </w:t>
      </w:r>
      <w:r>
        <w:rPr>
          <w:i/>
        </w:rPr>
        <w:t>tax avoidance.</w:t>
      </w:r>
    </w:p>
    <w:p w:rsidR="009F4552" w:rsidRPr="009F4552" w:rsidRDefault="009F4552" w:rsidP="009F4552">
      <w:pPr>
        <w:pStyle w:val="BodyText"/>
        <w:numPr>
          <w:ilvl w:val="0"/>
          <w:numId w:val="3"/>
        </w:numPr>
        <w:spacing w:line="276" w:lineRule="auto"/>
      </w:pPr>
      <w:r>
        <w:t xml:space="preserve">Kepemilikan institusional tidak berpengaruh terhadap </w:t>
      </w:r>
      <w:r>
        <w:rPr>
          <w:i/>
        </w:rPr>
        <w:t xml:space="preserve">tax avoidance. </w:t>
      </w:r>
      <w:r>
        <w:t>Tabel diatas menunjukan bahwa variabel kepemilikan institusional</w:t>
      </w:r>
      <w:r>
        <w:rPr>
          <w:i/>
        </w:rPr>
        <w:t xml:space="preserve"> </w:t>
      </w:r>
      <w:r>
        <w:t xml:space="preserve">memiliki nilai profitabilitas sebesar 0.6012, nilai tersebut lebih besar jika dibandingkan dengan tingakat signifikasi (0.05). maka kepemilikan institusional tidak berpengaruh terhadap </w:t>
      </w:r>
      <w:r>
        <w:rPr>
          <w:i/>
        </w:rPr>
        <w:t>tax avoidance.</w:t>
      </w:r>
    </w:p>
    <w:p w:rsidR="009F4552" w:rsidRDefault="00045B6E" w:rsidP="009F4552">
      <w:pPr>
        <w:pStyle w:val="BodyText"/>
        <w:spacing w:line="276" w:lineRule="auto"/>
        <w:ind w:left="360"/>
        <w:rPr>
          <w:b/>
        </w:rPr>
      </w:pPr>
      <w:r>
        <w:rPr>
          <w:b/>
          <w:i/>
        </w:rPr>
        <w:t xml:space="preserve">Moderated Regression Analysis </w:t>
      </w:r>
      <w:r>
        <w:rPr>
          <w:b/>
        </w:rPr>
        <w:t xml:space="preserve">(MRA)  </w:t>
      </w:r>
    </w:p>
    <w:p w:rsidR="00045B6E" w:rsidRDefault="00045B6E" w:rsidP="00045B6E">
      <w:pPr>
        <w:pStyle w:val="BodyText"/>
        <w:spacing w:line="276" w:lineRule="auto"/>
        <w:ind w:left="360"/>
        <w:jc w:val="center"/>
        <w:rPr>
          <w:b/>
        </w:rPr>
      </w:pPr>
      <w:r>
        <w:rPr>
          <w:b/>
        </w:rPr>
        <w:t xml:space="preserve">Hasil Uji </w:t>
      </w:r>
      <w:r>
        <w:rPr>
          <w:b/>
          <w:i/>
        </w:rPr>
        <w:t xml:space="preserve">Moderated Analysis </w:t>
      </w:r>
      <w:r>
        <w:rPr>
          <w:b/>
        </w:rPr>
        <w:t xml:space="preserve">(MRA) </w:t>
      </w:r>
    </w:p>
    <w:tbl>
      <w:tblPr>
        <w:tblW w:w="0" w:type="auto"/>
        <w:jc w:val="center"/>
        <w:tblLayout w:type="fixed"/>
        <w:tblCellMar>
          <w:left w:w="0" w:type="dxa"/>
          <w:right w:w="0" w:type="dxa"/>
        </w:tblCellMar>
        <w:tblLook w:val="01E0" w:firstRow="1" w:lastRow="1" w:firstColumn="1" w:lastColumn="1" w:noHBand="0" w:noVBand="0"/>
      </w:tblPr>
      <w:tblGrid>
        <w:gridCol w:w="1808"/>
        <w:gridCol w:w="1530"/>
        <w:gridCol w:w="1186"/>
        <w:gridCol w:w="1232"/>
        <w:gridCol w:w="780"/>
      </w:tblGrid>
      <w:tr w:rsidR="00045B6E" w:rsidTr="004E53D0">
        <w:trPr>
          <w:trHeight w:val="440"/>
          <w:jc w:val="center"/>
        </w:trPr>
        <w:tc>
          <w:tcPr>
            <w:tcW w:w="1808" w:type="dxa"/>
            <w:tcBorders>
              <w:top w:val="single" w:sz="4" w:space="0" w:color="000000"/>
              <w:left w:val="single" w:sz="4" w:space="0" w:color="000000"/>
              <w:bottom w:val="double" w:sz="6" w:space="0" w:color="000000"/>
            </w:tcBorders>
          </w:tcPr>
          <w:p w:rsidR="00045B6E" w:rsidRDefault="00045B6E" w:rsidP="004E53D0">
            <w:pPr>
              <w:pStyle w:val="TableParagraph"/>
              <w:spacing w:before="138"/>
              <w:ind w:left="232"/>
              <w:jc w:val="center"/>
              <w:rPr>
                <w:sz w:val="18"/>
              </w:rPr>
            </w:pPr>
            <w:r>
              <w:rPr>
                <w:spacing w:val="-2"/>
                <w:sz w:val="18"/>
              </w:rPr>
              <w:t>Variable</w:t>
            </w:r>
          </w:p>
        </w:tc>
        <w:tc>
          <w:tcPr>
            <w:tcW w:w="1530" w:type="dxa"/>
            <w:tcBorders>
              <w:top w:val="single" w:sz="4" w:space="0" w:color="000000"/>
              <w:bottom w:val="double" w:sz="6" w:space="0" w:color="000000"/>
            </w:tcBorders>
          </w:tcPr>
          <w:p w:rsidR="00045B6E" w:rsidRDefault="00045B6E" w:rsidP="004E53D0">
            <w:pPr>
              <w:pStyle w:val="TableParagraph"/>
              <w:spacing w:before="138"/>
              <w:ind w:right="213"/>
              <w:jc w:val="right"/>
              <w:rPr>
                <w:sz w:val="18"/>
              </w:rPr>
            </w:pPr>
            <w:r>
              <w:rPr>
                <w:spacing w:val="-2"/>
                <w:sz w:val="18"/>
              </w:rPr>
              <w:t>Coefficient</w:t>
            </w:r>
          </w:p>
        </w:tc>
        <w:tc>
          <w:tcPr>
            <w:tcW w:w="1186" w:type="dxa"/>
            <w:tcBorders>
              <w:top w:val="single" w:sz="4" w:space="0" w:color="000000"/>
              <w:bottom w:val="double" w:sz="6" w:space="0" w:color="000000"/>
            </w:tcBorders>
          </w:tcPr>
          <w:p w:rsidR="00045B6E" w:rsidRDefault="00045B6E" w:rsidP="004E53D0">
            <w:pPr>
              <w:pStyle w:val="TableParagraph"/>
              <w:spacing w:before="138"/>
              <w:ind w:left="56" w:right="32"/>
              <w:jc w:val="center"/>
              <w:rPr>
                <w:sz w:val="18"/>
              </w:rPr>
            </w:pPr>
            <w:r>
              <w:rPr>
                <w:sz w:val="18"/>
              </w:rPr>
              <w:t xml:space="preserve">Std. </w:t>
            </w:r>
            <w:r>
              <w:rPr>
                <w:spacing w:val="-2"/>
                <w:sz w:val="18"/>
              </w:rPr>
              <w:t>Error</w:t>
            </w:r>
          </w:p>
        </w:tc>
        <w:tc>
          <w:tcPr>
            <w:tcW w:w="1232" w:type="dxa"/>
            <w:tcBorders>
              <w:top w:val="single" w:sz="4" w:space="0" w:color="000000"/>
              <w:bottom w:val="double" w:sz="6" w:space="0" w:color="000000"/>
            </w:tcBorders>
          </w:tcPr>
          <w:p w:rsidR="00045B6E" w:rsidRDefault="00045B6E" w:rsidP="004E53D0">
            <w:pPr>
              <w:pStyle w:val="TableParagraph"/>
              <w:spacing w:before="138"/>
              <w:ind w:left="68" w:right="11"/>
              <w:jc w:val="center"/>
              <w:rPr>
                <w:sz w:val="18"/>
              </w:rPr>
            </w:pPr>
            <w:r>
              <w:rPr>
                <w:sz w:val="18"/>
              </w:rPr>
              <w:t>t-</w:t>
            </w:r>
            <w:r>
              <w:rPr>
                <w:spacing w:val="-2"/>
                <w:sz w:val="18"/>
              </w:rPr>
              <w:t>Statistic</w:t>
            </w:r>
          </w:p>
        </w:tc>
        <w:tc>
          <w:tcPr>
            <w:tcW w:w="780" w:type="dxa"/>
            <w:tcBorders>
              <w:top w:val="single" w:sz="4" w:space="0" w:color="000000"/>
              <w:bottom w:val="double" w:sz="6" w:space="0" w:color="000000"/>
              <w:right w:val="single" w:sz="4" w:space="0" w:color="000000"/>
            </w:tcBorders>
          </w:tcPr>
          <w:p w:rsidR="00045B6E" w:rsidRDefault="00045B6E" w:rsidP="004E53D0">
            <w:pPr>
              <w:pStyle w:val="TableParagraph"/>
              <w:spacing w:before="138"/>
              <w:ind w:left="246"/>
              <w:rPr>
                <w:sz w:val="18"/>
              </w:rPr>
            </w:pPr>
            <w:r>
              <w:rPr>
                <w:spacing w:val="-2"/>
                <w:sz w:val="18"/>
              </w:rPr>
              <w:t>Prob.</w:t>
            </w:r>
          </w:p>
        </w:tc>
      </w:tr>
      <w:tr w:rsidR="00045B6E" w:rsidTr="004E53D0">
        <w:trPr>
          <w:trHeight w:val="320"/>
          <w:jc w:val="center"/>
        </w:trPr>
        <w:tc>
          <w:tcPr>
            <w:tcW w:w="1808" w:type="dxa"/>
            <w:tcBorders>
              <w:top w:val="double" w:sz="6" w:space="0" w:color="000000"/>
              <w:left w:val="single" w:sz="4" w:space="0" w:color="000000"/>
            </w:tcBorders>
          </w:tcPr>
          <w:p w:rsidR="00045B6E" w:rsidRDefault="00045B6E" w:rsidP="004E53D0">
            <w:pPr>
              <w:pStyle w:val="TableParagraph"/>
              <w:spacing w:before="104" w:line="196" w:lineRule="exact"/>
              <w:ind w:left="232" w:right="3"/>
              <w:jc w:val="center"/>
              <w:rPr>
                <w:sz w:val="18"/>
              </w:rPr>
            </w:pPr>
            <w:r>
              <w:rPr>
                <w:spacing w:val="-10"/>
                <w:sz w:val="18"/>
              </w:rPr>
              <w:t>C</w:t>
            </w:r>
          </w:p>
        </w:tc>
        <w:tc>
          <w:tcPr>
            <w:tcW w:w="1530" w:type="dxa"/>
            <w:tcBorders>
              <w:top w:val="double" w:sz="6" w:space="0" w:color="000000"/>
            </w:tcBorders>
          </w:tcPr>
          <w:p w:rsidR="00045B6E" w:rsidRDefault="00045B6E" w:rsidP="004E53D0">
            <w:pPr>
              <w:pStyle w:val="TableParagraph"/>
              <w:spacing w:before="104" w:line="196" w:lineRule="exact"/>
              <w:ind w:right="209"/>
              <w:jc w:val="right"/>
              <w:rPr>
                <w:sz w:val="18"/>
              </w:rPr>
            </w:pPr>
            <w:r>
              <w:rPr>
                <w:sz w:val="18"/>
              </w:rPr>
              <w:t>-</w:t>
            </w:r>
            <w:r>
              <w:rPr>
                <w:spacing w:val="-2"/>
                <w:sz w:val="18"/>
              </w:rPr>
              <w:t>1.243603</w:t>
            </w:r>
          </w:p>
        </w:tc>
        <w:tc>
          <w:tcPr>
            <w:tcW w:w="1186" w:type="dxa"/>
            <w:tcBorders>
              <w:top w:val="double" w:sz="6" w:space="0" w:color="000000"/>
            </w:tcBorders>
          </w:tcPr>
          <w:p w:rsidR="00045B6E" w:rsidRDefault="00045B6E" w:rsidP="004E53D0">
            <w:pPr>
              <w:pStyle w:val="TableParagraph"/>
              <w:spacing w:before="104" w:line="196" w:lineRule="exact"/>
              <w:ind w:left="56" w:right="9"/>
              <w:jc w:val="center"/>
              <w:rPr>
                <w:sz w:val="18"/>
              </w:rPr>
            </w:pPr>
            <w:r>
              <w:rPr>
                <w:spacing w:val="-2"/>
                <w:sz w:val="18"/>
              </w:rPr>
              <w:t>0.362002</w:t>
            </w:r>
          </w:p>
        </w:tc>
        <w:tc>
          <w:tcPr>
            <w:tcW w:w="1232" w:type="dxa"/>
            <w:tcBorders>
              <w:top w:val="double" w:sz="6" w:space="0" w:color="000000"/>
            </w:tcBorders>
          </w:tcPr>
          <w:p w:rsidR="00045B6E" w:rsidRDefault="00045B6E" w:rsidP="004E53D0">
            <w:pPr>
              <w:pStyle w:val="TableParagraph"/>
              <w:spacing w:before="104" w:line="196" w:lineRule="exact"/>
              <w:ind w:left="59" w:right="70"/>
              <w:jc w:val="center"/>
              <w:rPr>
                <w:sz w:val="18"/>
              </w:rPr>
            </w:pPr>
            <w:r>
              <w:rPr>
                <w:sz w:val="18"/>
              </w:rPr>
              <w:t>-</w:t>
            </w:r>
            <w:r>
              <w:rPr>
                <w:spacing w:val="-2"/>
                <w:sz w:val="18"/>
              </w:rPr>
              <w:t>3.435349</w:t>
            </w:r>
          </w:p>
        </w:tc>
        <w:tc>
          <w:tcPr>
            <w:tcW w:w="780" w:type="dxa"/>
            <w:tcBorders>
              <w:top w:val="double" w:sz="6" w:space="0" w:color="000000"/>
              <w:right w:val="single" w:sz="4" w:space="0" w:color="000000"/>
            </w:tcBorders>
          </w:tcPr>
          <w:p w:rsidR="00045B6E" w:rsidRDefault="00045B6E" w:rsidP="004E53D0">
            <w:pPr>
              <w:pStyle w:val="TableParagraph"/>
              <w:spacing w:before="104" w:line="196" w:lineRule="exact"/>
              <w:ind w:left="222" w:right="-15"/>
              <w:rPr>
                <w:sz w:val="18"/>
              </w:rPr>
            </w:pPr>
            <w:r>
              <w:rPr>
                <w:spacing w:val="-2"/>
                <w:sz w:val="18"/>
              </w:rPr>
              <w:t>0.0018</w:t>
            </w:r>
          </w:p>
        </w:tc>
      </w:tr>
      <w:tr w:rsidR="00045B6E" w:rsidTr="004E53D0">
        <w:trPr>
          <w:trHeight w:val="223"/>
          <w:jc w:val="center"/>
        </w:trPr>
        <w:tc>
          <w:tcPr>
            <w:tcW w:w="1808" w:type="dxa"/>
            <w:tcBorders>
              <w:left w:val="single" w:sz="4" w:space="0" w:color="000000"/>
            </w:tcBorders>
          </w:tcPr>
          <w:p w:rsidR="00045B6E" w:rsidRDefault="00045B6E" w:rsidP="004E53D0">
            <w:pPr>
              <w:pStyle w:val="TableParagraph"/>
              <w:spacing w:before="4" w:line="198" w:lineRule="exact"/>
              <w:ind w:left="232" w:right="11"/>
              <w:jc w:val="center"/>
              <w:rPr>
                <w:sz w:val="18"/>
              </w:rPr>
            </w:pPr>
            <w:r>
              <w:rPr>
                <w:spacing w:val="-5"/>
                <w:sz w:val="18"/>
              </w:rPr>
              <w:t>X1</w:t>
            </w:r>
          </w:p>
        </w:tc>
        <w:tc>
          <w:tcPr>
            <w:tcW w:w="1530" w:type="dxa"/>
          </w:tcPr>
          <w:p w:rsidR="00045B6E" w:rsidRDefault="00045B6E" w:rsidP="004E53D0">
            <w:pPr>
              <w:pStyle w:val="TableParagraph"/>
              <w:spacing w:before="4" w:line="198" w:lineRule="exact"/>
              <w:ind w:right="209"/>
              <w:jc w:val="right"/>
              <w:rPr>
                <w:sz w:val="18"/>
              </w:rPr>
            </w:pPr>
            <w:r>
              <w:rPr>
                <w:sz w:val="18"/>
              </w:rPr>
              <w:t>-</w:t>
            </w:r>
            <w:r>
              <w:rPr>
                <w:spacing w:val="-2"/>
                <w:sz w:val="18"/>
              </w:rPr>
              <w:t>0.079648</w:t>
            </w:r>
          </w:p>
        </w:tc>
        <w:tc>
          <w:tcPr>
            <w:tcW w:w="1186" w:type="dxa"/>
          </w:tcPr>
          <w:p w:rsidR="00045B6E" w:rsidRDefault="00045B6E" w:rsidP="004E53D0">
            <w:pPr>
              <w:pStyle w:val="TableParagraph"/>
              <w:spacing w:before="4" w:line="198" w:lineRule="exact"/>
              <w:ind w:left="56" w:right="9"/>
              <w:jc w:val="center"/>
              <w:rPr>
                <w:sz w:val="18"/>
              </w:rPr>
            </w:pPr>
            <w:r>
              <w:rPr>
                <w:spacing w:val="-2"/>
                <w:sz w:val="18"/>
              </w:rPr>
              <w:t>0.496096</w:t>
            </w:r>
          </w:p>
        </w:tc>
        <w:tc>
          <w:tcPr>
            <w:tcW w:w="1232" w:type="dxa"/>
          </w:tcPr>
          <w:p w:rsidR="00045B6E" w:rsidRDefault="00045B6E" w:rsidP="004E53D0">
            <w:pPr>
              <w:pStyle w:val="TableParagraph"/>
              <w:spacing w:before="4" w:line="198" w:lineRule="exact"/>
              <w:ind w:left="59" w:right="70"/>
              <w:jc w:val="center"/>
              <w:rPr>
                <w:sz w:val="18"/>
              </w:rPr>
            </w:pPr>
            <w:r>
              <w:rPr>
                <w:sz w:val="18"/>
              </w:rPr>
              <w:t>-</w:t>
            </w:r>
            <w:r>
              <w:rPr>
                <w:spacing w:val="-2"/>
                <w:sz w:val="18"/>
              </w:rPr>
              <w:t>0.160550</w:t>
            </w:r>
          </w:p>
        </w:tc>
        <w:tc>
          <w:tcPr>
            <w:tcW w:w="780" w:type="dxa"/>
            <w:tcBorders>
              <w:right w:val="single" w:sz="4" w:space="0" w:color="000000"/>
            </w:tcBorders>
          </w:tcPr>
          <w:p w:rsidR="00045B6E" w:rsidRDefault="00045B6E" w:rsidP="004E53D0">
            <w:pPr>
              <w:pStyle w:val="TableParagraph"/>
              <w:spacing w:before="4" w:line="198" w:lineRule="exact"/>
              <w:ind w:left="222" w:right="-15"/>
              <w:rPr>
                <w:sz w:val="18"/>
              </w:rPr>
            </w:pPr>
            <w:r>
              <w:rPr>
                <w:spacing w:val="-2"/>
                <w:sz w:val="18"/>
              </w:rPr>
              <w:t>0.8736</w:t>
            </w:r>
          </w:p>
        </w:tc>
      </w:tr>
      <w:tr w:rsidR="00045B6E" w:rsidTr="004E53D0">
        <w:trPr>
          <w:trHeight w:val="225"/>
          <w:jc w:val="center"/>
        </w:trPr>
        <w:tc>
          <w:tcPr>
            <w:tcW w:w="1808" w:type="dxa"/>
            <w:tcBorders>
              <w:left w:val="single" w:sz="4" w:space="0" w:color="000000"/>
            </w:tcBorders>
          </w:tcPr>
          <w:p w:rsidR="00045B6E" w:rsidRDefault="00045B6E" w:rsidP="004E53D0">
            <w:pPr>
              <w:pStyle w:val="TableParagraph"/>
              <w:spacing w:line="198" w:lineRule="exact"/>
              <w:ind w:left="232" w:right="11"/>
              <w:jc w:val="center"/>
              <w:rPr>
                <w:sz w:val="18"/>
              </w:rPr>
            </w:pPr>
            <w:r>
              <w:rPr>
                <w:spacing w:val="-5"/>
                <w:sz w:val="18"/>
              </w:rPr>
              <w:t>X2</w:t>
            </w:r>
          </w:p>
        </w:tc>
        <w:tc>
          <w:tcPr>
            <w:tcW w:w="1530" w:type="dxa"/>
          </w:tcPr>
          <w:p w:rsidR="00045B6E" w:rsidRDefault="00045B6E" w:rsidP="004E53D0">
            <w:pPr>
              <w:pStyle w:val="TableParagraph"/>
              <w:spacing w:line="198" w:lineRule="exact"/>
              <w:ind w:right="209"/>
              <w:jc w:val="right"/>
              <w:rPr>
                <w:sz w:val="18"/>
              </w:rPr>
            </w:pPr>
            <w:r>
              <w:rPr>
                <w:spacing w:val="-2"/>
                <w:sz w:val="18"/>
              </w:rPr>
              <w:t>0.076678</w:t>
            </w:r>
          </w:p>
        </w:tc>
        <w:tc>
          <w:tcPr>
            <w:tcW w:w="1186" w:type="dxa"/>
          </w:tcPr>
          <w:p w:rsidR="00045B6E" w:rsidRDefault="00045B6E" w:rsidP="004E53D0">
            <w:pPr>
              <w:pStyle w:val="TableParagraph"/>
              <w:spacing w:line="198" w:lineRule="exact"/>
              <w:ind w:left="56" w:right="9"/>
              <w:jc w:val="center"/>
              <w:rPr>
                <w:sz w:val="18"/>
              </w:rPr>
            </w:pPr>
            <w:r>
              <w:rPr>
                <w:spacing w:val="-2"/>
                <w:sz w:val="18"/>
              </w:rPr>
              <w:t>0.639005</w:t>
            </w:r>
          </w:p>
        </w:tc>
        <w:tc>
          <w:tcPr>
            <w:tcW w:w="1232" w:type="dxa"/>
          </w:tcPr>
          <w:p w:rsidR="00045B6E" w:rsidRDefault="00045B6E" w:rsidP="004E53D0">
            <w:pPr>
              <w:pStyle w:val="TableParagraph"/>
              <w:spacing w:line="198" w:lineRule="exact"/>
              <w:ind w:left="70" w:right="11"/>
              <w:jc w:val="center"/>
              <w:rPr>
                <w:sz w:val="18"/>
              </w:rPr>
            </w:pPr>
            <w:r>
              <w:rPr>
                <w:spacing w:val="-2"/>
                <w:sz w:val="18"/>
              </w:rPr>
              <w:t>0.119996</w:t>
            </w:r>
          </w:p>
        </w:tc>
        <w:tc>
          <w:tcPr>
            <w:tcW w:w="780" w:type="dxa"/>
            <w:tcBorders>
              <w:right w:val="single" w:sz="4" w:space="0" w:color="000000"/>
            </w:tcBorders>
          </w:tcPr>
          <w:p w:rsidR="00045B6E" w:rsidRDefault="00045B6E" w:rsidP="004E53D0">
            <w:pPr>
              <w:pStyle w:val="TableParagraph"/>
              <w:spacing w:line="198" w:lineRule="exact"/>
              <w:ind w:left="222" w:right="-15"/>
              <w:rPr>
                <w:sz w:val="18"/>
              </w:rPr>
            </w:pPr>
            <w:r>
              <w:rPr>
                <w:spacing w:val="-2"/>
                <w:sz w:val="18"/>
              </w:rPr>
              <w:t>0.9053</w:t>
            </w:r>
          </w:p>
        </w:tc>
      </w:tr>
      <w:tr w:rsidR="00045B6E" w:rsidTr="004E53D0">
        <w:trPr>
          <w:trHeight w:val="225"/>
          <w:jc w:val="center"/>
        </w:trPr>
        <w:tc>
          <w:tcPr>
            <w:tcW w:w="1808" w:type="dxa"/>
            <w:tcBorders>
              <w:left w:val="single" w:sz="4" w:space="0" w:color="000000"/>
            </w:tcBorders>
          </w:tcPr>
          <w:p w:rsidR="00045B6E" w:rsidRDefault="00045B6E" w:rsidP="004E53D0">
            <w:pPr>
              <w:pStyle w:val="TableParagraph"/>
              <w:spacing w:line="198" w:lineRule="exact"/>
              <w:ind w:left="232" w:right="4"/>
              <w:jc w:val="center"/>
              <w:rPr>
                <w:sz w:val="18"/>
              </w:rPr>
            </w:pPr>
            <w:r>
              <w:rPr>
                <w:spacing w:val="-10"/>
                <w:sz w:val="18"/>
              </w:rPr>
              <w:t>Z</w:t>
            </w:r>
          </w:p>
        </w:tc>
        <w:tc>
          <w:tcPr>
            <w:tcW w:w="1530" w:type="dxa"/>
          </w:tcPr>
          <w:p w:rsidR="00045B6E" w:rsidRDefault="00045B6E" w:rsidP="004E53D0">
            <w:pPr>
              <w:pStyle w:val="TableParagraph"/>
              <w:spacing w:line="198" w:lineRule="exact"/>
              <w:ind w:right="209"/>
              <w:jc w:val="right"/>
              <w:rPr>
                <w:sz w:val="18"/>
              </w:rPr>
            </w:pPr>
            <w:r>
              <w:rPr>
                <w:sz w:val="18"/>
              </w:rPr>
              <w:t>-</w:t>
            </w:r>
            <w:r>
              <w:rPr>
                <w:spacing w:val="-2"/>
                <w:sz w:val="18"/>
              </w:rPr>
              <w:t>0.130127</w:t>
            </w:r>
          </w:p>
        </w:tc>
        <w:tc>
          <w:tcPr>
            <w:tcW w:w="1186" w:type="dxa"/>
          </w:tcPr>
          <w:p w:rsidR="00045B6E" w:rsidRDefault="00045B6E" w:rsidP="004E53D0">
            <w:pPr>
              <w:pStyle w:val="TableParagraph"/>
              <w:spacing w:line="198" w:lineRule="exact"/>
              <w:ind w:left="56" w:right="9"/>
              <w:jc w:val="center"/>
              <w:rPr>
                <w:sz w:val="18"/>
              </w:rPr>
            </w:pPr>
            <w:r>
              <w:rPr>
                <w:spacing w:val="-2"/>
                <w:sz w:val="18"/>
              </w:rPr>
              <w:t>0.866044</w:t>
            </w:r>
          </w:p>
        </w:tc>
        <w:tc>
          <w:tcPr>
            <w:tcW w:w="1232" w:type="dxa"/>
          </w:tcPr>
          <w:p w:rsidR="00045B6E" w:rsidRDefault="00045B6E" w:rsidP="004E53D0">
            <w:pPr>
              <w:pStyle w:val="TableParagraph"/>
              <w:spacing w:line="198" w:lineRule="exact"/>
              <w:ind w:left="59" w:right="70"/>
              <w:jc w:val="center"/>
              <w:rPr>
                <w:sz w:val="18"/>
              </w:rPr>
            </w:pPr>
            <w:r>
              <w:rPr>
                <w:sz w:val="18"/>
              </w:rPr>
              <w:t>-</w:t>
            </w:r>
            <w:r>
              <w:rPr>
                <w:spacing w:val="-2"/>
                <w:sz w:val="18"/>
              </w:rPr>
              <w:t>0.150255</w:t>
            </w:r>
          </w:p>
        </w:tc>
        <w:tc>
          <w:tcPr>
            <w:tcW w:w="780" w:type="dxa"/>
            <w:tcBorders>
              <w:right w:val="single" w:sz="4" w:space="0" w:color="000000"/>
            </w:tcBorders>
          </w:tcPr>
          <w:p w:rsidR="00045B6E" w:rsidRDefault="00045B6E" w:rsidP="004E53D0">
            <w:pPr>
              <w:pStyle w:val="TableParagraph"/>
              <w:spacing w:line="198" w:lineRule="exact"/>
              <w:ind w:left="222" w:right="-15"/>
              <w:rPr>
                <w:sz w:val="18"/>
              </w:rPr>
            </w:pPr>
            <w:r>
              <w:rPr>
                <w:spacing w:val="-2"/>
                <w:sz w:val="18"/>
              </w:rPr>
              <w:t>0.8816</w:t>
            </w:r>
          </w:p>
        </w:tc>
      </w:tr>
      <w:tr w:rsidR="00045B6E" w:rsidTr="004E53D0">
        <w:trPr>
          <w:trHeight w:val="225"/>
          <w:jc w:val="center"/>
        </w:trPr>
        <w:tc>
          <w:tcPr>
            <w:tcW w:w="1808" w:type="dxa"/>
            <w:tcBorders>
              <w:left w:val="single" w:sz="4" w:space="0" w:color="000000"/>
            </w:tcBorders>
          </w:tcPr>
          <w:p w:rsidR="00045B6E" w:rsidRDefault="00045B6E" w:rsidP="004E53D0">
            <w:pPr>
              <w:pStyle w:val="TableParagraph"/>
              <w:spacing w:line="198" w:lineRule="exact"/>
              <w:ind w:left="232" w:right="9"/>
              <w:jc w:val="center"/>
              <w:rPr>
                <w:sz w:val="18"/>
              </w:rPr>
            </w:pPr>
            <w:r>
              <w:rPr>
                <w:spacing w:val="-4"/>
                <w:sz w:val="18"/>
              </w:rPr>
              <w:t>X1_Z</w:t>
            </w:r>
          </w:p>
        </w:tc>
        <w:tc>
          <w:tcPr>
            <w:tcW w:w="1530" w:type="dxa"/>
          </w:tcPr>
          <w:p w:rsidR="00045B6E" w:rsidRDefault="00045B6E" w:rsidP="004E53D0">
            <w:pPr>
              <w:pStyle w:val="TableParagraph"/>
              <w:spacing w:line="198" w:lineRule="exact"/>
              <w:ind w:right="209"/>
              <w:jc w:val="right"/>
              <w:rPr>
                <w:sz w:val="18"/>
              </w:rPr>
            </w:pPr>
            <w:r>
              <w:rPr>
                <w:sz w:val="18"/>
              </w:rPr>
              <w:t>-</w:t>
            </w:r>
            <w:r>
              <w:rPr>
                <w:spacing w:val="-2"/>
                <w:sz w:val="18"/>
              </w:rPr>
              <w:t>1.376643</w:t>
            </w:r>
          </w:p>
        </w:tc>
        <w:tc>
          <w:tcPr>
            <w:tcW w:w="1186" w:type="dxa"/>
          </w:tcPr>
          <w:p w:rsidR="00045B6E" w:rsidRDefault="00045B6E" w:rsidP="004E53D0">
            <w:pPr>
              <w:pStyle w:val="TableParagraph"/>
              <w:spacing w:line="198" w:lineRule="exact"/>
              <w:ind w:left="56" w:right="9"/>
              <w:jc w:val="center"/>
              <w:rPr>
                <w:sz w:val="18"/>
              </w:rPr>
            </w:pPr>
            <w:r>
              <w:rPr>
                <w:spacing w:val="-2"/>
                <w:sz w:val="18"/>
              </w:rPr>
              <w:t>1.274375</w:t>
            </w:r>
          </w:p>
        </w:tc>
        <w:tc>
          <w:tcPr>
            <w:tcW w:w="1232" w:type="dxa"/>
          </w:tcPr>
          <w:p w:rsidR="00045B6E" w:rsidRDefault="00045B6E" w:rsidP="004E53D0">
            <w:pPr>
              <w:pStyle w:val="TableParagraph"/>
              <w:spacing w:line="198" w:lineRule="exact"/>
              <w:ind w:left="59" w:right="70"/>
              <w:jc w:val="center"/>
              <w:rPr>
                <w:sz w:val="18"/>
              </w:rPr>
            </w:pPr>
            <w:r>
              <w:rPr>
                <w:sz w:val="18"/>
              </w:rPr>
              <w:t>-</w:t>
            </w:r>
            <w:r>
              <w:rPr>
                <w:spacing w:val="-2"/>
                <w:sz w:val="18"/>
              </w:rPr>
              <w:t>1.080250</w:t>
            </w:r>
          </w:p>
        </w:tc>
        <w:tc>
          <w:tcPr>
            <w:tcW w:w="780" w:type="dxa"/>
            <w:tcBorders>
              <w:right w:val="single" w:sz="4" w:space="0" w:color="000000"/>
            </w:tcBorders>
          </w:tcPr>
          <w:p w:rsidR="00045B6E" w:rsidRDefault="00045B6E" w:rsidP="004E53D0">
            <w:pPr>
              <w:pStyle w:val="TableParagraph"/>
              <w:spacing w:line="198" w:lineRule="exact"/>
              <w:ind w:left="222" w:right="-15"/>
              <w:rPr>
                <w:sz w:val="18"/>
              </w:rPr>
            </w:pPr>
            <w:r>
              <w:rPr>
                <w:spacing w:val="-2"/>
                <w:sz w:val="18"/>
              </w:rPr>
              <w:t>0.2889</w:t>
            </w:r>
          </w:p>
        </w:tc>
      </w:tr>
      <w:tr w:rsidR="00045B6E" w:rsidTr="004E53D0">
        <w:trPr>
          <w:trHeight w:val="219"/>
          <w:jc w:val="center"/>
        </w:trPr>
        <w:tc>
          <w:tcPr>
            <w:tcW w:w="1808" w:type="dxa"/>
            <w:tcBorders>
              <w:left w:val="single" w:sz="4" w:space="0" w:color="000000"/>
              <w:bottom w:val="single" w:sz="4" w:space="0" w:color="000000"/>
            </w:tcBorders>
          </w:tcPr>
          <w:p w:rsidR="00045B6E" w:rsidRDefault="00045B6E" w:rsidP="004E53D0">
            <w:pPr>
              <w:pStyle w:val="TableParagraph"/>
              <w:spacing w:line="192" w:lineRule="exact"/>
              <w:ind w:left="232" w:right="9"/>
              <w:jc w:val="center"/>
              <w:rPr>
                <w:sz w:val="18"/>
              </w:rPr>
            </w:pPr>
            <w:r>
              <w:rPr>
                <w:spacing w:val="-4"/>
                <w:sz w:val="18"/>
              </w:rPr>
              <w:t>X2_Z</w:t>
            </w:r>
          </w:p>
        </w:tc>
        <w:tc>
          <w:tcPr>
            <w:tcW w:w="1530" w:type="dxa"/>
            <w:tcBorders>
              <w:bottom w:val="single" w:sz="4" w:space="0" w:color="000000"/>
            </w:tcBorders>
          </w:tcPr>
          <w:p w:rsidR="00045B6E" w:rsidRDefault="00045B6E" w:rsidP="004E53D0">
            <w:pPr>
              <w:pStyle w:val="TableParagraph"/>
              <w:spacing w:line="192" w:lineRule="exact"/>
              <w:ind w:right="209"/>
              <w:jc w:val="right"/>
              <w:rPr>
                <w:sz w:val="18"/>
              </w:rPr>
            </w:pPr>
            <w:r>
              <w:rPr>
                <w:sz w:val="18"/>
              </w:rPr>
              <w:t>-</w:t>
            </w:r>
            <w:r>
              <w:rPr>
                <w:spacing w:val="-2"/>
                <w:sz w:val="18"/>
              </w:rPr>
              <w:t>0.367422</w:t>
            </w:r>
          </w:p>
        </w:tc>
        <w:tc>
          <w:tcPr>
            <w:tcW w:w="1186" w:type="dxa"/>
            <w:tcBorders>
              <w:bottom w:val="single" w:sz="4" w:space="0" w:color="000000"/>
            </w:tcBorders>
          </w:tcPr>
          <w:p w:rsidR="00045B6E" w:rsidRDefault="00045B6E" w:rsidP="004E53D0">
            <w:pPr>
              <w:pStyle w:val="TableParagraph"/>
              <w:spacing w:line="192" w:lineRule="exact"/>
              <w:ind w:left="56" w:right="9"/>
              <w:jc w:val="center"/>
              <w:rPr>
                <w:sz w:val="18"/>
              </w:rPr>
            </w:pPr>
            <w:r>
              <w:rPr>
                <w:spacing w:val="-2"/>
                <w:sz w:val="18"/>
              </w:rPr>
              <w:t>1.650067</w:t>
            </w:r>
          </w:p>
        </w:tc>
        <w:tc>
          <w:tcPr>
            <w:tcW w:w="1232" w:type="dxa"/>
            <w:tcBorders>
              <w:bottom w:val="single" w:sz="4" w:space="0" w:color="000000"/>
            </w:tcBorders>
          </w:tcPr>
          <w:p w:rsidR="00045B6E" w:rsidRDefault="00045B6E" w:rsidP="004E53D0">
            <w:pPr>
              <w:pStyle w:val="TableParagraph"/>
              <w:spacing w:line="192" w:lineRule="exact"/>
              <w:ind w:left="59" w:right="70"/>
              <w:jc w:val="center"/>
              <w:rPr>
                <w:sz w:val="18"/>
              </w:rPr>
            </w:pPr>
            <w:r>
              <w:rPr>
                <w:sz w:val="18"/>
              </w:rPr>
              <w:t>-</w:t>
            </w:r>
            <w:r>
              <w:rPr>
                <w:spacing w:val="-2"/>
                <w:sz w:val="18"/>
              </w:rPr>
              <w:t>0.222671</w:t>
            </w:r>
          </w:p>
        </w:tc>
        <w:tc>
          <w:tcPr>
            <w:tcW w:w="780" w:type="dxa"/>
            <w:tcBorders>
              <w:bottom w:val="single" w:sz="4" w:space="0" w:color="000000"/>
              <w:right w:val="single" w:sz="4" w:space="0" w:color="000000"/>
            </w:tcBorders>
          </w:tcPr>
          <w:p w:rsidR="00045B6E" w:rsidRDefault="00045B6E" w:rsidP="004E53D0">
            <w:pPr>
              <w:pStyle w:val="TableParagraph"/>
              <w:spacing w:line="192" w:lineRule="exact"/>
              <w:ind w:left="222" w:right="-15"/>
              <w:rPr>
                <w:sz w:val="18"/>
              </w:rPr>
            </w:pPr>
            <w:r>
              <w:rPr>
                <w:spacing w:val="-2"/>
                <w:sz w:val="18"/>
              </w:rPr>
              <w:t>0.8254</w:t>
            </w:r>
          </w:p>
        </w:tc>
      </w:tr>
    </w:tbl>
    <w:p w:rsidR="00045B6E" w:rsidRDefault="00045B6E" w:rsidP="00341977">
      <w:pPr>
        <w:pStyle w:val="BodyText"/>
        <w:spacing w:line="276" w:lineRule="auto"/>
        <w:ind w:left="360"/>
        <w:rPr>
          <w:b/>
        </w:rPr>
      </w:pPr>
    </w:p>
    <w:p w:rsidR="00341977" w:rsidRPr="00341977" w:rsidRDefault="00341977" w:rsidP="00705EBA">
      <w:pPr>
        <w:pStyle w:val="BodyText"/>
        <w:spacing w:line="276" w:lineRule="auto"/>
        <w:ind w:left="284" w:firstLine="567"/>
        <w:jc w:val="both"/>
      </w:pPr>
      <w:r>
        <w:t xml:space="preserve">Hasil output </w:t>
      </w:r>
      <w:r>
        <w:rPr>
          <w:i/>
        </w:rPr>
        <w:t xml:space="preserve">Moderated Regresssion Analysis </w:t>
      </w:r>
      <w:r>
        <w:t xml:space="preserve">di atas menunjukan bahwa </w:t>
      </w:r>
      <w:r>
        <w:rPr>
          <w:i/>
        </w:rPr>
        <w:t xml:space="preserve">leverage </w:t>
      </w:r>
      <w:r>
        <w:t xml:space="preserve">tidak dapat memoderasi antara </w:t>
      </w:r>
      <w:r>
        <w:rPr>
          <w:i/>
        </w:rPr>
        <w:t xml:space="preserve">sales growth </w:t>
      </w:r>
      <w:r>
        <w:t xml:space="preserve">dengan </w:t>
      </w:r>
      <w:r>
        <w:rPr>
          <w:i/>
        </w:rPr>
        <w:t>tax avoidance</w:t>
      </w:r>
      <w:r>
        <w:t xml:space="preserve"> dikarenakan niali Probability sebesar 0.2889 lebih besar dari taraf signifikan 0.05. Sedangkan </w:t>
      </w:r>
      <w:r>
        <w:rPr>
          <w:i/>
        </w:rPr>
        <w:t xml:space="preserve">leverage </w:t>
      </w:r>
      <w:r>
        <w:t xml:space="preserve">tidak dapat memoderasi antara kepemilikan institusional dengan </w:t>
      </w:r>
      <w:r>
        <w:rPr>
          <w:i/>
        </w:rPr>
        <w:t>tax avoidance</w:t>
      </w:r>
      <w:r>
        <w:t xml:space="preserve"> dikarenakan niali Probability sebesar 0.8254 lebih besar dari taraf signifikan 0.05.</w:t>
      </w:r>
    </w:p>
    <w:p w:rsidR="00045B6E" w:rsidRPr="00045B6E" w:rsidRDefault="00045B6E" w:rsidP="00341977">
      <w:pPr>
        <w:pStyle w:val="BodyText"/>
        <w:spacing w:line="276" w:lineRule="auto"/>
        <w:ind w:left="360"/>
        <w:jc w:val="both"/>
        <w:rPr>
          <w:b/>
        </w:rPr>
      </w:pPr>
    </w:p>
    <w:p w:rsidR="00186A17" w:rsidRDefault="00473319">
      <w:pPr>
        <w:pStyle w:val="Heading1"/>
        <w:numPr>
          <w:ilvl w:val="0"/>
          <w:numId w:val="1"/>
        </w:numPr>
        <w:tabs>
          <w:tab w:val="left" w:pos="426"/>
        </w:tabs>
        <w:ind w:left="425" w:hanging="326"/>
      </w:pPr>
      <w:r>
        <w:t>KESIMPULAN</w:t>
      </w:r>
    </w:p>
    <w:p w:rsidR="00186A17" w:rsidRPr="00341977" w:rsidRDefault="00341977" w:rsidP="00341977">
      <w:pPr>
        <w:pStyle w:val="BodyText"/>
        <w:spacing w:line="276" w:lineRule="auto"/>
        <w:ind w:left="100" w:right="114"/>
        <w:jc w:val="both"/>
        <w:rPr>
          <w:i/>
        </w:rPr>
      </w:pPr>
      <w:r>
        <w:t xml:space="preserve">Berdasarkan pembahasan pada bagian sebelumnya, dapat disimpulkan pahwa </w:t>
      </w:r>
      <w:r>
        <w:rPr>
          <w:i/>
        </w:rPr>
        <w:t xml:space="preserve">sales growth </w:t>
      </w:r>
      <w:r>
        <w:t xml:space="preserve">dan kepemilikan institusioal berpengaruh terhadap </w:t>
      </w:r>
      <w:r>
        <w:rPr>
          <w:i/>
        </w:rPr>
        <w:t xml:space="preserve">tax avoidance, sales growth </w:t>
      </w:r>
      <w:r>
        <w:t xml:space="preserve">berpengaruh terhadap </w:t>
      </w:r>
      <w:r>
        <w:rPr>
          <w:i/>
        </w:rPr>
        <w:t xml:space="preserve">tax avoidance, </w:t>
      </w:r>
      <w:r>
        <w:t xml:space="preserve">kepemilikan institusional tidak berpengaruh terhadap </w:t>
      </w:r>
      <w:r>
        <w:rPr>
          <w:i/>
        </w:rPr>
        <w:t xml:space="preserve">tax avoidance, leverage </w:t>
      </w:r>
      <w:r>
        <w:t xml:space="preserve">tidak dapat </w:t>
      </w:r>
      <w:r>
        <w:lastRenderedPageBreak/>
        <w:t xml:space="preserve">memoderasi antara </w:t>
      </w:r>
      <w:r>
        <w:rPr>
          <w:i/>
        </w:rPr>
        <w:t xml:space="preserve">sales growth </w:t>
      </w:r>
      <w:r>
        <w:t xml:space="preserve">dengan </w:t>
      </w:r>
      <w:r>
        <w:rPr>
          <w:i/>
        </w:rPr>
        <w:t xml:space="preserve">tax avoidance, leverage </w:t>
      </w:r>
      <w:r>
        <w:t xml:space="preserve"> tidak dapat memoderasi antara </w:t>
      </w:r>
      <w:r>
        <w:rPr>
          <w:i/>
        </w:rPr>
        <w:t xml:space="preserve">sales growth </w:t>
      </w:r>
      <w:r>
        <w:t xml:space="preserve">dnegan </w:t>
      </w:r>
      <w:r>
        <w:rPr>
          <w:i/>
        </w:rPr>
        <w:t>tax avoidance.</w:t>
      </w:r>
    </w:p>
    <w:p w:rsidR="00186A17" w:rsidRDefault="00186A17" w:rsidP="00341977">
      <w:pPr>
        <w:pStyle w:val="BodyText"/>
        <w:spacing w:line="276" w:lineRule="auto"/>
      </w:pPr>
    </w:p>
    <w:p w:rsidR="00186A17" w:rsidRDefault="00473319">
      <w:pPr>
        <w:pStyle w:val="Heading1"/>
        <w:numPr>
          <w:ilvl w:val="0"/>
          <w:numId w:val="1"/>
        </w:numPr>
        <w:tabs>
          <w:tab w:val="left" w:pos="341"/>
        </w:tabs>
        <w:ind w:left="340" w:hanging="241"/>
      </w:pPr>
      <w:r>
        <w:t>REFERENSI</w:t>
      </w:r>
    </w:p>
    <w:p w:rsidR="00186A17" w:rsidRDefault="00186A17">
      <w:pPr>
        <w:ind w:left="100" w:right="113"/>
        <w:jc w:val="both"/>
        <w:rPr>
          <w:sz w:val="24"/>
        </w:rPr>
      </w:pPr>
    </w:p>
    <w:p w:rsidR="00705EBA" w:rsidRPr="00637A93" w:rsidRDefault="00705EBA" w:rsidP="00705EBA">
      <w:pPr>
        <w:spacing w:after="240"/>
        <w:ind w:left="1066" w:right="964" w:hanging="482"/>
        <w:jc w:val="both"/>
        <w:rPr>
          <w:sz w:val="24"/>
          <w:szCs w:val="24"/>
        </w:rPr>
      </w:pPr>
      <w:r w:rsidRPr="00637A93">
        <w:rPr>
          <w:sz w:val="24"/>
          <w:szCs w:val="24"/>
        </w:rPr>
        <w:t xml:space="preserve">Agustina Putri, A., Fathurrahmi Lawita Prodi Akuntansi, N., &amp; Ekonomi dan Bisnis, F. (n.d.). </w:t>
      </w:r>
      <w:r w:rsidRPr="00637A93">
        <w:rPr>
          <w:i/>
          <w:sz w:val="24"/>
          <w:szCs w:val="24"/>
        </w:rPr>
        <w:t>Pengaruh Kepemilikan Institusional dan Kepemilikan Manajerial Terhadap Penghindaran Pajak</w:t>
      </w:r>
      <w:r w:rsidRPr="00637A93">
        <w:rPr>
          <w:sz w:val="24"/>
          <w:szCs w:val="24"/>
        </w:rPr>
        <w:t>.</w:t>
      </w:r>
    </w:p>
    <w:p w:rsidR="00705EBA" w:rsidRPr="00637A93" w:rsidRDefault="00705EBA" w:rsidP="00705EBA">
      <w:pPr>
        <w:spacing w:before="1" w:after="240"/>
        <w:ind w:left="1066" w:right="964" w:hanging="482"/>
        <w:jc w:val="both"/>
        <w:rPr>
          <w:sz w:val="24"/>
          <w:szCs w:val="24"/>
        </w:rPr>
      </w:pPr>
      <w:r w:rsidRPr="00637A93">
        <w:rPr>
          <w:sz w:val="24"/>
          <w:szCs w:val="24"/>
        </w:rPr>
        <w:t xml:space="preserve">Alif Videya, A., &amp; Irawati, W. (2022). Pengaruh Pertumbuhan Penjualan, </w:t>
      </w:r>
      <w:r w:rsidRPr="00637A93">
        <w:rPr>
          <w:i/>
          <w:sz w:val="24"/>
          <w:szCs w:val="24"/>
        </w:rPr>
        <w:t>Coprorate Social Responsibility</w:t>
      </w:r>
      <w:r w:rsidRPr="00637A93">
        <w:rPr>
          <w:sz w:val="24"/>
          <w:szCs w:val="24"/>
        </w:rPr>
        <w:t xml:space="preserve">, Intensitas Aset Tetap, dan Intensitas Persediaab Terhadap </w:t>
      </w:r>
      <w:r w:rsidRPr="00637A93">
        <w:rPr>
          <w:i/>
          <w:sz w:val="24"/>
          <w:szCs w:val="24"/>
        </w:rPr>
        <w:t>Tax Avoidance</w:t>
      </w:r>
      <w:r w:rsidRPr="00637A93">
        <w:rPr>
          <w:sz w:val="24"/>
          <w:szCs w:val="24"/>
        </w:rPr>
        <w:t xml:space="preserve">. In </w:t>
      </w:r>
      <w:r w:rsidRPr="00637A93">
        <w:rPr>
          <w:i/>
          <w:sz w:val="24"/>
          <w:szCs w:val="24"/>
        </w:rPr>
        <w:t>Anas Alif Videya &amp; Wiwit Irawati JURNAL</w:t>
      </w:r>
      <w:r w:rsidRPr="00637A93">
        <w:rPr>
          <w:i/>
          <w:spacing w:val="-15"/>
          <w:sz w:val="24"/>
          <w:szCs w:val="24"/>
        </w:rPr>
        <w:t xml:space="preserve"> </w:t>
      </w:r>
      <w:r w:rsidRPr="00637A93">
        <w:rPr>
          <w:i/>
          <w:sz w:val="24"/>
          <w:szCs w:val="24"/>
        </w:rPr>
        <w:t>AKUNTANSI</w:t>
      </w:r>
      <w:r w:rsidRPr="00637A93">
        <w:rPr>
          <w:i/>
          <w:spacing w:val="-10"/>
          <w:sz w:val="24"/>
          <w:szCs w:val="24"/>
        </w:rPr>
        <w:t xml:space="preserve"> </w:t>
      </w:r>
      <w:r w:rsidRPr="00637A93">
        <w:rPr>
          <w:i/>
          <w:sz w:val="24"/>
          <w:szCs w:val="24"/>
        </w:rPr>
        <w:t>BARELANG</w:t>
      </w:r>
      <w:r w:rsidRPr="00637A93">
        <w:rPr>
          <w:i/>
          <w:spacing w:val="-6"/>
          <w:sz w:val="24"/>
          <w:szCs w:val="24"/>
        </w:rPr>
        <w:t xml:space="preserve"> </w:t>
      </w:r>
      <w:r w:rsidRPr="00637A93">
        <w:rPr>
          <w:sz w:val="24"/>
          <w:szCs w:val="24"/>
        </w:rPr>
        <w:t>(Vol.</w:t>
      </w:r>
      <w:r w:rsidRPr="00637A93">
        <w:rPr>
          <w:spacing w:val="-6"/>
          <w:sz w:val="24"/>
          <w:szCs w:val="24"/>
        </w:rPr>
        <w:t xml:space="preserve"> </w:t>
      </w:r>
      <w:r w:rsidRPr="00637A93">
        <w:rPr>
          <w:sz w:val="24"/>
          <w:szCs w:val="24"/>
        </w:rPr>
        <w:t>7,</w:t>
      </w:r>
      <w:r w:rsidRPr="00637A93">
        <w:rPr>
          <w:spacing w:val="-6"/>
          <w:sz w:val="24"/>
          <w:szCs w:val="24"/>
        </w:rPr>
        <w:t xml:space="preserve"> </w:t>
      </w:r>
      <w:r w:rsidRPr="00637A93">
        <w:rPr>
          <w:sz w:val="24"/>
          <w:szCs w:val="24"/>
        </w:rPr>
        <w:t>Issue</w:t>
      </w:r>
      <w:r w:rsidRPr="00637A93">
        <w:rPr>
          <w:spacing w:val="-8"/>
          <w:sz w:val="24"/>
          <w:szCs w:val="24"/>
        </w:rPr>
        <w:t xml:space="preserve"> </w:t>
      </w:r>
      <w:r w:rsidRPr="00637A93">
        <w:rPr>
          <w:sz w:val="24"/>
          <w:szCs w:val="24"/>
        </w:rPr>
        <w:t>1).</w:t>
      </w:r>
      <w:r w:rsidRPr="00637A93">
        <w:rPr>
          <w:spacing w:val="-6"/>
          <w:sz w:val="24"/>
          <w:szCs w:val="24"/>
        </w:rPr>
        <w:t xml:space="preserve"> </w:t>
      </w:r>
      <w:hyperlink r:id="rId9">
        <w:r w:rsidRPr="00637A93">
          <w:rPr>
            <w:sz w:val="24"/>
            <w:szCs w:val="24"/>
          </w:rPr>
          <w:t>http://autonetmagz.com</w:t>
        </w:r>
      </w:hyperlink>
    </w:p>
    <w:p w:rsidR="00705EBA" w:rsidRPr="00637A93" w:rsidRDefault="00705EBA" w:rsidP="00705EBA">
      <w:pPr>
        <w:pStyle w:val="BodyText"/>
        <w:spacing w:before="1"/>
        <w:ind w:left="526" w:right="912"/>
        <w:contextualSpacing/>
        <w:jc w:val="center"/>
      </w:pPr>
      <w:r w:rsidRPr="00637A93">
        <w:t>Aprianto,</w:t>
      </w:r>
      <w:r w:rsidRPr="00637A93">
        <w:rPr>
          <w:spacing w:val="13"/>
        </w:rPr>
        <w:t xml:space="preserve"> </w:t>
      </w:r>
      <w:r w:rsidRPr="00637A93">
        <w:t>M.,</w:t>
      </w:r>
      <w:r w:rsidRPr="00637A93">
        <w:rPr>
          <w:spacing w:val="16"/>
        </w:rPr>
        <w:t xml:space="preserve"> </w:t>
      </w:r>
      <w:r w:rsidRPr="00637A93">
        <w:t>Dwimulyani,</w:t>
      </w:r>
      <w:r w:rsidRPr="00637A93">
        <w:rPr>
          <w:spacing w:val="16"/>
        </w:rPr>
        <w:t xml:space="preserve"> </w:t>
      </w:r>
      <w:r w:rsidRPr="00637A93">
        <w:t>S.,</w:t>
      </w:r>
      <w:r w:rsidRPr="00637A93">
        <w:rPr>
          <w:spacing w:val="7"/>
        </w:rPr>
        <w:t xml:space="preserve"> </w:t>
      </w:r>
      <w:r w:rsidRPr="00637A93">
        <w:t>Tokyu,</w:t>
      </w:r>
      <w:r w:rsidRPr="00637A93">
        <w:rPr>
          <w:spacing w:val="16"/>
        </w:rPr>
        <w:t xml:space="preserve"> </w:t>
      </w:r>
      <w:r w:rsidRPr="00637A93">
        <w:t>P.</w:t>
      </w:r>
      <w:r w:rsidRPr="00637A93">
        <w:rPr>
          <w:spacing w:val="11"/>
        </w:rPr>
        <w:t xml:space="preserve"> </w:t>
      </w:r>
      <w:r w:rsidRPr="00637A93">
        <w:t>T.,</w:t>
      </w:r>
      <w:r w:rsidRPr="00637A93">
        <w:rPr>
          <w:spacing w:val="12"/>
        </w:rPr>
        <w:t xml:space="preserve"> </w:t>
      </w:r>
      <w:r w:rsidRPr="00637A93">
        <w:t>Ekonomi,</w:t>
      </w:r>
      <w:r w:rsidRPr="00637A93">
        <w:rPr>
          <w:spacing w:val="20"/>
        </w:rPr>
        <w:t xml:space="preserve"> </w:t>
      </w:r>
      <w:r w:rsidRPr="00637A93">
        <w:t>F.,</w:t>
      </w:r>
      <w:r w:rsidRPr="00637A93">
        <w:rPr>
          <w:spacing w:val="16"/>
        </w:rPr>
        <w:t xml:space="preserve"> </w:t>
      </w:r>
      <w:r w:rsidRPr="00637A93">
        <w:t>&amp;</w:t>
      </w:r>
      <w:r w:rsidRPr="00637A93">
        <w:rPr>
          <w:spacing w:val="6"/>
        </w:rPr>
        <w:t xml:space="preserve"> </w:t>
      </w:r>
      <w:r w:rsidRPr="00637A93">
        <w:t>Trisakti,</w:t>
      </w:r>
      <w:r w:rsidRPr="00637A93">
        <w:rPr>
          <w:spacing w:val="16"/>
        </w:rPr>
        <w:t xml:space="preserve"> </w:t>
      </w:r>
      <w:r w:rsidRPr="00637A93">
        <w:t>B.</w:t>
      </w:r>
      <w:r w:rsidRPr="00637A93">
        <w:rPr>
          <w:spacing w:val="16"/>
        </w:rPr>
        <w:t xml:space="preserve"> </w:t>
      </w:r>
      <w:r w:rsidRPr="00637A93">
        <w:rPr>
          <w:spacing w:val="-2"/>
        </w:rPr>
        <w:t>(2019).</w:t>
      </w:r>
    </w:p>
    <w:p w:rsidR="00705EBA" w:rsidRDefault="00705EBA" w:rsidP="00705EBA">
      <w:pPr>
        <w:ind w:left="1066"/>
        <w:contextualSpacing/>
        <w:rPr>
          <w:spacing w:val="-2"/>
          <w:sz w:val="24"/>
          <w:szCs w:val="24"/>
        </w:rPr>
      </w:pPr>
      <w:r w:rsidRPr="00637A93">
        <w:rPr>
          <w:i/>
          <w:sz w:val="24"/>
          <w:szCs w:val="24"/>
        </w:rPr>
        <w:t>Prosiding</w:t>
      </w:r>
      <w:r w:rsidRPr="00637A93">
        <w:rPr>
          <w:i/>
          <w:spacing w:val="-4"/>
          <w:sz w:val="24"/>
          <w:szCs w:val="24"/>
        </w:rPr>
        <w:t xml:space="preserve"> </w:t>
      </w:r>
      <w:r w:rsidRPr="00637A93">
        <w:rPr>
          <w:i/>
          <w:sz w:val="24"/>
          <w:szCs w:val="24"/>
        </w:rPr>
        <w:t>Seminar</w:t>
      </w:r>
      <w:r w:rsidRPr="00637A93">
        <w:rPr>
          <w:i/>
          <w:spacing w:val="-6"/>
          <w:sz w:val="24"/>
          <w:szCs w:val="24"/>
        </w:rPr>
        <w:t xml:space="preserve"> </w:t>
      </w:r>
      <w:r w:rsidRPr="00637A93">
        <w:rPr>
          <w:i/>
          <w:sz w:val="24"/>
          <w:szCs w:val="24"/>
        </w:rPr>
        <w:t>Nasional</w:t>
      </w:r>
      <w:r w:rsidRPr="00637A93">
        <w:rPr>
          <w:i/>
          <w:spacing w:val="-3"/>
          <w:sz w:val="24"/>
          <w:szCs w:val="24"/>
        </w:rPr>
        <w:t xml:space="preserve"> </w:t>
      </w:r>
      <w:r w:rsidRPr="00637A93">
        <w:rPr>
          <w:i/>
          <w:sz w:val="24"/>
          <w:szCs w:val="24"/>
        </w:rPr>
        <w:t>Pakar</w:t>
      </w:r>
      <w:r w:rsidRPr="00637A93">
        <w:rPr>
          <w:i/>
          <w:spacing w:val="-6"/>
          <w:sz w:val="24"/>
          <w:szCs w:val="24"/>
        </w:rPr>
        <w:t xml:space="preserve"> </w:t>
      </w:r>
      <w:r w:rsidRPr="00637A93">
        <w:rPr>
          <w:i/>
          <w:sz w:val="24"/>
          <w:szCs w:val="24"/>
        </w:rPr>
        <w:t>ke</w:t>
      </w:r>
      <w:r w:rsidRPr="00637A93">
        <w:rPr>
          <w:i/>
          <w:spacing w:val="-4"/>
          <w:sz w:val="24"/>
          <w:szCs w:val="24"/>
        </w:rPr>
        <w:t xml:space="preserve"> </w:t>
      </w:r>
      <w:r w:rsidRPr="00637A93">
        <w:rPr>
          <w:i/>
          <w:sz w:val="24"/>
          <w:szCs w:val="24"/>
        </w:rPr>
        <w:t>2</w:t>
      </w:r>
      <w:r w:rsidRPr="00637A93">
        <w:rPr>
          <w:i/>
          <w:spacing w:val="-3"/>
          <w:sz w:val="24"/>
          <w:szCs w:val="24"/>
        </w:rPr>
        <w:t xml:space="preserve"> </w:t>
      </w:r>
      <w:r w:rsidRPr="00637A93">
        <w:rPr>
          <w:i/>
          <w:spacing w:val="-2"/>
          <w:sz w:val="24"/>
          <w:szCs w:val="24"/>
        </w:rPr>
        <w:t>Tahun</w:t>
      </w:r>
      <w:r w:rsidRPr="00637A93">
        <w:rPr>
          <w:spacing w:val="-2"/>
          <w:sz w:val="24"/>
          <w:szCs w:val="24"/>
        </w:rPr>
        <w:t>.</w:t>
      </w:r>
    </w:p>
    <w:p w:rsidR="00705EBA" w:rsidRPr="00637A93" w:rsidRDefault="00705EBA" w:rsidP="00705EBA">
      <w:pPr>
        <w:ind w:left="1066"/>
        <w:contextualSpacing/>
        <w:rPr>
          <w:sz w:val="24"/>
          <w:szCs w:val="24"/>
        </w:rPr>
      </w:pPr>
    </w:p>
    <w:p w:rsidR="00705EBA" w:rsidRPr="00637A93" w:rsidRDefault="00705EBA" w:rsidP="00705EBA">
      <w:pPr>
        <w:pStyle w:val="BodyText"/>
        <w:spacing w:after="240"/>
        <w:ind w:left="1066" w:right="958" w:hanging="482"/>
        <w:jc w:val="both"/>
        <w:rPr>
          <w:i/>
        </w:rPr>
      </w:pPr>
      <w:r w:rsidRPr="00637A93">
        <w:t>Ashari Muhammad Adnan, Simorangkir Panubut, &amp; Masripah. (2020a). Pengaruh Pertumbuhan Penjualan, Kepemilikan Institusional dan Kepemilikan Manajerial Terhadap Penghindaran Pajak (Tax Avoidance).</w:t>
      </w:r>
      <w:r w:rsidRPr="00637A93">
        <w:rPr>
          <w:spacing w:val="52"/>
          <w:w w:val="150"/>
        </w:rPr>
        <w:t xml:space="preserve">  </w:t>
      </w:r>
      <w:r w:rsidRPr="00637A93">
        <w:rPr>
          <w:i/>
        </w:rPr>
        <w:t>Jurnal</w:t>
      </w:r>
      <w:r w:rsidRPr="00637A93">
        <w:rPr>
          <w:i/>
          <w:spacing w:val="50"/>
          <w:w w:val="150"/>
        </w:rPr>
        <w:t xml:space="preserve">  </w:t>
      </w:r>
      <w:r w:rsidRPr="00637A93">
        <w:rPr>
          <w:i/>
          <w:spacing w:val="-2"/>
        </w:rPr>
        <w:t xml:space="preserve">Syntax </w:t>
      </w:r>
      <w:r w:rsidRPr="00637A93">
        <w:rPr>
          <w:i/>
        </w:rPr>
        <w:t>Trasformation</w:t>
      </w:r>
      <w:r w:rsidRPr="00637A93">
        <w:t>,</w:t>
      </w:r>
      <w:r w:rsidRPr="00637A93">
        <w:rPr>
          <w:spacing w:val="-9"/>
        </w:rPr>
        <w:t xml:space="preserve"> </w:t>
      </w:r>
      <w:r w:rsidRPr="00637A93">
        <w:rPr>
          <w:i/>
        </w:rPr>
        <w:t>1</w:t>
      </w:r>
      <w:r w:rsidRPr="00637A93">
        <w:t>(8),</w:t>
      </w:r>
      <w:r w:rsidRPr="00637A93">
        <w:rPr>
          <w:spacing w:val="-11"/>
        </w:rPr>
        <w:t xml:space="preserve"> </w:t>
      </w:r>
      <w:r w:rsidRPr="00637A93">
        <w:rPr>
          <w:spacing w:val="-2"/>
        </w:rPr>
        <w:t>488–498.</w:t>
      </w:r>
    </w:p>
    <w:p w:rsidR="00705EBA" w:rsidRPr="00637A93" w:rsidRDefault="00705EBA" w:rsidP="00705EBA">
      <w:pPr>
        <w:pStyle w:val="BodyText"/>
        <w:spacing w:after="240"/>
        <w:ind w:left="1066" w:right="964" w:hanging="480"/>
        <w:jc w:val="both"/>
      </w:pPr>
      <w:r w:rsidRPr="00637A93">
        <w:t>Ashari</w:t>
      </w:r>
      <w:r w:rsidRPr="00637A93">
        <w:rPr>
          <w:spacing w:val="-8"/>
        </w:rPr>
        <w:t xml:space="preserve"> </w:t>
      </w:r>
      <w:r w:rsidRPr="00637A93">
        <w:t>Muhammad</w:t>
      </w:r>
      <w:r w:rsidRPr="00637A93">
        <w:rPr>
          <w:spacing w:val="-8"/>
        </w:rPr>
        <w:t xml:space="preserve"> </w:t>
      </w:r>
      <w:r w:rsidRPr="00637A93">
        <w:t>Adnan, Simorangkir Panubut,</w:t>
      </w:r>
      <w:r w:rsidRPr="00637A93">
        <w:rPr>
          <w:spacing w:val="-2"/>
        </w:rPr>
        <w:t xml:space="preserve"> </w:t>
      </w:r>
      <w:r w:rsidRPr="00637A93">
        <w:t>&amp;</w:t>
      </w:r>
      <w:r w:rsidRPr="00637A93">
        <w:rPr>
          <w:spacing w:val="-3"/>
        </w:rPr>
        <w:t xml:space="preserve"> </w:t>
      </w:r>
      <w:r w:rsidRPr="00637A93">
        <w:t>Masripah. (2020b). Pengaruh Pertumbuhan Penjualan, Kepemilikan Manajerial Terhadap Penghindaran Pajak (Tax</w:t>
      </w:r>
      <w:r w:rsidRPr="00637A93">
        <w:rPr>
          <w:spacing w:val="-3"/>
        </w:rPr>
        <w:t xml:space="preserve"> </w:t>
      </w:r>
      <w:r w:rsidRPr="00637A93">
        <w:t xml:space="preserve">Avoidance). </w:t>
      </w:r>
      <w:r w:rsidRPr="00637A93">
        <w:rPr>
          <w:i/>
        </w:rPr>
        <w:t>Jurnal Syntax Transformation</w:t>
      </w:r>
      <w:r w:rsidRPr="00637A93">
        <w:t xml:space="preserve">, </w:t>
      </w:r>
      <w:r w:rsidRPr="00637A93">
        <w:rPr>
          <w:i/>
        </w:rPr>
        <w:t>1</w:t>
      </w:r>
      <w:r w:rsidRPr="00637A93">
        <w:t>(8), 488–498.</w:t>
      </w:r>
    </w:p>
    <w:p w:rsidR="00705EBA" w:rsidRPr="00637A93" w:rsidRDefault="00705EBA" w:rsidP="00705EBA">
      <w:pPr>
        <w:spacing w:before="1" w:after="240"/>
        <w:ind w:left="1066" w:right="966" w:hanging="480"/>
        <w:jc w:val="both"/>
        <w:rPr>
          <w:sz w:val="24"/>
          <w:szCs w:val="24"/>
        </w:rPr>
      </w:pPr>
      <w:r w:rsidRPr="00637A93">
        <w:rPr>
          <w:sz w:val="24"/>
          <w:szCs w:val="24"/>
        </w:rPr>
        <w:t>Basuki,</w:t>
      </w:r>
      <w:r w:rsidRPr="00637A93">
        <w:rPr>
          <w:spacing w:val="-9"/>
          <w:sz w:val="24"/>
          <w:szCs w:val="24"/>
        </w:rPr>
        <w:t xml:space="preserve"> </w:t>
      </w:r>
      <w:r w:rsidRPr="00637A93">
        <w:rPr>
          <w:sz w:val="24"/>
          <w:szCs w:val="24"/>
        </w:rPr>
        <w:t>A.</w:t>
      </w:r>
      <w:r w:rsidRPr="00637A93">
        <w:rPr>
          <w:spacing w:val="-5"/>
          <w:sz w:val="24"/>
          <w:szCs w:val="24"/>
        </w:rPr>
        <w:t xml:space="preserve"> </w:t>
      </w:r>
      <w:r w:rsidRPr="00637A93">
        <w:rPr>
          <w:sz w:val="24"/>
          <w:szCs w:val="24"/>
        </w:rPr>
        <w:t>T.</w:t>
      </w:r>
      <w:r w:rsidRPr="00637A93">
        <w:rPr>
          <w:spacing w:val="-2"/>
          <w:sz w:val="24"/>
          <w:szCs w:val="24"/>
        </w:rPr>
        <w:t xml:space="preserve"> </w:t>
      </w:r>
      <w:r w:rsidRPr="00637A93">
        <w:rPr>
          <w:sz w:val="24"/>
          <w:szCs w:val="24"/>
        </w:rPr>
        <w:t>(2021).</w:t>
      </w:r>
      <w:r w:rsidRPr="00637A93">
        <w:rPr>
          <w:spacing w:val="-3"/>
          <w:sz w:val="24"/>
          <w:szCs w:val="24"/>
        </w:rPr>
        <w:t xml:space="preserve"> </w:t>
      </w:r>
      <w:r w:rsidRPr="00637A93">
        <w:rPr>
          <w:i/>
          <w:sz w:val="24"/>
          <w:szCs w:val="24"/>
        </w:rPr>
        <w:t>Analisis Data Panel</w:t>
      </w:r>
      <w:r w:rsidRPr="00637A93">
        <w:rPr>
          <w:i/>
          <w:spacing w:val="-10"/>
          <w:sz w:val="24"/>
          <w:szCs w:val="24"/>
        </w:rPr>
        <w:t xml:space="preserve"> </w:t>
      </w:r>
      <w:r w:rsidRPr="00637A93">
        <w:rPr>
          <w:i/>
          <w:sz w:val="24"/>
          <w:szCs w:val="24"/>
        </w:rPr>
        <w:t>Dalam Penelitian</w:t>
      </w:r>
      <w:r w:rsidRPr="00637A93">
        <w:rPr>
          <w:i/>
          <w:spacing w:val="-8"/>
          <w:sz w:val="24"/>
          <w:szCs w:val="24"/>
        </w:rPr>
        <w:t xml:space="preserve"> </w:t>
      </w:r>
      <w:r w:rsidRPr="00637A93">
        <w:rPr>
          <w:i/>
          <w:sz w:val="24"/>
          <w:szCs w:val="24"/>
        </w:rPr>
        <w:t>Ekonomi dan Bisnis (Dlengkapi dengan penggunaan eviews)</w:t>
      </w:r>
      <w:r w:rsidRPr="00637A93">
        <w:rPr>
          <w:sz w:val="24"/>
          <w:szCs w:val="24"/>
        </w:rPr>
        <w:t>.</w:t>
      </w:r>
    </w:p>
    <w:p w:rsidR="00705EBA" w:rsidRPr="00637A93" w:rsidRDefault="00705EBA" w:rsidP="00705EBA">
      <w:pPr>
        <w:pStyle w:val="BodyText"/>
        <w:spacing w:before="1" w:after="240"/>
        <w:ind w:left="1066" w:right="969" w:hanging="480"/>
        <w:jc w:val="both"/>
      </w:pPr>
      <w:r w:rsidRPr="00637A93">
        <w:t>Fitria, G. (2018). Pengaruh Kepemilikan Institusional, Komisaris Independen,</w:t>
      </w:r>
      <w:r w:rsidRPr="00637A93">
        <w:rPr>
          <w:spacing w:val="30"/>
        </w:rPr>
        <w:t xml:space="preserve">  </w:t>
      </w:r>
      <w:r w:rsidRPr="00637A93">
        <w:t>Karakter Eksekutif</w:t>
      </w:r>
      <w:r w:rsidRPr="00637A93">
        <w:rPr>
          <w:spacing w:val="27"/>
        </w:rPr>
        <w:t xml:space="preserve"> </w:t>
      </w:r>
      <w:r w:rsidRPr="00637A93">
        <w:t>dan Size Terhadap Tax Avoidance (Study Empiris Pada Emiten Sektor Perdagangan</w:t>
      </w:r>
      <w:r w:rsidRPr="00637A93">
        <w:rPr>
          <w:spacing w:val="-1"/>
        </w:rPr>
        <w:t xml:space="preserve"> </w:t>
      </w:r>
      <w:r w:rsidRPr="00637A93">
        <w:t>yang</w:t>
      </w:r>
      <w:r w:rsidRPr="00637A93">
        <w:rPr>
          <w:spacing w:val="-5"/>
        </w:rPr>
        <w:t xml:space="preserve"> </w:t>
      </w:r>
      <w:r w:rsidRPr="00637A93">
        <w:t>Terdaftar di</w:t>
      </w:r>
      <w:r w:rsidRPr="00637A93">
        <w:rPr>
          <w:spacing w:val="-9"/>
        </w:rPr>
        <w:t xml:space="preserve"> </w:t>
      </w:r>
      <w:r w:rsidRPr="00637A93">
        <w:t>BEI</w:t>
      </w:r>
      <w:r w:rsidRPr="00637A93">
        <w:rPr>
          <w:spacing w:val="-8"/>
        </w:rPr>
        <w:t xml:space="preserve"> </w:t>
      </w:r>
      <w:r w:rsidRPr="00637A93">
        <w:t>Tahun</w:t>
      </w:r>
      <w:r w:rsidRPr="00637A93">
        <w:rPr>
          <w:spacing w:val="-5"/>
        </w:rPr>
        <w:t xml:space="preserve"> </w:t>
      </w:r>
      <w:r w:rsidRPr="00637A93">
        <w:t>2014-2017).</w:t>
      </w:r>
      <w:r w:rsidRPr="00637A93">
        <w:rPr>
          <w:spacing w:val="-2"/>
        </w:rPr>
        <w:t xml:space="preserve"> </w:t>
      </w:r>
      <w:r w:rsidRPr="00637A93">
        <w:rPr>
          <w:i/>
        </w:rPr>
        <w:t>Jurnal Profita</w:t>
      </w:r>
      <w:r w:rsidRPr="00637A93">
        <w:t xml:space="preserve">, </w:t>
      </w:r>
      <w:r w:rsidRPr="00637A93">
        <w:rPr>
          <w:i/>
        </w:rPr>
        <w:t>11</w:t>
      </w:r>
      <w:r w:rsidRPr="00637A93">
        <w:t>(3), 438–451. https://doi.org/10.22441/profita.2018.v11.03.006</w:t>
      </w:r>
    </w:p>
    <w:p w:rsidR="00705EBA" w:rsidRPr="00637A93" w:rsidRDefault="00705EBA" w:rsidP="00705EBA">
      <w:pPr>
        <w:tabs>
          <w:tab w:val="left" w:pos="1418"/>
        </w:tabs>
        <w:spacing w:after="240"/>
        <w:ind w:left="1134" w:right="973" w:hanging="567"/>
        <w:jc w:val="both"/>
        <w:rPr>
          <w:sz w:val="24"/>
          <w:szCs w:val="24"/>
        </w:rPr>
      </w:pPr>
      <w:r w:rsidRPr="00637A93">
        <w:rPr>
          <w:sz w:val="24"/>
          <w:szCs w:val="24"/>
        </w:rPr>
        <w:t>Hafizh, M. T., &amp;</w:t>
      </w:r>
      <w:r w:rsidRPr="00637A93">
        <w:rPr>
          <w:spacing w:val="-12"/>
          <w:sz w:val="24"/>
          <w:szCs w:val="24"/>
        </w:rPr>
        <w:t xml:space="preserve"> </w:t>
      </w:r>
      <w:r w:rsidRPr="00637A93">
        <w:rPr>
          <w:sz w:val="24"/>
          <w:szCs w:val="24"/>
        </w:rPr>
        <w:t>Africa, L.</w:t>
      </w:r>
      <w:r w:rsidRPr="00637A93">
        <w:rPr>
          <w:spacing w:val="-5"/>
          <w:sz w:val="24"/>
          <w:szCs w:val="24"/>
        </w:rPr>
        <w:t xml:space="preserve"> </w:t>
      </w:r>
      <w:r w:rsidRPr="00637A93">
        <w:rPr>
          <w:sz w:val="24"/>
          <w:szCs w:val="24"/>
        </w:rPr>
        <w:t xml:space="preserve">A. (n.d.). </w:t>
      </w:r>
      <w:r w:rsidRPr="00637A93">
        <w:rPr>
          <w:i/>
          <w:sz w:val="24"/>
          <w:szCs w:val="24"/>
        </w:rPr>
        <w:t>Journal of Accounting And Financial Issue</w:t>
      </w:r>
      <w:r w:rsidRPr="00637A93">
        <w:rPr>
          <w:sz w:val="24"/>
          <w:szCs w:val="24"/>
        </w:rPr>
        <w:t>.</w:t>
      </w:r>
    </w:p>
    <w:p w:rsidR="00705EBA" w:rsidRPr="00637A93" w:rsidRDefault="00705EBA" w:rsidP="00705EBA">
      <w:pPr>
        <w:tabs>
          <w:tab w:val="left" w:pos="1418"/>
        </w:tabs>
        <w:spacing w:after="240"/>
        <w:ind w:left="1134" w:right="973" w:hanging="567"/>
        <w:jc w:val="both"/>
        <w:rPr>
          <w:sz w:val="24"/>
          <w:szCs w:val="24"/>
        </w:rPr>
      </w:pPr>
      <w:r w:rsidRPr="00637A93">
        <w:rPr>
          <w:sz w:val="24"/>
          <w:szCs w:val="24"/>
        </w:rPr>
        <w:t>Hidayat</w:t>
      </w:r>
      <w:r w:rsidRPr="00637A93">
        <w:rPr>
          <w:spacing w:val="-1"/>
          <w:sz w:val="24"/>
          <w:szCs w:val="24"/>
        </w:rPr>
        <w:t xml:space="preserve"> </w:t>
      </w:r>
      <w:r w:rsidRPr="00637A93">
        <w:rPr>
          <w:sz w:val="24"/>
          <w:szCs w:val="24"/>
        </w:rPr>
        <w:t>Wastam</w:t>
      </w:r>
      <w:r w:rsidRPr="00637A93">
        <w:rPr>
          <w:spacing w:val="-6"/>
          <w:sz w:val="24"/>
          <w:szCs w:val="24"/>
        </w:rPr>
        <w:t xml:space="preserve"> </w:t>
      </w:r>
      <w:r w:rsidRPr="00637A93">
        <w:rPr>
          <w:sz w:val="24"/>
          <w:szCs w:val="24"/>
        </w:rPr>
        <w:t>Wahyu.</w:t>
      </w:r>
      <w:r w:rsidRPr="00637A93">
        <w:rPr>
          <w:spacing w:val="3"/>
          <w:sz w:val="24"/>
          <w:szCs w:val="24"/>
        </w:rPr>
        <w:t xml:space="preserve"> </w:t>
      </w:r>
      <w:r w:rsidRPr="00637A93">
        <w:rPr>
          <w:sz w:val="24"/>
          <w:szCs w:val="24"/>
        </w:rPr>
        <w:t>(2018).</w:t>
      </w:r>
      <w:r w:rsidRPr="00637A93">
        <w:rPr>
          <w:spacing w:val="-2"/>
          <w:sz w:val="24"/>
          <w:szCs w:val="24"/>
        </w:rPr>
        <w:t xml:space="preserve"> </w:t>
      </w:r>
      <w:r w:rsidRPr="00637A93">
        <w:rPr>
          <w:sz w:val="24"/>
          <w:szCs w:val="24"/>
        </w:rPr>
        <w:t>Pengaruh Profitabilitas,</w:t>
      </w:r>
      <w:r w:rsidRPr="00637A93">
        <w:rPr>
          <w:spacing w:val="3"/>
          <w:sz w:val="24"/>
          <w:szCs w:val="24"/>
        </w:rPr>
        <w:t xml:space="preserve"> </w:t>
      </w:r>
      <w:r w:rsidRPr="00637A93">
        <w:rPr>
          <w:spacing w:val="-2"/>
          <w:sz w:val="24"/>
          <w:szCs w:val="24"/>
        </w:rPr>
        <w:t xml:space="preserve">Leverage </w:t>
      </w:r>
      <w:r w:rsidRPr="00637A93">
        <w:rPr>
          <w:sz w:val="24"/>
          <w:szCs w:val="24"/>
        </w:rPr>
        <w:t>dan        Pertumbuhan Penjualan Terhadap Penghindaran Pajak:</w:t>
      </w:r>
      <w:r w:rsidRPr="00637A93">
        <w:rPr>
          <w:spacing w:val="64"/>
          <w:w w:val="150"/>
          <w:sz w:val="24"/>
          <w:szCs w:val="24"/>
        </w:rPr>
        <w:t xml:space="preserve">  </w:t>
      </w:r>
      <w:r w:rsidRPr="00637A93">
        <w:rPr>
          <w:sz w:val="24"/>
          <w:szCs w:val="24"/>
        </w:rPr>
        <w:t>Studi Kasus Perusahaan Manufaktur</w:t>
      </w:r>
      <w:r w:rsidRPr="00637A93">
        <w:rPr>
          <w:spacing w:val="66"/>
          <w:w w:val="150"/>
          <w:sz w:val="24"/>
          <w:szCs w:val="24"/>
        </w:rPr>
        <w:t xml:space="preserve">  </w:t>
      </w:r>
      <w:r w:rsidRPr="00637A93">
        <w:rPr>
          <w:spacing w:val="-5"/>
          <w:sz w:val="24"/>
          <w:szCs w:val="24"/>
        </w:rPr>
        <w:t>di Indonesia</w:t>
      </w:r>
      <w:r w:rsidRPr="00637A93">
        <w:rPr>
          <w:sz w:val="24"/>
          <w:szCs w:val="24"/>
        </w:rPr>
        <w:t>.</w:t>
      </w:r>
      <w:r w:rsidRPr="00637A93">
        <w:rPr>
          <w:spacing w:val="-1"/>
          <w:sz w:val="24"/>
          <w:szCs w:val="24"/>
        </w:rPr>
        <w:t xml:space="preserve"> </w:t>
      </w:r>
      <w:r w:rsidRPr="00637A93">
        <w:rPr>
          <w:i/>
          <w:sz w:val="24"/>
          <w:szCs w:val="24"/>
        </w:rPr>
        <w:t>Jurnal</w:t>
      </w:r>
      <w:r w:rsidRPr="00637A93">
        <w:rPr>
          <w:i/>
          <w:spacing w:val="-3"/>
          <w:sz w:val="24"/>
          <w:szCs w:val="24"/>
        </w:rPr>
        <w:t xml:space="preserve"> </w:t>
      </w:r>
      <w:r w:rsidRPr="00637A93">
        <w:rPr>
          <w:i/>
          <w:sz w:val="24"/>
          <w:szCs w:val="24"/>
        </w:rPr>
        <w:t>Riset</w:t>
      </w:r>
      <w:r w:rsidRPr="00637A93">
        <w:rPr>
          <w:i/>
          <w:spacing w:val="-6"/>
          <w:sz w:val="24"/>
          <w:szCs w:val="24"/>
        </w:rPr>
        <w:t xml:space="preserve"> </w:t>
      </w:r>
      <w:r w:rsidRPr="00637A93">
        <w:rPr>
          <w:i/>
          <w:sz w:val="24"/>
          <w:szCs w:val="24"/>
        </w:rPr>
        <w:t>Manajemen</w:t>
      </w:r>
      <w:r w:rsidRPr="00637A93">
        <w:rPr>
          <w:i/>
          <w:spacing w:val="-2"/>
          <w:sz w:val="24"/>
          <w:szCs w:val="24"/>
        </w:rPr>
        <w:t xml:space="preserve"> </w:t>
      </w:r>
      <w:r w:rsidRPr="00637A93">
        <w:rPr>
          <w:i/>
          <w:sz w:val="24"/>
          <w:szCs w:val="24"/>
        </w:rPr>
        <w:t>Dan</w:t>
      </w:r>
      <w:r w:rsidRPr="00637A93">
        <w:rPr>
          <w:i/>
          <w:spacing w:val="-7"/>
          <w:sz w:val="24"/>
          <w:szCs w:val="24"/>
        </w:rPr>
        <w:t xml:space="preserve"> </w:t>
      </w:r>
      <w:r w:rsidRPr="00637A93">
        <w:rPr>
          <w:i/>
          <w:sz w:val="24"/>
          <w:szCs w:val="24"/>
        </w:rPr>
        <w:t>Bisnis</w:t>
      </w:r>
      <w:r w:rsidRPr="00637A93">
        <w:rPr>
          <w:i/>
          <w:spacing w:val="-4"/>
          <w:sz w:val="24"/>
          <w:szCs w:val="24"/>
        </w:rPr>
        <w:t xml:space="preserve"> </w:t>
      </w:r>
      <w:r w:rsidRPr="00637A93">
        <w:rPr>
          <w:i/>
          <w:sz w:val="24"/>
          <w:szCs w:val="24"/>
        </w:rPr>
        <w:t>(JRMB)</w:t>
      </w:r>
      <w:r w:rsidRPr="00637A93">
        <w:rPr>
          <w:sz w:val="24"/>
          <w:szCs w:val="24"/>
        </w:rPr>
        <w:t>,</w:t>
      </w:r>
      <w:r w:rsidRPr="00637A93">
        <w:rPr>
          <w:spacing w:val="-1"/>
          <w:sz w:val="24"/>
          <w:szCs w:val="24"/>
        </w:rPr>
        <w:t xml:space="preserve"> </w:t>
      </w:r>
      <w:r w:rsidRPr="00637A93">
        <w:rPr>
          <w:i/>
          <w:sz w:val="24"/>
          <w:szCs w:val="24"/>
        </w:rPr>
        <w:t>3</w:t>
      </w:r>
      <w:r w:rsidRPr="00637A93">
        <w:rPr>
          <w:sz w:val="24"/>
          <w:szCs w:val="24"/>
        </w:rPr>
        <w:t xml:space="preserve">(1), </w:t>
      </w:r>
      <w:r w:rsidRPr="00637A93">
        <w:rPr>
          <w:spacing w:val="-2"/>
          <w:sz w:val="24"/>
          <w:szCs w:val="24"/>
        </w:rPr>
        <w:t>19–26.</w:t>
      </w:r>
    </w:p>
    <w:p w:rsidR="00705EBA" w:rsidRPr="00637A93" w:rsidRDefault="00705EBA" w:rsidP="00705EBA">
      <w:pPr>
        <w:pStyle w:val="BodyText"/>
        <w:spacing w:before="1" w:after="240"/>
        <w:ind w:left="1066" w:right="960" w:hanging="480"/>
        <w:jc w:val="both"/>
      </w:pPr>
      <w:r w:rsidRPr="00637A93">
        <w:t xml:space="preserve">Irawati, W., Akbar, Z., Wulandari, R., &amp; Barli, H. (2020). Analisis Profitabilitas, Leverage, Pertumbuhan Penjualan Dan Kepemilikan Keluarga Terhadap Penghindaran Pajak. </w:t>
      </w:r>
      <w:r w:rsidRPr="00637A93">
        <w:rPr>
          <w:i/>
        </w:rPr>
        <w:t>Jurnal Akuntansi Kajian Ilmiah Akuntansi (JAK)</w:t>
      </w:r>
      <w:r w:rsidRPr="00637A93">
        <w:t xml:space="preserve">, </w:t>
      </w:r>
      <w:r w:rsidRPr="00637A93">
        <w:rPr>
          <w:i/>
        </w:rPr>
        <w:t>7</w:t>
      </w:r>
      <w:r w:rsidRPr="00637A93">
        <w:t>(2), 190–199. https://doi.org/10.30656/jak.v7i2.2307</w:t>
      </w:r>
    </w:p>
    <w:p w:rsidR="00705EBA" w:rsidRPr="00637A93" w:rsidRDefault="00705EBA" w:rsidP="00705EBA">
      <w:pPr>
        <w:pStyle w:val="BodyText"/>
        <w:spacing w:after="240"/>
        <w:ind w:left="1066" w:right="964" w:hanging="480"/>
        <w:jc w:val="both"/>
      </w:pPr>
      <w:r w:rsidRPr="00637A93">
        <w:t xml:space="preserve">Irawati Wiwit, &amp; Rahmawati. (2023). Pengaruh Inventory Intensity, Kepemilikan Institusional dan Transfer Pricing terhadap Tax Avoidance The Effect of Inventory Intensity, Institutional Ownership and Transfer Pricing on Tax Avoidance. </w:t>
      </w:r>
      <w:r w:rsidRPr="00637A93">
        <w:rPr>
          <w:i/>
        </w:rPr>
        <w:t>Journal of Accounting Research</w:t>
      </w:r>
      <w:r w:rsidRPr="00637A93">
        <w:t xml:space="preserve">, </w:t>
      </w:r>
      <w:r w:rsidRPr="00637A93">
        <w:rPr>
          <w:i/>
        </w:rPr>
        <w:t>12</w:t>
      </w:r>
      <w:r w:rsidRPr="00637A93">
        <w:t>(2), 180–194.</w:t>
      </w:r>
    </w:p>
    <w:p w:rsidR="00705EBA" w:rsidRPr="00637A93" w:rsidRDefault="00705EBA" w:rsidP="00705EBA">
      <w:pPr>
        <w:pStyle w:val="BodyText"/>
        <w:spacing w:before="1" w:after="240"/>
        <w:ind w:left="1066" w:right="955" w:hanging="480"/>
        <w:jc w:val="both"/>
      </w:pPr>
      <w:r w:rsidRPr="00637A93">
        <w:lastRenderedPageBreak/>
        <w:t xml:space="preserve">Krisna, A. M. (2019). Pengaruh Kepemilikan Institusional dan Kepemilikan Manajerial pada Tax Avoidance dengan Kualitas Audit sebagai Variabel Pemoderasi. Wacana Ekonomi (Jurnal Ekonomi. </w:t>
      </w:r>
      <w:r w:rsidRPr="00637A93">
        <w:rPr>
          <w:i/>
        </w:rPr>
        <w:t>Bisnis Dan Akuntansi)</w:t>
      </w:r>
      <w:r w:rsidRPr="00637A93">
        <w:t xml:space="preserve">, </w:t>
      </w:r>
      <w:r w:rsidRPr="00637A93">
        <w:rPr>
          <w:i/>
        </w:rPr>
        <w:t>18</w:t>
      </w:r>
      <w:r w:rsidRPr="00637A93">
        <w:t>(2), 82–91. https://doi.org/10.22225/we.18.2.1162.82-91</w:t>
      </w:r>
    </w:p>
    <w:p w:rsidR="00705EBA" w:rsidRPr="00637A93" w:rsidRDefault="00705EBA" w:rsidP="00705EBA">
      <w:pPr>
        <w:pStyle w:val="BodyText"/>
        <w:spacing w:before="1" w:after="240"/>
        <w:ind w:left="1066" w:right="969" w:hanging="480"/>
        <w:jc w:val="both"/>
      </w:pPr>
      <w:r w:rsidRPr="00637A93">
        <w:t>Mahdiana, M. Q., &amp; Amin, M. N. (2020). Pengaruh Profitabilitas, Leverage,</w:t>
      </w:r>
      <w:r w:rsidRPr="00637A93">
        <w:rPr>
          <w:spacing w:val="48"/>
        </w:rPr>
        <w:t xml:space="preserve">  </w:t>
      </w:r>
      <w:r w:rsidRPr="00637A93">
        <w:t>Ukuran Perusahaan,</w:t>
      </w:r>
      <w:r w:rsidRPr="00637A93">
        <w:rPr>
          <w:spacing w:val="51"/>
        </w:rPr>
        <w:t xml:space="preserve">  </w:t>
      </w:r>
      <w:r w:rsidRPr="00637A93">
        <w:t xml:space="preserve">dan Sales Growth Terhadap Tax Avoidance. </w:t>
      </w:r>
      <w:r w:rsidRPr="00637A93">
        <w:rPr>
          <w:i/>
        </w:rPr>
        <w:t>Jurnal</w:t>
      </w:r>
      <w:r w:rsidRPr="00637A93">
        <w:rPr>
          <w:i/>
          <w:spacing w:val="-5"/>
        </w:rPr>
        <w:t xml:space="preserve"> </w:t>
      </w:r>
      <w:r w:rsidRPr="00637A93">
        <w:rPr>
          <w:i/>
        </w:rPr>
        <w:t>Akuntansi Trisakti</w:t>
      </w:r>
      <w:r w:rsidRPr="00637A93">
        <w:t xml:space="preserve">, </w:t>
      </w:r>
      <w:r w:rsidRPr="00637A93">
        <w:rPr>
          <w:i/>
        </w:rPr>
        <w:t>7</w:t>
      </w:r>
      <w:r w:rsidRPr="00637A93">
        <w:t xml:space="preserve">(1), 127–138. </w:t>
      </w:r>
      <w:r w:rsidRPr="00637A93">
        <w:rPr>
          <w:spacing w:val="-2"/>
        </w:rPr>
        <w:t>https://doi.org/10.25105/jat.v7i1.6289</w:t>
      </w:r>
    </w:p>
    <w:p w:rsidR="00705EBA" w:rsidRPr="00637A93" w:rsidRDefault="00705EBA" w:rsidP="00705EBA">
      <w:pPr>
        <w:spacing w:after="240"/>
        <w:ind w:left="1066" w:right="960" w:hanging="480"/>
        <w:jc w:val="both"/>
        <w:rPr>
          <w:sz w:val="24"/>
          <w:szCs w:val="24"/>
        </w:rPr>
      </w:pPr>
      <w:r w:rsidRPr="00637A93">
        <w:rPr>
          <w:i/>
          <w:sz w:val="24"/>
          <w:szCs w:val="24"/>
        </w:rPr>
        <w:t>Pengaruh Kepemilikan Institusional, Komite Audit, Ukuran Perusahaan, Profitabilitas, Leverage, Pertumbuhan Penjualan terhadap Tax Avoidance</w:t>
      </w:r>
      <w:r w:rsidRPr="00637A93">
        <w:rPr>
          <w:sz w:val="24"/>
          <w:szCs w:val="24"/>
        </w:rPr>
        <w:t>.</w:t>
      </w:r>
      <w:r>
        <w:rPr>
          <w:sz w:val="24"/>
          <w:szCs w:val="24"/>
        </w:rPr>
        <w:t xml:space="preserve"> </w:t>
      </w:r>
      <w:r w:rsidRPr="00637A93">
        <w:rPr>
          <w:spacing w:val="-2"/>
          <w:sz w:val="24"/>
          <w:szCs w:val="24"/>
        </w:rPr>
        <w:t>(n.d.).</w:t>
      </w:r>
    </w:p>
    <w:p w:rsidR="00705EBA" w:rsidRPr="00637A93" w:rsidRDefault="00705EBA" w:rsidP="00705EBA">
      <w:pPr>
        <w:pStyle w:val="BodyText"/>
        <w:spacing w:before="1" w:after="240"/>
        <w:ind w:left="1066" w:right="955" w:hanging="480"/>
        <w:jc w:val="both"/>
      </w:pPr>
      <w:r w:rsidRPr="00637A93">
        <w:t xml:space="preserve">Profitabilitas, P., Penjualan, P., Perusahaan, U., Koneksi, D., Terhadap, P., Pajak, P., Sawitri, A. P., Alam, W. Y., Aulia, F., Dewi, A., &amp; Korespondensi, P. (2022). Jurnal Riset Akuntansi Mercu Buana. </w:t>
      </w:r>
      <w:r w:rsidRPr="00637A93">
        <w:rPr>
          <w:i/>
        </w:rPr>
        <w:t>JRAMB</w:t>
      </w:r>
      <w:r w:rsidRPr="00637A93">
        <w:t xml:space="preserve">, </w:t>
      </w:r>
      <w:r w:rsidRPr="00637A93">
        <w:rPr>
          <w:i/>
        </w:rPr>
        <w:t>8</w:t>
      </w:r>
      <w:r w:rsidRPr="00637A93">
        <w:t xml:space="preserve">. </w:t>
      </w:r>
      <w:r w:rsidRPr="00637A93">
        <w:rPr>
          <w:spacing w:val="-2"/>
        </w:rPr>
        <w:t>https://doi.org/10.26486/jramb.v8i1.2365</w:t>
      </w:r>
    </w:p>
    <w:p w:rsidR="00705EBA" w:rsidRPr="00637A93" w:rsidRDefault="00705EBA" w:rsidP="00705EBA">
      <w:pPr>
        <w:spacing w:before="1" w:after="240"/>
        <w:ind w:left="1066" w:right="963" w:hanging="480"/>
        <w:jc w:val="both"/>
        <w:rPr>
          <w:sz w:val="24"/>
          <w:szCs w:val="24"/>
        </w:rPr>
      </w:pPr>
      <w:r w:rsidRPr="00637A93">
        <w:rPr>
          <w:sz w:val="24"/>
          <w:szCs w:val="24"/>
        </w:rPr>
        <w:t xml:space="preserve">Putri, V. R., &amp; Putra, B. I. (n.d.). </w:t>
      </w:r>
      <w:r w:rsidRPr="00637A93">
        <w:rPr>
          <w:i/>
          <w:sz w:val="24"/>
          <w:szCs w:val="24"/>
        </w:rPr>
        <w:t>Pengaruh Leverage, Profitability, Ukuran Perusahaan dan Proporsi Kepemilikan Institusional Terhadap Tax Avoidance</w:t>
      </w:r>
      <w:r w:rsidRPr="00637A93">
        <w:rPr>
          <w:sz w:val="24"/>
          <w:szCs w:val="24"/>
        </w:rPr>
        <w:t xml:space="preserve">. </w:t>
      </w:r>
      <w:hyperlink r:id="rId10">
        <w:r w:rsidRPr="00637A93">
          <w:rPr>
            <w:sz w:val="24"/>
            <w:szCs w:val="24"/>
          </w:rPr>
          <w:t>www.kemenkeu.go.id</w:t>
        </w:r>
      </w:hyperlink>
    </w:p>
    <w:p w:rsidR="00705EBA" w:rsidRPr="00637A93" w:rsidRDefault="00705EBA" w:rsidP="00705EBA">
      <w:pPr>
        <w:spacing w:after="240"/>
        <w:ind w:left="1066" w:right="962" w:hanging="480"/>
        <w:jc w:val="both"/>
        <w:rPr>
          <w:sz w:val="24"/>
          <w:szCs w:val="24"/>
        </w:rPr>
      </w:pPr>
      <w:r w:rsidRPr="00637A93">
        <w:rPr>
          <w:sz w:val="24"/>
          <w:szCs w:val="24"/>
        </w:rPr>
        <w:t xml:space="preserve">Sugiyono. (2019). </w:t>
      </w:r>
      <w:r w:rsidRPr="00637A93">
        <w:rPr>
          <w:i/>
          <w:sz w:val="24"/>
          <w:szCs w:val="24"/>
        </w:rPr>
        <w:t xml:space="preserve">Metode Penelitian Kuantitatif, Kualitatif dan </w:t>
      </w:r>
      <w:r w:rsidRPr="00637A93">
        <w:rPr>
          <w:i/>
          <w:spacing w:val="-4"/>
          <w:sz w:val="24"/>
          <w:szCs w:val="24"/>
        </w:rPr>
        <w:t>R&amp;D</w:t>
      </w:r>
      <w:r w:rsidRPr="00637A93">
        <w:rPr>
          <w:spacing w:val="-4"/>
          <w:sz w:val="24"/>
          <w:szCs w:val="24"/>
        </w:rPr>
        <w:t>.</w:t>
      </w:r>
    </w:p>
    <w:p w:rsidR="00705EBA" w:rsidRPr="00637A93" w:rsidRDefault="00705EBA" w:rsidP="00705EBA">
      <w:pPr>
        <w:pStyle w:val="BodyText"/>
        <w:spacing w:before="1" w:after="240"/>
        <w:ind w:left="1066" w:right="964" w:hanging="480"/>
        <w:jc w:val="both"/>
      </w:pPr>
      <w:r w:rsidRPr="00637A93">
        <w:t xml:space="preserve">Sulaeman Rachmat. (2021). Pengaruh Profitabilitas, Leverage Dan Ukuran Perusahaan Terhadap Penghindaran Pajak (Tax Avoidance). </w:t>
      </w:r>
      <w:r w:rsidRPr="00637A93">
        <w:rPr>
          <w:i/>
        </w:rPr>
        <w:t>Jurnal Syntax</w:t>
      </w:r>
      <w:r w:rsidRPr="00637A93">
        <w:t xml:space="preserve">, </w:t>
      </w:r>
      <w:r w:rsidRPr="00637A93">
        <w:rPr>
          <w:i/>
        </w:rPr>
        <w:t>3</w:t>
      </w:r>
      <w:r w:rsidRPr="00637A93">
        <w:t>(2), 354–367.</w:t>
      </w:r>
    </w:p>
    <w:p w:rsidR="00705EBA" w:rsidRPr="00637A93" w:rsidRDefault="00705EBA" w:rsidP="00705EBA">
      <w:pPr>
        <w:spacing w:after="240"/>
        <w:ind w:left="1066" w:right="956" w:hanging="480"/>
        <w:jc w:val="both"/>
        <w:rPr>
          <w:sz w:val="24"/>
          <w:szCs w:val="24"/>
        </w:rPr>
      </w:pPr>
      <w:r w:rsidRPr="00637A93">
        <w:rPr>
          <w:sz w:val="24"/>
          <w:szCs w:val="24"/>
        </w:rPr>
        <w:t xml:space="preserve">Widiyani Ni Putu Ayu, Sunarsih Ni Made, &amp; Dewi Ni Putu Shinta. (n.d.). </w:t>
      </w:r>
      <w:r w:rsidRPr="00637A93">
        <w:rPr>
          <w:i/>
          <w:sz w:val="24"/>
          <w:szCs w:val="24"/>
        </w:rPr>
        <w:t>Pengaruh Leverage,</w:t>
      </w:r>
      <w:r w:rsidRPr="00637A93">
        <w:rPr>
          <w:i/>
          <w:spacing w:val="-1"/>
          <w:sz w:val="24"/>
          <w:szCs w:val="24"/>
        </w:rPr>
        <w:t xml:space="preserve"> </w:t>
      </w:r>
      <w:r w:rsidRPr="00637A93">
        <w:rPr>
          <w:i/>
          <w:sz w:val="24"/>
          <w:szCs w:val="24"/>
        </w:rPr>
        <w:t>Umur Perusahaan, Profitabilitas,</w:t>
      </w:r>
      <w:r w:rsidRPr="00637A93">
        <w:rPr>
          <w:i/>
          <w:spacing w:val="-1"/>
          <w:sz w:val="24"/>
          <w:szCs w:val="24"/>
        </w:rPr>
        <w:t xml:space="preserve"> </w:t>
      </w:r>
      <w:r w:rsidRPr="00637A93">
        <w:rPr>
          <w:i/>
          <w:sz w:val="24"/>
          <w:szCs w:val="24"/>
        </w:rPr>
        <w:t>dan Pertumbuhan Penjualan Terhadap Tax Avoidance</w:t>
      </w:r>
      <w:r w:rsidRPr="00637A93">
        <w:rPr>
          <w:sz w:val="24"/>
          <w:szCs w:val="24"/>
        </w:rPr>
        <w:t>. 183–197.</w:t>
      </w:r>
    </w:p>
    <w:p w:rsidR="00705EBA" w:rsidRPr="00637A93" w:rsidRDefault="00705EBA" w:rsidP="00705EBA">
      <w:pPr>
        <w:pStyle w:val="BodyText"/>
        <w:spacing w:before="1"/>
        <w:ind w:left="1066" w:right="970" w:hanging="480"/>
        <w:jc w:val="both"/>
        <w:sectPr w:rsidR="00705EBA" w:rsidRPr="00637A93" w:rsidSect="00705EBA">
          <w:footerReference w:type="default" r:id="rId11"/>
          <w:type w:val="continuous"/>
          <w:pgSz w:w="11910" w:h="16840"/>
          <w:pgMar w:top="1920" w:right="740" w:bottom="1620" w:left="1680" w:header="0" w:footer="706" w:gutter="0"/>
          <w:cols w:space="720"/>
          <w:docGrid w:linePitch="299"/>
        </w:sectPr>
      </w:pPr>
      <w:r w:rsidRPr="00637A93">
        <w:t xml:space="preserve">Yustrianthe Rahmawati Hanny, &amp; Fatniasih Ida Yeni. (2021). Pengaruh Pertumbuhan Penjualan, Leverage, dan Profitabilitas Terhadap Tax Avoidance. </w:t>
      </w:r>
      <w:r w:rsidRPr="00637A93">
        <w:rPr>
          <w:i/>
        </w:rPr>
        <w:t>Jurnal Ilmiah MEA</w:t>
      </w:r>
      <w:r w:rsidRPr="00637A93">
        <w:t xml:space="preserve">, </w:t>
      </w:r>
      <w:r w:rsidRPr="00637A93">
        <w:rPr>
          <w:i/>
        </w:rPr>
        <w:t>5</w:t>
      </w:r>
      <w:r w:rsidRPr="00637A93">
        <w:t>(2), 364–382.</w:t>
      </w:r>
    </w:p>
    <w:p w:rsidR="00705EBA" w:rsidRDefault="00705EBA">
      <w:pPr>
        <w:ind w:left="100" w:right="113"/>
        <w:jc w:val="both"/>
        <w:rPr>
          <w:sz w:val="24"/>
        </w:rPr>
      </w:pPr>
    </w:p>
    <w:p w:rsidR="00186A17" w:rsidRDefault="00186A17">
      <w:pPr>
        <w:pStyle w:val="BodyText"/>
        <w:spacing w:before="1"/>
        <w:rPr>
          <w:sz w:val="31"/>
        </w:rPr>
      </w:pPr>
    </w:p>
    <w:p w:rsidR="00186A17" w:rsidRDefault="00473319">
      <w:pPr>
        <w:pStyle w:val="BodyText"/>
        <w:ind w:left="100"/>
        <w:jc w:val="both"/>
      </w:pPr>
      <w:r>
        <w:t>Universitas</w:t>
      </w:r>
      <w:r>
        <w:rPr>
          <w:spacing w:val="-10"/>
        </w:rPr>
        <w:t xml:space="preserve"> </w:t>
      </w:r>
      <w:r>
        <w:t>Dharmawangsa</w:t>
      </w:r>
      <w:bookmarkStart w:id="0" w:name="_GoBack"/>
      <w:bookmarkEnd w:id="0"/>
    </w:p>
    <w:sectPr w:rsidR="00186A17" w:rsidSect="004B23CC">
      <w:footerReference w:type="default" r:id="rId12"/>
      <w:type w:val="continuous"/>
      <w:pgSz w:w="11907" w:h="16839" w:code="9"/>
      <w:pgMar w:top="960" w:right="1340" w:bottom="280" w:left="13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C36" w:rsidRDefault="00A06C36">
      <w:r>
        <w:separator/>
      </w:r>
    </w:p>
  </w:endnote>
  <w:endnote w:type="continuationSeparator" w:id="0">
    <w:p w:rsidR="00A06C36" w:rsidRDefault="00A06C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7066166"/>
      <w:docPartObj>
        <w:docPartGallery w:val="Page Numbers (Bottom of Page)"/>
        <w:docPartUnique/>
      </w:docPartObj>
    </w:sdtPr>
    <w:sdtEndPr/>
    <w:sdtContent>
      <w:p w:rsidR="00705EBA" w:rsidRDefault="00705EBA">
        <w:pPr>
          <w:pStyle w:val="Footer"/>
          <w:jc w:val="right"/>
        </w:pPr>
        <w:r>
          <w:fldChar w:fldCharType="begin"/>
        </w:r>
        <w:r>
          <w:instrText>PAGE   \* MERGEFORMAT</w:instrText>
        </w:r>
        <w:r>
          <w:fldChar w:fldCharType="separate"/>
        </w:r>
        <w:r w:rsidR="00476634" w:rsidRPr="00476634">
          <w:rPr>
            <w:noProof/>
            <w:lang w:val="id-ID"/>
          </w:rPr>
          <w:t>7</w:t>
        </w:r>
        <w:r>
          <w:fldChar w:fldCharType="end"/>
        </w:r>
      </w:p>
    </w:sdtContent>
  </w:sdt>
  <w:p w:rsidR="00705EBA" w:rsidRDefault="00705EBA">
    <w:pPr>
      <w:pStyle w:val="BodyText"/>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6044972"/>
      <w:docPartObj>
        <w:docPartGallery w:val="Page Numbers (Bottom of Page)"/>
        <w:docPartUnique/>
      </w:docPartObj>
    </w:sdtPr>
    <w:sdtEndPr>
      <w:rPr>
        <w:noProof/>
      </w:rPr>
    </w:sdtEndPr>
    <w:sdtContent>
      <w:p w:rsidR="00172B17" w:rsidRDefault="00473319">
        <w:pPr>
          <w:pStyle w:val="Footer"/>
          <w:jc w:val="right"/>
        </w:pPr>
        <w:r>
          <w:fldChar w:fldCharType="begin"/>
        </w:r>
        <w:r>
          <w:instrText xml:space="preserve"> PAGE   \* MERGEFORMAT </w:instrText>
        </w:r>
        <w:r>
          <w:fldChar w:fldCharType="separate"/>
        </w:r>
        <w:r w:rsidR="00476634">
          <w:rPr>
            <w:noProof/>
          </w:rPr>
          <w:t>8</w:t>
        </w:r>
        <w:r>
          <w:rPr>
            <w:noProof/>
          </w:rPr>
          <w:fldChar w:fldCharType="end"/>
        </w:r>
      </w:p>
    </w:sdtContent>
  </w:sdt>
  <w:p w:rsidR="00172B17" w:rsidRDefault="00A06C36">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C36" w:rsidRDefault="00A06C36">
      <w:r>
        <w:separator/>
      </w:r>
    </w:p>
  </w:footnote>
  <w:footnote w:type="continuationSeparator" w:id="0">
    <w:p w:rsidR="00A06C36" w:rsidRDefault="00A06C3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9E567B"/>
    <w:multiLevelType w:val="hybridMultilevel"/>
    <w:tmpl w:val="EF180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ECF7129"/>
    <w:multiLevelType w:val="hybridMultilevel"/>
    <w:tmpl w:val="11C884BA"/>
    <w:lvl w:ilvl="0" w:tplc="652A7A1A">
      <w:start w:val="1"/>
      <w:numFmt w:val="upperRoman"/>
      <w:lvlText w:val="%1."/>
      <w:lvlJc w:val="left"/>
      <w:pPr>
        <w:ind w:left="295" w:hanging="196"/>
      </w:pPr>
      <w:rPr>
        <w:rFonts w:ascii="Times New Roman" w:eastAsia="Times New Roman" w:hAnsi="Times New Roman" w:cs="Times New Roman" w:hint="default"/>
        <w:b/>
        <w:bCs/>
        <w:spacing w:val="-1"/>
        <w:w w:val="100"/>
        <w:sz w:val="22"/>
        <w:szCs w:val="22"/>
        <w:lang w:val="id" w:eastAsia="en-US" w:bidi="ar-SA"/>
      </w:rPr>
    </w:lvl>
    <w:lvl w:ilvl="1" w:tplc="B9B4CAE0">
      <w:numFmt w:val="bullet"/>
      <w:lvlText w:val="•"/>
      <w:lvlJc w:val="left"/>
      <w:pPr>
        <w:ind w:left="1194" w:hanging="196"/>
      </w:pPr>
      <w:rPr>
        <w:rFonts w:hint="default"/>
        <w:lang w:val="id" w:eastAsia="en-US" w:bidi="ar-SA"/>
      </w:rPr>
    </w:lvl>
    <w:lvl w:ilvl="2" w:tplc="842C2DCA">
      <w:numFmt w:val="bullet"/>
      <w:lvlText w:val="•"/>
      <w:lvlJc w:val="left"/>
      <w:pPr>
        <w:ind w:left="2088" w:hanging="196"/>
      </w:pPr>
      <w:rPr>
        <w:rFonts w:hint="default"/>
        <w:lang w:val="id" w:eastAsia="en-US" w:bidi="ar-SA"/>
      </w:rPr>
    </w:lvl>
    <w:lvl w:ilvl="3" w:tplc="0CE631BA">
      <w:numFmt w:val="bullet"/>
      <w:lvlText w:val="•"/>
      <w:lvlJc w:val="left"/>
      <w:pPr>
        <w:ind w:left="2982" w:hanging="196"/>
      </w:pPr>
      <w:rPr>
        <w:rFonts w:hint="default"/>
        <w:lang w:val="id" w:eastAsia="en-US" w:bidi="ar-SA"/>
      </w:rPr>
    </w:lvl>
    <w:lvl w:ilvl="4" w:tplc="166695A4">
      <w:numFmt w:val="bullet"/>
      <w:lvlText w:val="•"/>
      <w:lvlJc w:val="left"/>
      <w:pPr>
        <w:ind w:left="3876" w:hanging="196"/>
      </w:pPr>
      <w:rPr>
        <w:rFonts w:hint="default"/>
        <w:lang w:val="id" w:eastAsia="en-US" w:bidi="ar-SA"/>
      </w:rPr>
    </w:lvl>
    <w:lvl w:ilvl="5" w:tplc="53EE659A">
      <w:numFmt w:val="bullet"/>
      <w:lvlText w:val="•"/>
      <w:lvlJc w:val="left"/>
      <w:pPr>
        <w:ind w:left="4770" w:hanging="196"/>
      </w:pPr>
      <w:rPr>
        <w:rFonts w:hint="default"/>
        <w:lang w:val="id" w:eastAsia="en-US" w:bidi="ar-SA"/>
      </w:rPr>
    </w:lvl>
    <w:lvl w:ilvl="6" w:tplc="359E4A10">
      <w:numFmt w:val="bullet"/>
      <w:lvlText w:val="•"/>
      <w:lvlJc w:val="left"/>
      <w:pPr>
        <w:ind w:left="5664" w:hanging="196"/>
      </w:pPr>
      <w:rPr>
        <w:rFonts w:hint="default"/>
        <w:lang w:val="id" w:eastAsia="en-US" w:bidi="ar-SA"/>
      </w:rPr>
    </w:lvl>
    <w:lvl w:ilvl="7" w:tplc="AC663348">
      <w:numFmt w:val="bullet"/>
      <w:lvlText w:val="•"/>
      <w:lvlJc w:val="left"/>
      <w:pPr>
        <w:ind w:left="6558" w:hanging="196"/>
      </w:pPr>
      <w:rPr>
        <w:rFonts w:hint="default"/>
        <w:lang w:val="id" w:eastAsia="en-US" w:bidi="ar-SA"/>
      </w:rPr>
    </w:lvl>
    <w:lvl w:ilvl="8" w:tplc="D80AB39E">
      <w:numFmt w:val="bullet"/>
      <w:lvlText w:val="•"/>
      <w:lvlJc w:val="left"/>
      <w:pPr>
        <w:ind w:left="7452" w:hanging="196"/>
      </w:pPr>
      <w:rPr>
        <w:rFonts w:hint="default"/>
        <w:lang w:val="id" w:eastAsia="en-US" w:bidi="ar-SA"/>
      </w:rPr>
    </w:lvl>
  </w:abstractNum>
  <w:abstractNum w:abstractNumId="2">
    <w:nsid w:val="45C8582D"/>
    <w:multiLevelType w:val="hybridMultilevel"/>
    <w:tmpl w:val="6DB2B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86A17"/>
    <w:rsid w:val="00045B6E"/>
    <w:rsid w:val="00052609"/>
    <w:rsid w:val="00087282"/>
    <w:rsid w:val="00186A17"/>
    <w:rsid w:val="00271373"/>
    <w:rsid w:val="00341977"/>
    <w:rsid w:val="00454E18"/>
    <w:rsid w:val="00473319"/>
    <w:rsid w:val="00476634"/>
    <w:rsid w:val="004B23CC"/>
    <w:rsid w:val="004D6A92"/>
    <w:rsid w:val="005641A5"/>
    <w:rsid w:val="00577F3F"/>
    <w:rsid w:val="00705EBA"/>
    <w:rsid w:val="009F4552"/>
    <w:rsid w:val="00A06C36"/>
    <w:rsid w:val="00A6771A"/>
    <w:rsid w:val="00A80427"/>
    <w:rsid w:val="00AA5341"/>
    <w:rsid w:val="00B7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C5FB89D-C54F-4440-AFA7-EC4C7AAF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295" w:hanging="36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before="225"/>
      <w:ind w:left="940" w:right="952"/>
      <w:jc w:val="center"/>
    </w:pPr>
    <w:rPr>
      <w:b/>
      <w:bCs/>
      <w:sz w:val="24"/>
      <w:szCs w:val="24"/>
    </w:rPr>
  </w:style>
  <w:style w:type="paragraph" w:styleId="ListParagraph">
    <w:name w:val="List Paragraph"/>
    <w:basedOn w:val="Normal"/>
    <w:uiPriority w:val="1"/>
    <w:qFormat/>
    <w:pPr>
      <w:ind w:left="295" w:hanging="367"/>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4B23CC"/>
    <w:pPr>
      <w:tabs>
        <w:tab w:val="center" w:pos="4680"/>
        <w:tab w:val="right" w:pos="9360"/>
      </w:tabs>
    </w:pPr>
  </w:style>
  <w:style w:type="character" w:customStyle="1" w:styleId="FooterChar">
    <w:name w:val="Footer Char"/>
    <w:basedOn w:val="DefaultParagraphFont"/>
    <w:link w:val="Footer"/>
    <w:uiPriority w:val="99"/>
    <w:rsid w:val="004B23CC"/>
    <w:rPr>
      <w:rFonts w:ascii="Times New Roman" w:eastAsia="Times New Roman" w:hAnsi="Times New Roman" w:cs="Times New Roman"/>
      <w:lang w:val="id"/>
    </w:rPr>
  </w:style>
  <w:style w:type="character" w:styleId="PlaceholderText">
    <w:name w:val="Placeholder Text"/>
    <w:basedOn w:val="DefaultParagraphFont"/>
    <w:uiPriority w:val="99"/>
    <w:semiHidden/>
    <w:rsid w:val="00A80427"/>
    <w:rPr>
      <w:color w:val="808080"/>
    </w:rPr>
  </w:style>
  <w:style w:type="character" w:customStyle="1" w:styleId="BodyTextChar">
    <w:name w:val="Body Text Char"/>
    <w:basedOn w:val="DefaultParagraphFont"/>
    <w:link w:val="BodyText"/>
    <w:uiPriority w:val="1"/>
    <w:rsid w:val="009F4552"/>
    <w:rPr>
      <w:rFonts w:ascii="Times New Roman" w:eastAsia="Times New Roman" w:hAnsi="Times New Roman" w:cs="Times New Roman"/>
      <w:lang w:val="id"/>
    </w:rPr>
  </w:style>
  <w:style w:type="character" w:styleId="Hyperlink">
    <w:name w:val="Hyperlink"/>
    <w:basedOn w:val="DefaultParagraphFont"/>
    <w:uiPriority w:val="99"/>
    <w:unhideWhenUsed/>
    <w:rsid w:val="004766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istya.sugiarti@unpa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kemenkeu.go.id/" TargetMode="External"/><Relationship Id="rId4" Type="http://schemas.openxmlformats.org/officeDocument/2006/relationships/webSettings" Target="webSettings.xml"/><Relationship Id="rId9" Type="http://schemas.openxmlformats.org/officeDocument/2006/relationships/hyperlink" Target="http://autonetmagz.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8</Pages>
  <Words>2516</Words>
  <Characters>14342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TEMPLATE BISNET 2024 revisi.docx</vt:lpstr>
    </vt:vector>
  </TitlesOfParts>
  <Company/>
  <LinksUpToDate>false</LinksUpToDate>
  <CharactersWithSpaces>16825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BISNET 2024 revisi.docx</dc:title>
  <cp:lastModifiedBy>acer</cp:lastModifiedBy>
  <cp:revision>5</cp:revision>
  <dcterms:created xsi:type="dcterms:W3CDTF">2024-07-30T16:25:00Z</dcterms:created>
  <dcterms:modified xsi:type="dcterms:W3CDTF">2024-07-31T12:12:00Z</dcterms:modified>
</cp:coreProperties>
</file>