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AF2C5">
      <w:pPr>
        <w:spacing w:after="0" w:line="240" w:lineRule="auto"/>
        <w:jc w:val="center"/>
        <w:rPr>
          <w:rFonts w:ascii="Times New Roman" w:hAnsi="Times New Roman" w:cs="Times New Roman"/>
          <w:b/>
          <w:spacing w:val="4"/>
          <w:sz w:val="24"/>
          <w:szCs w:val="24"/>
        </w:rPr>
      </w:pPr>
      <w:r>
        <w:rPr>
          <w:rFonts w:ascii="Times New Roman" w:hAnsi="Times New Roman" w:cs="Times New Roman"/>
          <w:b/>
          <w:sz w:val="24"/>
          <w:szCs w:val="24"/>
        </w:rPr>
        <w:t xml:space="preserve"> EFEKTIFITAS PENAMBAHAN EKSTRAK TEMULAWAK (</w:t>
      </w:r>
      <w:r>
        <w:rPr>
          <w:rFonts w:ascii="Times New Roman" w:hAnsi="Times New Roman" w:cs="Times New Roman"/>
          <w:b/>
          <w:i/>
          <w:iCs/>
          <w:sz w:val="24"/>
          <w:szCs w:val="24"/>
        </w:rPr>
        <w:t>Curcuma xanthorrhiza Roxb.</w:t>
      </w:r>
      <w:r>
        <w:rPr>
          <w:rFonts w:ascii="Times New Roman" w:hAnsi="Times New Roman" w:cs="Times New Roman"/>
          <w:b/>
          <w:sz w:val="24"/>
          <w:szCs w:val="24"/>
        </w:rPr>
        <w:t>) PADA PAKAN KOMERSIAL TERHADAP PERTUMBUHAN DAN KELULUSHIDUPAN BENIH IKAN BAWAL BINTANG (</w:t>
      </w:r>
      <w:r>
        <w:rPr>
          <w:rFonts w:ascii="Times New Roman" w:hAnsi="Times New Roman" w:cs="Times New Roman"/>
          <w:b/>
          <w:i/>
          <w:iCs/>
          <w:sz w:val="24"/>
          <w:szCs w:val="24"/>
        </w:rPr>
        <w:t>Trachinotus blochii</w:t>
      </w:r>
      <w:r>
        <w:rPr>
          <w:rFonts w:ascii="Times New Roman" w:hAnsi="Times New Roman" w:cs="Times New Roman"/>
          <w:b/>
          <w:sz w:val="24"/>
          <w:szCs w:val="24"/>
        </w:rPr>
        <w:t>)</w:t>
      </w:r>
    </w:p>
    <w:p w14:paraId="5EF2CDB4">
      <w:pPr>
        <w:spacing w:after="0" w:line="240" w:lineRule="auto"/>
        <w:jc w:val="center"/>
        <w:rPr>
          <w:b/>
          <w:spacing w:val="4"/>
        </w:rPr>
      </w:pPr>
    </w:p>
    <w:p w14:paraId="3CD53105">
      <w:pPr>
        <w:spacing w:after="0" w:line="240" w:lineRule="auto"/>
        <w:jc w:val="center"/>
        <w:rPr>
          <w:rFonts w:ascii="Times New Roman" w:hAnsi="Times New Roman" w:eastAsia="Times New Roman" w:cs="Times New Roman"/>
          <w:b/>
          <w:bCs/>
          <w:i/>
          <w:iCs/>
          <w:color w:val="000000" w:themeColor="text1"/>
          <w:sz w:val="24"/>
          <w:szCs w:val="24"/>
          <w14:textFill>
            <w14:solidFill>
              <w14:schemeClr w14:val="tx1"/>
            </w14:solidFill>
          </w14:textFill>
        </w:rPr>
      </w:pPr>
      <w:r>
        <w:rPr>
          <w:rFonts w:ascii="Times New Roman" w:hAnsi="Times New Roman" w:eastAsia="Times New Roman"/>
          <w:b/>
          <w:bCs/>
          <w:i/>
          <w:iCs/>
          <w:color w:val="000000" w:themeColor="text1"/>
          <w:sz w:val="24"/>
          <w:szCs w:val="24"/>
          <w14:textFill>
            <w14:solidFill>
              <w14:schemeClr w14:val="tx1"/>
            </w14:solidFill>
          </w14:textFill>
        </w:rPr>
        <w:t>EFFECTIVENESS OF ADDING TEMULAWAK EXTRACT (Curcuma xanthorrhiza Roxb.) TO COMMERCIAL FEED ON THE GROWTH AND SURVIVAL OF STAR POMFRET FRY (Trachinotus blochii)</w:t>
      </w:r>
    </w:p>
    <w:p w14:paraId="560D3B73">
      <w:pPr>
        <w:spacing w:after="0" w:line="240" w:lineRule="auto"/>
        <w:jc w:val="center"/>
        <w:rPr>
          <w:b/>
          <w:sz w:val="24"/>
          <w:szCs w:val="24"/>
        </w:rPr>
      </w:pPr>
      <w:r>
        <w:rPr>
          <w:rFonts w:ascii="Times New Roman" w:hAnsi="Times New Roman" w:cs="Times New Roman"/>
          <w:b/>
          <w:sz w:val="24"/>
          <w:szCs w:val="24"/>
          <w:lang w:val="sv-SE"/>
        </w:rPr>
        <w:t xml:space="preserve"> </w:t>
      </w:r>
    </w:p>
    <w:p w14:paraId="2E6CEA58">
      <w:pPr>
        <w:spacing w:after="0" w:line="240" w:lineRule="auto"/>
        <w:jc w:val="center"/>
      </w:pPr>
    </w:p>
    <w:p w14:paraId="53A71401">
      <w:pPr>
        <w:spacing w:after="0" w:line="240" w:lineRule="auto"/>
        <w:jc w:val="center"/>
        <w:rPr>
          <w:rFonts w:ascii="Times New Roman" w:hAnsi="Times New Roman" w:cs="Times New Roman"/>
          <w:b/>
          <w:bCs/>
          <w:sz w:val="24"/>
          <w:szCs w:val="24"/>
          <w:lang w:val="en-US"/>
        </w:rPr>
      </w:pPr>
      <w:r>
        <w:rPr>
          <w:rFonts w:ascii="Times New Roman" w:hAnsi="Times New Roman" w:eastAsia="Times New Roman" w:cs="Times New Roman"/>
          <w:b/>
          <w:bCs/>
          <w:color w:val="000000" w:themeColor="text1"/>
          <w14:textFill>
            <w14:solidFill>
              <w14:schemeClr w14:val="tx1"/>
            </w14:solidFill>
          </w14:textFill>
        </w:rPr>
        <w:t>Monika Karnini Emba</w:t>
      </w:r>
      <w:r>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r>
        <w:rPr>
          <w:rFonts w:ascii="Times New Roman" w:hAnsi="Times New Roman" w:eastAsia="Times New Roman" w:cs="Times New Roman"/>
          <w:b/>
          <w:bCs/>
          <w:color w:val="000000" w:themeColor="text1"/>
          <w14:textFill>
            <w14:solidFill>
              <w14:schemeClr w14:val="tx1"/>
            </w14:solidFill>
          </w14:textFill>
        </w:rPr>
        <w:t>Agnette Tjendanawangi</w:t>
      </w:r>
      <w:r>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w:t>
      </w:r>
      <w:r>
        <w:rPr>
          <w:rFonts w:ascii="Times New Roman" w:hAnsi="Times New Roman" w:eastAsia="Times New Roman" w:cs="Times New Roman"/>
          <w:b/>
          <w:bCs/>
          <w:color w:val="000000" w:themeColor="text1"/>
          <w14:textFill>
            <w14:solidFill>
              <w14:schemeClr w14:val="tx1"/>
            </w14:solidFill>
          </w14:textFill>
        </w:rPr>
        <w:t>Yuliana Salosso</w:t>
      </w:r>
      <w:r>
        <w:rPr>
          <w:rFonts w:ascii="Times New Roman" w:hAnsi="Times New Roman" w:cs="Times New Roman"/>
          <w:b/>
          <w:bCs/>
          <w:sz w:val="24"/>
          <w:szCs w:val="24"/>
          <w:vertAlign w:val="superscript"/>
          <w:lang w:val="en-US"/>
        </w:rPr>
        <w:t>3</w:t>
      </w:r>
    </w:p>
    <w:p w14:paraId="75A61415">
      <w:pPr>
        <w:spacing w:after="0" w:line="240" w:lineRule="auto"/>
        <w:jc w:val="center"/>
        <w:rPr>
          <w:rFonts w:ascii="Times New Roman" w:hAnsi="Times New Roman" w:cs="Times New Roman"/>
          <w:i/>
          <w:iCs/>
          <w:shd w:val="clear" w:color="auto" w:fill="FFFFFF"/>
        </w:rPr>
      </w:pPr>
      <w:r>
        <w:rPr>
          <w:rFonts w:ascii="Times New Roman" w:hAnsi="Times New Roman" w:cs="Times New Roman"/>
          <w:i/>
          <w:iCs/>
          <w:shd w:val="clear" w:color="auto" w:fill="FFFFFF"/>
          <w:vertAlign w:val="superscript"/>
        </w:rPr>
        <w:t>1</w:t>
      </w:r>
      <w:r>
        <w:rPr>
          <w:rFonts w:ascii="Times New Roman" w:hAnsi="Times New Roman" w:cs="Times New Roman"/>
          <w:i/>
          <w:iCs/>
          <w:shd w:val="clear" w:color="auto" w:fill="FFFFFF"/>
          <w:lang w:val="en-US"/>
        </w:rPr>
        <w:t xml:space="preserve">Mahasiwa </w:t>
      </w:r>
      <w:r>
        <w:rPr>
          <w:rFonts w:ascii="Times New Roman" w:hAnsi="Times New Roman" w:cs="Times New Roman"/>
          <w:i/>
          <w:iCs/>
          <w:shd w:val="clear" w:color="auto" w:fill="FFFFFF"/>
        </w:rPr>
        <w:t>(Program Studi Budidaya Perairan, Fakultas Peternakan, Kelautan Dan Perikanan, Universitas Nusa Cendana)</w:t>
      </w:r>
    </w:p>
    <w:p w14:paraId="7DBE023A">
      <w:pPr>
        <w:spacing w:after="0" w:line="240" w:lineRule="auto"/>
        <w:jc w:val="center"/>
        <w:rPr>
          <w:rFonts w:ascii="Times New Roman" w:hAnsi="Times New Roman" w:cs="Times New Roman"/>
          <w:i/>
          <w:iCs/>
          <w:shd w:val="clear" w:color="auto" w:fill="FFFFFF"/>
        </w:rPr>
      </w:pPr>
      <w:r>
        <w:rPr>
          <w:rFonts w:ascii="Times New Roman" w:hAnsi="Times New Roman" w:cs="Times New Roman"/>
          <w:i/>
          <w:iCs/>
          <w:shd w:val="clear" w:color="auto" w:fill="FFFFFF"/>
        </w:rPr>
        <w:t xml:space="preserve"> </w:t>
      </w:r>
      <w:r>
        <w:rPr>
          <w:rFonts w:ascii="Times New Roman" w:hAnsi="Times New Roman" w:cs="Times New Roman"/>
          <w:i/>
          <w:iCs/>
          <w:shd w:val="clear" w:color="auto" w:fill="FFFFFF"/>
          <w:vertAlign w:val="superscript"/>
        </w:rPr>
        <w:t>2</w:t>
      </w:r>
      <w:r>
        <w:rPr>
          <w:rFonts w:ascii="Times New Roman" w:hAnsi="Times New Roman" w:cs="Times New Roman"/>
          <w:i/>
          <w:iCs/>
          <w:shd w:val="clear" w:color="auto" w:fill="FFFFFF"/>
          <w:lang w:val="en-US"/>
        </w:rPr>
        <w:t>Dosen</w:t>
      </w:r>
      <w:r>
        <w:rPr>
          <w:rFonts w:ascii="Times New Roman" w:hAnsi="Times New Roman" w:cs="Times New Roman"/>
          <w:i/>
          <w:iCs/>
          <w:shd w:val="clear" w:color="auto" w:fill="FFFFFF"/>
        </w:rPr>
        <w:t>(Program Studi Budidaya Perairan, Fakultas Peternakan, Kelautan Dan Perikanan, Universitas Nusa Cendana)</w:t>
      </w:r>
    </w:p>
    <w:p w14:paraId="7597C173">
      <w:pPr>
        <w:spacing w:after="0" w:line="240" w:lineRule="auto"/>
        <w:jc w:val="center"/>
        <w:rPr>
          <w:i/>
          <w:iCs/>
          <w:shd w:val="clear" w:color="auto" w:fill="FFFFFF"/>
        </w:rPr>
      </w:pPr>
      <w:r>
        <w:rPr>
          <w:rFonts w:ascii="Times New Roman" w:hAnsi="Times New Roman" w:cs="Times New Roman"/>
          <w:i/>
          <w:iCs/>
          <w:shd w:val="clear" w:color="auto" w:fill="FFFFFF"/>
        </w:rPr>
        <w:t xml:space="preserve"> </w:t>
      </w:r>
      <w:r>
        <w:rPr>
          <w:rFonts w:ascii="Times New Roman" w:hAnsi="Times New Roman" w:cs="Times New Roman"/>
          <w:i/>
          <w:iCs/>
          <w:shd w:val="clear" w:color="auto" w:fill="FFFFFF"/>
          <w:vertAlign w:val="superscript"/>
          <w:lang w:val="en-US"/>
        </w:rPr>
        <w:t>3</w:t>
      </w:r>
      <w:r>
        <w:rPr>
          <w:rFonts w:ascii="Times New Roman" w:hAnsi="Times New Roman" w:cs="Times New Roman"/>
          <w:i/>
          <w:iCs/>
          <w:shd w:val="clear" w:color="auto" w:fill="FFFFFF"/>
          <w:lang w:val="en-US"/>
        </w:rPr>
        <w:t>Dosen</w:t>
      </w:r>
      <w:r>
        <w:rPr>
          <w:rFonts w:ascii="Times New Roman" w:hAnsi="Times New Roman" w:cs="Times New Roman"/>
          <w:i/>
          <w:iCs/>
          <w:shd w:val="clear" w:color="auto" w:fill="FFFFFF"/>
        </w:rPr>
        <w:t xml:space="preserve"> (Program Studi Budidaya Perairan, Fakultas Peternakan, Kelautan Dan Perikanan, Universitas Nusa Cendana)</w:t>
      </w:r>
    </w:p>
    <w:p w14:paraId="575E60BE">
      <w:pPr>
        <w:spacing w:after="0" w:line="240" w:lineRule="auto"/>
        <w:jc w:val="center"/>
        <w:rPr>
          <w:rFonts w:ascii="Times New Roman" w:hAnsi="Times New Roman" w:cs="Times New Roman"/>
          <w:sz w:val="24"/>
          <w:szCs w:val="24"/>
          <w:shd w:val="clear" w:color="auto" w:fill="FFFFFF"/>
        </w:rPr>
      </w:pPr>
    </w:p>
    <w:p w14:paraId="6EDB6FCB">
      <w:pPr>
        <w:spacing w:after="0" w:line="240" w:lineRule="auto"/>
        <w:jc w:val="center"/>
        <w:rPr>
          <w:rFonts w:ascii="Times New Roman" w:hAnsi="Times New Roman" w:cs="Times New Roman"/>
        </w:rPr>
      </w:pPr>
      <w:r>
        <w:rPr>
          <w:rFonts w:ascii="Times New Roman" w:hAnsi="Times New Roman" w:cs="Times New Roman"/>
        </w:rPr>
        <w:t>Diterima; Disetujui</w:t>
      </w:r>
      <w:r>
        <w:rPr>
          <w:rFonts w:ascii="Times New Roman" w:hAnsi="Times New Roman" w:cs="Times New Roman"/>
          <w:lang w:val="en-US"/>
        </w:rPr>
        <w:t>; Tersedia Online</w:t>
      </w:r>
    </w:p>
    <w:p w14:paraId="6A88413B">
      <w:pPr>
        <w:spacing w:after="0" w:line="240" w:lineRule="auto"/>
        <w:jc w:val="center"/>
      </w:pPr>
    </w:p>
    <w:p w14:paraId="71B0D60B">
      <w:pPr>
        <w:spacing w:after="0" w:line="240" w:lineRule="auto"/>
        <w:jc w:val="center"/>
      </w:pPr>
    </w:p>
    <w:p w14:paraId="07C45D0D">
      <w:pPr>
        <w:spacing w:after="0" w:line="240" w:lineRule="auto"/>
        <w:jc w:val="both"/>
        <w:rPr>
          <w:rFonts w:ascii="Times New Roman" w:hAnsi="Times New Roman" w:cs="Times New Roman"/>
          <w:sz w:val="20"/>
          <w:szCs w:val="20"/>
          <w:shd w:val="clear" w:color="auto" w:fill="FFFFFF"/>
        </w:rPr>
      </w:pPr>
      <w:r>
        <w:rPr>
          <w:rFonts w:ascii="Times New Roman" w:hAnsi="Times New Roman" w:cs="Times New Roman"/>
          <w:b/>
          <w:bCs/>
          <w:sz w:val="20"/>
          <w:szCs w:val="20"/>
        </w:rPr>
        <w:t>ABSTRAK</w:t>
      </w:r>
      <w:r>
        <w:rPr>
          <w:rFonts w:ascii="Times New Roman" w:hAnsi="Times New Roman" w:cs="Times New Roman"/>
          <w:sz w:val="20"/>
          <w:szCs w:val="20"/>
          <w:shd w:val="clear" w:color="auto" w:fill="FFFFFF"/>
          <w:lang w:val="en-US"/>
        </w:rPr>
        <w:t xml:space="preserve"> : </w:t>
      </w:r>
      <w:r>
        <w:rPr>
          <w:rFonts w:ascii="Times New Roman" w:hAnsi="Times New Roman" w:cs="Times New Roman"/>
          <w:sz w:val="20"/>
          <w:szCs w:val="20"/>
          <w:lang w:val="en-US"/>
        </w:rPr>
        <w:t>Benih ikan bawal bintang (</w:t>
      </w:r>
      <w:r>
        <w:rPr>
          <w:rFonts w:ascii="Times New Roman" w:hAnsi="Times New Roman" w:cs="Times New Roman"/>
          <w:i/>
          <w:iCs/>
          <w:sz w:val="20"/>
          <w:szCs w:val="20"/>
          <w:lang w:val="en-US"/>
        </w:rPr>
        <w:t>Trachinotus blochii</w:t>
      </w:r>
      <w:r>
        <w:rPr>
          <w:rFonts w:ascii="Times New Roman" w:hAnsi="Times New Roman" w:cs="Times New Roman"/>
          <w:sz w:val="20"/>
          <w:szCs w:val="20"/>
          <w:lang w:val="en-US"/>
        </w:rPr>
        <w:t>) cukup rentan mengalami kematian karena daya tahan tubuh yang belum kuat dan stabil. Salah satu upaya dalam meningkatkan daya tahan tubuh benih ikan bawal bintang adalah melalui penggunaan imunostimulan dari bahan alami, salah satunya bahan alami temulawak (</w:t>
      </w:r>
      <w:r>
        <w:rPr>
          <w:rFonts w:ascii="Times New Roman" w:hAnsi="Times New Roman" w:cs="Times New Roman"/>
          <w:i/>
          <w:iCs/>
          <w:sz w:val="20"/>
          <w:szCs w:val="20"/>
          <w:lang w:val="en-US"/>
        </w:rPr>
        <w:t>Curcuma xanthorrhiza Roxb</w:t>
      </w:r>
      <w:r>
        <w:rPr>
          <w:rFonts w:ascii="Times New Roman" w:hAnsi="Times New Roman" w:cs="Times New Roman"/>
          <w:sz w:val="20"/>
          <w:szCs w:val="20"/>
          <w:lang w:val="en-US"/>
        </w:rPr>
        <w:t>.). Tujuan penelitian ini adalah untuk mengetahui pengaruh penambahan ekstrak temulawak pada pakan komersial terhadap pertumbuhan dan kelulushidupan benih ikan bawal bintang. Metode yang digunakan dalam penelitian ini adalah metode rancanan acak lengkap (RAL). Hasil uji ANOVA dari penelitian ini, menunjukkan bahwa penambahan ekstrak temulawak pada pakan komersial bagi benih ikan bawal bintang memiliki nilai terbaik dari perlakuan D (3% ekstrak temulawak), dimana hasil laju pertumbuhan spesifik yang paling besar yaitu 5,82%/hari, pertumbuhan berat mutlak paling besar yaitu 7,2 gram, pertumbuhan panjang mutlak paling besar yaitu 5,73 cm, nilai rasio konversi pakan paling rendah yaitu 1,10 dan efisiensi pakan paling besar yaitu 74,3% dengan tingkat kelulushidupan mencapai 100% pada semua perlakuan. Oleh karena itu, dapat disimpulkan bahwa penambahan ekstrak temulawak pada pakan komersial, memberikan pengaruh signifikan terhadap pertumbuhan dan kelulushidupan benih ikan bawal bintang.</w:t>
      </w:r>
    </w:p>
    <w:p w14:paraId="2213B1DD">
      <w:pPr>
        <w:spacing w:after="0" w:line="240" w:lineRule="auto"/>
        <w:jc w:val="both"/>
        <w:rPr>
          <w:rFonts w:ascii="Times New Roman" w:hAnsi="Times New Roman" w:cs="Times New Roman"/>
          <w:sz w:val="20"/>
          <w:szCs w:val="20"/>
          <w:lang w:val="en-US"/>
        </w:rPr>
      </w:pPr>
      <w:r>
        <w:rPr>
          <w:rFonts w:ascii="Times New Roman" w:hAnsi="Times New Roman" w:cs="Times New Roman"/>
          <w:b/>
          <w:bCs/>
          <w:sz w:val="20"/>
          <w:szCs w:val="20"/>
          <w:lang w:val="en-US"/>
        </w:rPr>
        <w:t>Kata kunci</w:t>
      </w:r>
      <w:r>
        <w:rPr>
          <w:rFonts w:ascii="Times New Roman" w:hAnsi="Times New Roman" w:cs="Times New Roman"/>
          <w:sz w:val="20"/>
          <w:szCs w:val="20"/>
          <w:lang w:val="en-US"/>
        </w:rPr>
        <w:t>: Ikan Bawal Bintang; Kelulushidupan; Pertumbuhan; Temulawak</w:t>
      </w:r>
    </w:p>
    <w:p w14:paraId="697446B5">
      <w:pPr>
        <w:spacing w:after="0" w:line="276" w:lineRule="auto"/>
        <w:jc w:val="both"/>
        <w:rPr>
          <w:rFonts w:ascii="Times New Roman" w:hAnsi="Times New Roman" w:cs="Times New Roman"/>
          <w:lang w:val="en-US"/>
        </w:rPr>
      </w:pPr>
    </w:p>
    <w:p w14:paraId="2B9B8052">
      <w:pPr>
        <w:spacing w:after="0" w:line="240" w:lineRule="auto"/>
        <w:jc w:val="both"/>
        <w:rPr>
          <w:rFonts w:ascii="Times New Roman" w:hAnsi="Times New Roman" w:cs="Times New Roman"/>
          <w:i/>
          <w:iCs/>
          <w:sz w:val="20"/>
          <w:szCs w:val="20"/>
          <w:lang w:val="en-US"/>
        </w:rPr>
      </w:pPr>
      <w:r>
        <w:rPr>
          <w:rFonts w:ascii="Times New Roman" w:hAnsi="Times New Roman" w:cs="Times New Roman"/>
          <w:b/>
          <w:bCs/>
          <w:i/>
          <w:iCs/>
          <w:sz w:val="20"/>
          <w:szCs w:val="20"/>
          <w:lang w:val="en-US"/>
        </w:rPr>
        <w:t>ABSTRACT</w:t>
      </w:r>
      <w:r>
        <w:rPr>
          <w:rFonts w:ascii="Times New Roman" w:hAnsi="Times New Roman" w:cs="Times New Roman"/>
          <w:sz w:val="20"/>
          <w:szCs w:val="20"/>
          <w:lang w:val="en-US"/>
        </w:rPr>
        <w:t xml:space="preserve"> : </w:t>
      </w:r>
      <w:r>
        <w:rPr>
          <w:rFonts w:ascii="Times New Roman" w:hAnsi="Times New Roman" w:cs="Times New Roman"/>
          <w:i/>
          <w:iCs/>
          <w:sz w:val="20"/>
          <w:szCs w:val="20"/>
          <w:lang w:val="en-US"/>
        </w:rPr>
        <w:t>Seeds of star pompano fish is quite susceptible to mortality due to their still weak and unstable immune system. One way to enhance the immunity of star pompano fish seeds is using immunostimulants from natural ingredients, one of which is the natural material temulawak (Curcuma xanthorrhiza Roxb.). The purpose of this study was to determine the effect of adding temulawak extract to commercial feed on the growth and survival of star pompano fish seeds. The results of the ANOVA test showed that adding temulawak extract to commercial feed for star pompano fish seeds had the best results with treatment D (3% temulawak extract), where the highest specific growth rate was 5.82%/day, and the highest absolute weight gain was 7.2 grams, the highest absolute length growth was 5.73 cm, the lowest feed conversion ratio was 1.10, and the highest feed efficiency was 74.3%, with a survival rate reaching 100% in all treatments. Therefore, it can be concluded that the addition of temulawak extract to commercial fish feed has a significant effect, on the growth and survival of the star pompano fish seeds.</w:t>
      </w:r>
    </w:p>
    <w:p w14:paraId="4B430384">
      <w:pPr>
        <w:spacing w:after="0" w:line="240" w:lineRule="auto"/>
        <w:jc w:val="both"/>
        <w:rPr>
          <w:rFonts w:ascii="Times New Roman" w:hAnsi="Times New Roman" w:cs="Times New Roman"/>
          <w:i/>
          <w:iCs/>
          <w:sz w:val="20"/>
          <w:szCs w:val="20"/>
          <w:lang w:val="en-US"/>
        </w:rPr>
      </w:pPr>
      <w:r>
        <w:rPr>
          <w:rFonts w:ascii="Times New Roman" w:hAnsi="Times New Roman" w:cs="Times New Roman"/>
          <w:b/>
          <w:bCs/>
          <w:i/>
          <w:iCs/>
          <w:sz w:val="20"/>
          <w:szCs w:val="20"/>
          <w:lang w:val="en-US"/>
        </w:rPr>
        <w:t>Keywords</w:t>
      </w:r>
      <w:r>
        <w:rPr>
          <w:rFonts w:ascii="Times New Roman" w:hAnsi="Times New Roman" w:cs="Times New Roman"/>
          <w:i/>
          <w:iCs/>
          <w:sz w:val="20"/>
          <w:szCs w:val="20"/>
          <w:lang w:val="en-US"/>
        </w:rPr>
        <w:t xml:space="preserve">: Growth; Survival; Temulawak; The star pompano fish  </w:t>
      </w:r>
    </w:p>
    <w:p w14:paraId="5DC943D8">
      <w:pPr>
        <w:spacing w:after="0" w:line="240" w:lineRule="auto"/>
        <w:jc w:val="both"/>
        <w:rPr>
          <w:rFonts w:ascii="Times New Roman" w:hAnsi="Times New Roman" w:cs="Times New Roman"/>
          <w:lang w:val="en-US"/>
        </w:rPr>
      </w:pPr>
    </w:p>
    <w:p w14:paraId="13347662">
      <w:pPr>
        <w:spacing w:after="0" w:line="240" w:lineRule="auto"/>
        <w:jc w:val="both"/>
        <w:rPr>
          <w:rFonts w:ascii="Times New Roman" w:hAnsi="Times New Roman" w:cs="Times New Roman"/>
          <w:lang w:val="en-US"/>
        </w:rPr>
      </w:pPr>
      <w:r>
        <w:rPr>
          <w:lang w:val="en-US"/>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68580</wp:posOffset>
                </wp:positionV>
                <wp:extent cx="2301240" cy="0"/>
                <wp:effectExtent l="0" t="6350" r="0" b="6350"/>
                <wp:wrapNone/>
                <wp:docPr id="1" name="Straight Connector 8"/>
                <wp:cNvGraphicFramePr/>
                <a:graphic xmlns:a="http://schemas.openxmlformats.org/drawingml/2006/main">
                  <a:graphicData uri="http://schemas.microsoft.com/office/word/2010/wordprocessingShape">
                    <wps:wsp>
                      <wps:cNvCnPr/>
                      <wps:spPr>
                        <a:xfrm>
                          <a:off x="0" y="0"/>
                          <a:ext cx="2301240" cy="0"/>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Straight Connector 8" o:spid="_x0000_s1026" o:spt="20" style="position:absolute;left:0pt;margin-left:0.2pt;margin-top:5.4pt;height:0pt;width:181.2pt;z-index:251659264;mso-width-relative:page;mso-height-relative:page;" filled="f" stroked="t" coordsize="21600,21600" o:gfxdata="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HN35S9MAAAAGAQAADwAAAAAA&#10;AAABACAAAAAiAAAAZHJzL2Rvd25yZXYueG1sUEsBAhQAFAAAAAgAh07iQF8S+ubfAQAA5gMAAA4A&#10;AAAAAAAAAQAgAAAAIgEAAGRycy9lMm9Eb2MueG1sUEsFBgAAAAAGAAYAWQEAAHMFAAAAAA==&#10;">
                <v:fill on="f" focussize="0,0"/>
                <v:stroke weight="1pt" color="#000000" joinstyle="miter"/>
                <v:imagedata o:title=""/>
                <o:lock v:ext="edit" aspectratio="f"/>
              </v:line>
            </w:pict>
          </mc:Fallback>
        </mc:AlternateContent>
      </w:r>
    </w:p>
    <w:p w14:paraId="1DF6EA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*corresponding author</w:t>
      </w:r>
    </w:p>
    <w:p w14:paraId="294171E2">
      <w:pPr>
        <w:spacing w:after="0" w:line="240" w:lineRule="auto"/>
        <w:jc w:val="both"/>
        <w:rPr>
          <w:rFonts w:ascii="Times New Roman" w:hAnsi="Times New Roman" w:cs="Times New Roman"/>
          <w:sz w:val="20"/>
          <w:szCs w:val="20"/>
        </w:rPr>
      </w:pPr>
      <w:r>
        <w:rPr>
          <w:rFonts w:ascii="Times New Roman" w:hAnsi="Times New Roman" w:cs="Times New Roman"/>
          <w:i/>
          <w:iCs/>
          <w:sz w:val="20"/>
          <w:szCs w:val="20"/>
          <w:lang w:val="en-US"/>
        </w:rPr>
        <w:t xml:space="preserve">Email </w:t>
      </w:r>
      <w:r>
        <w:rPr>
          <w:rFonts w:ascii="Times New Roman" w:hAnsi="Times New Roman" w:cs="Times New Roman"/>
          <w:sz w:val="20"/>
          <w:szCs w:val="20"/>
        </w:rPr>
        <w:t xml:space="preserve">: </w:t>
      </w:r>
      <w:r>
        <w:rPr>
          <w:rFonts w:ascii="Times New Roman" w:hAnsi="Times New Roman" w:cs="Times New Roman"/>
          <w:sz w:val="20"/>
          <w:szCs w:val="20"/>
          <w:lang w:val="en-US"/>
        </w:rPr>
        <w:t>niniemba12</w:t>
      </w:r>
      <w:r>
        <w:rPr>
          <w:rFonts w:ascii="Times New Roman" w:hAnsi="Times New Roman" w:cs="Times New Roman"/>
          <w:sz w:val="20"/>
          <w:szCs w:val="20"/>
        </w:rPr>
        <w:t>@</w:t>
      </w:r>
      <w:r>
        <w:rPr>
          <w:rFonts w:ascii="Times New Roman" w:hAnsi="Times New Roman" w:cs="Times New Roman"/>
          <w:sz w:val="20"/>
          <w:szCs w:val="20"/>
          <w:lang w:val="en-US"/>
        </w:rPr>
        <w:t>gmail</w:t>
      </w:r>
      <w:r>
        <w:rPr>
          <w:rFonts w:ascii="Times New Roman" w:hAnsi="Times New Roman" w:cs="Times New Roman"/>
          <w:sz w:val="20"/>
          <w:szCs w:val="20"/>
        </w:rPr>
        <w:t>.com</w:t>
      </w:r>
    </w:p>
    <w:p w14:paraId="5B64628E">
      <w:pPr>
        <w:spacing w:after="0" w:line="360" w:lineRule="auto"/>
        <w:jc w:val="both"/>
        <w:rPr>
          <w:rFonts w:ascii="Times New Roman" w:hAnsi="Times New Roman" w:cs="Times New Roman"/>
          <w:lang w:val="en-US"/>
        </w:rPr>
      </w:pPr>
    </w:p>
    <w:p w14:paraId="5CA8119C">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Recommended APA Citation : </w:t>
      </w:r>
    </w:p>
    <w:p w14:paraId="2F6815F2">
      <w:pPr>
        <w:spacing w:after="0" w:line="276" w:lineRule="auto"/>
        <w:ind w:left="426" w:hanging="426"/>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Emba, M.K., Tjendanawangi A., &amp; Salosso, Y. (2026). Efektifitas penambahan ekstrak temulawak (Curcuma xanthorrhiza Roxb.) pada pakan komersial terhadap pertumbuhan dan kelulushidupan benih ikan bawal bintang (Trachinotus blochii). </w:t>
      </w:r>
      <w:r>
        <w:rPr>
          <w:rFonts w:ascii="Times New Roman" w:hAnsi="Times New Roman" w:cs="Times New Roman"/>
          <w:i/>
          <w:iCs/>
          <w:sz w:val="20"/>
          <w:szCs w:val="20"/>
          <w:lang w:val="en-US"/>
        </w:rPr>
        <w:t xml:space="preserve">J.Aquac.Indones, </w:t>
      </w:r>
      <w:r>
        <w:rPr>
          <w:rFonts w:ascii="Times New Roman" w:hAnsi="Times New Roman" w:cs="Times New Roman"/>
          <w:sz w:val="20"/>
          <w:szCs w:val="20"/>
          <w:lang w:val="en-US"/>
        </w:rPr>
        <w:t xml:space="preserve">12(2):1462‑73. </w:t>
      </w:r>
      <w:r>
        <w:fldChar w:fldCharType="begin"/>
      </w:r>
      <w:r>
        <w:instrText xml:space="preserve"> HYPERLINK "https://doi.org/10.22373/ekw.v6i1.5920" </w:instrText>
      </w:r>
      <w:r>
        <w:fldChar w:fldCharType="separate"/>
      </w:r>
      <w:r>
        <w:rPr>
          <w:rStyle w:val="7"/>
          <w:rFonts w:ascii="Times New Roman" w:hAnsi="Times New Roman" w:cs="Times New Roman"/>
          <w:sz w:val="20"/>
          <w:szCs w:val="20"/>
          <w:lang w:val="en-US"/>
        </w:rPr>
        <w:t>https://doi.org/10.22373/ekw.v6i1.5920</w:t>
      </w:r>
      <w:r>
        <w:rPr>
          <w:rStyle w:val="7"/>
          <w:rFonts w:ascii="Times New Roman" w:hAnsi="Times New Roman" w:cs="Times New Roman"/>
          <w:sz w:val="20"/>
          <w:szCs w:val="20"/>
          <w:lang w:val="en-US"/>
        </w:rPr>
        <w:fldChar w:fldCharType="end"/>
      </w:r>
      <w:r>
        <w:rPr>
          <w:rStyle w:val="7"/>
          <w:rFonts w:ascii="Times New Roman" w:hAnsi="Times New Roman" w:cs="Times New Roman"/>
          <w:sz w:val="20"/>
          <w:szCs w:val="20"/>
          <w:lang w:val="en-US"/>
        </w:rPr>
        <w:t xml:space="preserve"> </w:t>
      </w:r>
    </w:p>
    <w:p w14:paraId="4F72C4B3">
      <w:pPr>
        <w:spacing w:after="0" w:line="360" w:lineRule="auto"/>
        <w:jc w:val="both"/>
        <w:rPr>
          <w:rFonts w:ascii="Times New Roman" w:hAnsi="Times New Roman" w:cs="Times New Roman"/>
          <w:sz w:val="24"/>
          <w:szCs w:val="24"/>
          <w:lang w:val="en-US"/>
        </w:rPr>
      </w:pPr>
    </w:p>
    <w:p w14:paraId="421800C5">
      <w:pPr>
        <w:spacing w:after="0" w:line="360" w:lineRule="auto"/>
        <w:jc w:val="both"/>
        <w:rPr>
          <w:rFonts w:ascii="Times New Roman" w:hAnsi="Times New Roman" w:cs="Times New Roman"/>
          <w:sz w:val="24"/>
          <w:szCs w:val="24"/>
          <w:lang w:val="en-US"/>
        </w:rPr>
        <w:sectPr>
          <w:headerReference r:id="rId6" w:type="first"/>
          <w:headerReference r:id="rId5" w:type="default"/>
          <w:pgSz w:w="11906" w:h="16838"/>
          <w:pgMar w:top="1701" w:right="1985" w:bottom="1701" w:left="1985" w:header="284" w:footer="709" w:gutter="0"/>
          <w:cols w:space="708" w:num="1"/>
          <w:titlePg/>
          <w:docGrid w:linePitch="360" w:charSpace="0"/>
        </w:sectPr>
      </w:pPr>
    </w:p>
    <w:p w14:paraId="3E460931">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PENDAHULUAN </w:t>
      </w:r>
    </w:p>
    <w:p w14:paraId="4EB245DB">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lang w:val="en-US"/>
        </w:rPr>
        <w:t xml:space="preserve">Ikan bawal bintang merupakan salah satu spesies ikan yang diintroduksi dari Taiwan dan tergolong baru dibudidayakan di Indonesia dengan keberhasilan pertama di tahun 2007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{"citationItems":[{"id":"ITEM-1","itemData":{"author":[{"dropping-particle":"","family":"Faqih","given":"Udin","non-dropping-particle":"","parse-names":false,"suffix":""}],"id":"ITEM-1","issued":{"date-parts":[["2023"]]},"language":"Indonesia","title":"I. PENDAHULUAN","type":"report"},"uris":["http://www.mendeley.com/documents/?uuid=b17f1b55-7cc6-3884-bef7-aa9268198fd1"]}],"mendeley":{"formattedCitation":"(Faqih 2023)","manualFormatting":"(Faqih, 2023)","plainTextFormattedCitation":"(Faqih 2023)","previouslyFormattedCitation":"(Faqih 2023)"},"properties":{"noteIndex":0},"schema":"https://github.com/citation-style-language/schema/raw/master/csl-citation.json"}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(Faqih</w:t>
      </w:r>
      <w:r>
        <w:rPr>
          <w:rFonts w:ascii="Times New Roman" w:hAnsi="Times New Roman" w:cs="Times New Roman"/>
          <w:sz w:val="24"/>
          <w:szCs w:val="24"/>
        </w:rPr>
        <w:t>,</w:t>
      </w:r>
      <w:r>
        <w:rPr>
          <w:rFonts w:ascii="Times New Roman" w:hAnsi="Times New Roman" w:cs="Times New Roman"/>
          <w:sz w:val="24"/>
          <w:szCs w:val="24"/>
          <w:lang w:val="en-US"/>
        </w:rPr>
        <w:t xml:space="preserve"> 2023)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Permintaan akan ikan bawal bintang cukup tinggi di pasar lokal maupun internasional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author":[{"dropping-particle":"","family":"Febriany","given":"","non-dropping-particle":"","parse-names":false,"suffix":""},{"dropping-particle":"","family":"Lesmana","given":"Dudi","non-dropping-particle":"","parse-names":false,"suffix":""}],"id":"ITEM-1","issue":"1","issued":{"date-parts":[["2022"]]},"number-of-pages":"2407-9030","title":"PERTUMBUHAN DAN KELANGSUNGAN HIDUP BENIH IKAN BAWAL BINTANG (Trachinotus blochii) DENGAN PENAMBAHAN DOSIS PROBIOTIK YANG BERBEDA PRODUCTION PERFORMANCE OF STAR POMFRET (Trachinotus blochii) WHICH WAS FED WITH DIFFERENT DOSES OF PROBIOTICS","type":"report","volume":"8"},"uris":["http://www.mendeley.com/documents/?uuid=a200d9b8-5b70-3c9f-8f5b-ac292df4016d"]}],"mendeley":{"formattedCitation":"(Febriany and Lesmana 2022)","manualFormatting":"(Febriany, Mulyana dan Lesmana, 2022)","plainTextFormattedCitation":"(Febriany and Lesmana 2022)","previouslyFormattedCitation":"(Febriany and Lesmana 2022)"},"properties":{"noteIndex":0},"schema":"https://github.com/citation-style-language/schema/raw/master/csl-citation.json"}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(Febriany</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Mulyana </w:t>
      </w:r>
      <w:r>
        <w:rPr>
          <w:rFonts w:ascii="Times New Roman" w:hAnsi="Times New Roman" w:cs="Times New Roman"/>
          <w:sz w:val="24"/>
          <w:szCs w:val="24"/>
        </w:rPr>
        <w:t>dan</w:t>
      </w:r>
      <w:r>
        <w:rPr>
          <w:rFonts w:ascii="Times New Roman" w:hAnsi="Times New Roman" w:cs="Times New Roman"/>
          <w:sz w:val="24"/>
          <w:szCs w:val="24"/>
          <w:lang w:val="en-US"/>
        </w:rPr>
        <w:t xml:space="preserve"> Lesmana, 2022)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Di Indonesia, harga ikan bawal bintang relatif tinggi sekitar Rp. 55.000 - 60.000 perkilogramnya untuk kondisi ikan yang segar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{"citationItems":[{"id":"ITEM-1","itemData":{"DOI":"10.55981/brin.908.c759","abstract":"… perikanan diberikan izin untuk menangkap ikan, tetapi tanpa batasan kuota yang jelas. Akibatnya, aktivitas … menjadi instrumen yang efektif untuk pengelolaan perikanan yang efisien di …","author":[{"dropping-particle":"","family":"KKP","given":"","non-dropping-particle":"","parse-names":false,"suffix":""}],"container-title":"Pengelolaan Sumber Daya Perikanan Laut Berkelanjutan","id":"ITEM-1","issued":{"date-parts":[["2023","12","29"]]},"publisher":"Penerbit BRIN","title":"Penangkapan Ikan Terukur: Tantangan dan Penerapan","type":"chapter"},"uris":["http://www.mendeley.com/documents/?uuid=4012c571-2ed1-362a-bc1a-3828ca659425"]}],"mendeley":{"formattedCitation":"(KKP 2023)","manualFormatting":"(KKP, 2023)","plainTextFormattedCitation":"(KKP 2023)","previouslyFormattedCitation":"(KKP 2023)"},"properties":{"noteIndex":0},"schema":"https://github.com/citation-style-language/schema/raw/master/csl-citation.json"}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(KKP</w:t>
      </w:r>
      <w:r>
        <w:rPr>
          <w:rFonts w:ascii="Times New Roman" w:hAnsi="Times New Roman" w:cs="Times New Roman"/>
          <w:sz w:val="24"/>
          <w:szCs w:val="24"/>
        </w:rPr>
        <w:t>,</w:t>
      </w:r>
      <w:r>
        <w:rPr>
          <w:rFonts w:ascii="Times New Roman" w:hAnsi="Times New Roman" w:cs="Times New Roman"/>
          <w:sz w:val="24"/>
          <w:szCs w:val="24"/>
          <w:lang w:val="en-US"/>
        </w:rPr>
        <w:t xml:space="preserve"> 2023)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Hal ini menjadi peluang yang menjanjikan pada usaha budidaya ikan bawal bintang. </w:t>
      </w:r>
    </w:p>
    <w:p w14:paraId="598A1353">
      <w:pPr>
        <w:spacing w:after="0" w:line="276"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Ikan bawal bintang memiliki keunggulan yaitu pertumbuhannya cepat dan saat masih berukuran benih (2-3 cm),</w:t>
      </w:r>
      <w:r>
        <w:rPr>
          <w:rFonts w:ascii="Times New Roman" w:hAnsi="Times New Roman" w:cs="Times New Roman"/>
          <w:sz w:val="24"/>
          <w:szCs w:val="24"/>
        </w:rPr>
        <w:t xml:space="preserve"> </w:t>
      </w:r>
      <w:r>
        <w:rPr>
          <w:rFonts w:ascii="Times New Roman" w:hAnsi="Times New Roman" w:cs="Times New Roman"/>
          <w:sz w:val="24"/>
          <w:szCs w:val="24"/>
          <w:lang w:val="en-US"/>
        </w:rPr>
        <w:t>membutuhkan pakan dengan kandungan protein sekitar 35–40%</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{"citationItems":[{"id":"ITEM-1","itemData":{"abstract":"A feeding trial was conducted in a flow-through system in 1 m 3 tanks using seawater to determine the optimum dietary protein requirement of juvenile silver pomfret, Pampus argenteus (Euphrasen). Fish were stocked a density of 12 juveniles per tank. Five semi-purified iso-energetic diets were formulated with fish meal to contain graded levels of 35, 40, 45, 50, and 55% crude protein. Each diet was fed to triplicate groups of fish to apparent satiation twice daily. The growth of fish fed 50% protein diet was not significantly different (P &gt; 0.05) from that of fish fed 45 or 55% diet, but significantly higher than that of fish fed 35 or 40% diet. Feed conversion ratio (FCR) ranged between 1.7 and 2.5%, and 35% protein diet had significantly higher FCR than those of 45, 50 and 55% diets. Protein efficiency ratio of fish fed 55% protein diet was significantly lower than rest of the diets. Fish fed 50% dietary protein showed significantly best apparent net protein utilization. There were no significant differences between the survivals of fish which ranged between 80.6 and 88.9%. Based on the polynomial regression analysis of %weight gain, the optimal dietary protein level for silver pomfret was estimated to be 49%.","author":[{"dropping-particle":"","family":"Hossain","given":"M Arshad","non-dropping-particle":"","parse-names":false,"suffix":""},{"dropping-particle":"","family":"Almatar","given":"Sulaiman M","non-dropping-particle":"","parse-names":false,"suffix":""},{"dropping-particle":"","family":"James","given":"Charles M","non-dropping-particle":"","parse-names":false,"suffix":""}],"container-title":"JOURNAL OF THE WORLD AQUACULTURE SOCIETY","id":"ITEM-1","issue":"5","issued":{"date-parts":[["2010"]]},"title":"Optimum Dietary Protein Level for Juvenile Silver Pomfret, Pampus argenteus (Euphrasen)","type":"report","volume":"41"},"uris":["http://www.mendeley.com/documents/?uuid=80630f5f-f2ab-3395-adf3-4318cdf3acfa"]}],"mendeley":{"formattedCitation":"(Hossain, Almatar, and James 2010)","manualFormatting":"(Hossain, Almatar dan James, 2010)","plainTextFormattedCitation":"(Hossain, Almatar, and James 2010)","previouslyFormattedCitation":"(Hossain, Almatar, and James 2010)"},"properties":{"noteIndex":0},"schema":"https://github.com/citation-style-language/schema/raw/master/csl-citation.json"}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(Hossain, Almatar dan James, 2010)</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Pakan yang baik untuk pertumbuhan ikan adalah pakan yang mempunyai gizi seimbang, baik protein, karbohidrat, lemak, vitamin dan mineral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{"citationItems":[{"id":"ITEM-1","itemData":{"author":[{"dropping-particle":"","family":"Islamiyah","given":"Diana Rachmawati, Titik Susilowati","non-dropping-particle":"","parse-names":false,"suffix":""}],"id":"ITEM-1","issued":{"date-parts":[["2017"]]},"title":"islamyah_20479-41565-1-SM","type":"article-journal"},"uris":["http://www.mendeley.com/documents/?uuid=2038cf7c-6ddd-3515-8eb1-ef98900b2570"]}],"mendeley":{"formattedCitation":"(Islamiyah 2017)","manualFormatting":"(Islamiyah, Rachmawati dan Susilowati, 2017)","plainTextFormattedCitation":"(Islamiyah 2017)","previouslyFormattedCitation":"(Islamiyah 2017)"},"properties":{"noteIndex":0},"schema":"https://github.com/citation-style-language/schema/raw/master/csl-citation.json"}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(Islamiyah,</w:t>
      </w:r>
      <w:r>
        <w:rPr>
          <w:rFonts w:ascii="Times New Roman" w:hAnsi="Times New Roman" w:cs="Times New Roman"/>
          <w:sz w:val="24"/>
          <w:szCs w:val="24"/>
        </w:rPr>
        <w:t xml:space="preserve"> </w:t>
      </w:r>
      <w:r>
        <w:rPr>
          <w:rFonts w:ascii="Times New Roman" w:hAnsi="Times New Roman" w:cs="Times New Roman"/>
          <w:sz w:val="24"/>
          <w:szCs w:val="24"/>
          <w:lang w:val="en-US"/>
        </w:rPr>
        <w:t>Rachmawati</w:t>
      </w:r>
      <w:r>
        <w:rPr>
          <w:rFonts w:ascii="Times New Roman" w:hAnsi="Times New Roman" w:cs="Times New Roman"/>
          <w:sz w:val="24"/>
          <w:szCs w:val="24"/>
        </w:rPr>
        <w:t xml:space="preserve"> dan</w:t>
      </w:r>
      <w:r>
        <w:rPr>
          <w:rFonts w:ascii="Times New Roman" w:hAnsi="Times New Roman" w:cs="Times New Roman"/>
          <w:sz w:val="24"/>
          <w:szCs w:val="24"/>
          <w:lang w:val="en-US"/>
        </w:rPr>
        <w:t xml:space="preserve"> Susilowati</w:t>
      </w:r>
      <w:r>
        <w:rPr>
          <w:rFonts w:ascii="Times New Roman" w:hAnsi="Times New Roman" w:cs="Times New Roman"/>
          <w:sz w:val="24"/>
          <w:szCs w:val="24"/>
        </w:rPr>
        <w:t>,</w:t>
      </w:r>
      <w:r>
        <w:rPr>
          <w:rFonts w:ascii="Times New Roman" w:hAnsi="Times New Roman" w:cs="Times New Roman"/>
          <w:sz w:val="24"/>
          <w:szCs w:val="24"/>
          <w:lang w:val="en-US"/>
        </w:rPr>
        <w:t xml:space="preserve">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Pakan menyumbang sekitar 60-70% dari total biaya produksi, sekaligus menjadi komponen yang sangat besar peranannya dalam penentu pertumbuhan dan kelangsungan hidup pada bidang budidaya ikan, serta berfungsi sebagai sumber energi bagi kehidupan, pertumbuhan dan reproduksi ikan </w:t>
      </w:r>
      <w:r>
        <w:rPr>
          <w:rFonts w:ascii="Times New Roman" w:hAnsi="Times New Roman" w:cs="Times New Roman"/>
          <w:sz w:val="24"/>
          <w:szCs w:val="24"/>
          <w:lang w:val="en-US"/>
        </w:rPr>
        <w:fldChar w:fldCharType="begin" w:fldLock="1"/>
      </w:r>
      <w:r>
        <w:rPr>
          <w:rFonts w:ascii="Times New Roman" w:hAnsi="Times New Roman" w:cs="Times New Roman"/>
          <w:sz w:val="24"/>
          <w:szCs w:val="24"/>
        </w:rPr>
        <w:instrText xml:space="preserve">ADDIN CSL_CITATION {"citationItems":[{"id":"ITEM-1","itemData":{"DOI":"10.51179/jipsbp.v3i2.475","ISSN":"2657-0254","abstract":"Ikan Peres (Osteochilus kappeni) merupakan salah satu ikan dominan di Danau Laut Tawar dan Hulu Sungai Peusangan, Aceh Tengah. Namun saat ini populasinya semakin berkurang karena disebabkan oleh penangkapan yang berlebihan dan kerusakan lingkungan. Penggunaan bahan herbal seperti ekstrak kunyit menjadi  salah satu alternatif untuk meningkatkan pertumbuhan dan kelangsungan hidup ikan peres pada budidaya. Penelitian ini bertujuan untuk menganalisis pengaruh dari pemberian ekstrak kunyit kedalam pakan dalam meningkatkan pertumbuhan dan kelangsungan hidup benih ikan peres dan mengetahui dosis ekstrak kunyit yang terbaik bagi pertumbuhan dan kelangsungan hidup. Benih ikan peres yang digunakan berukuran  3- 5 cm. Perlakuan dosis ekstrak kunyit yang diujikan adalah 0 ml,2 ml,4 ml dan 6 ml. Hasil penelitian menunjukaan dosis ekstrak kunyit yang terbaik untuk bobot mutlak yaitu pada perlakuan P2 (1,332 gram),tingkat kelangsungan hidup tertinggi pada perlakuan P1 (94,44 %) dan efesiensi pakan yang paling tinggi P2 (36,60 %). RKP tertinggi pada P1(4,82%). Berdasarkan analisis sidik ragam diperoleh hasil bahwa perlakuan yang diberikan berpengaruh nyata terhadap pertumbuhan bobot mutlak, pertumbuhan panjang mutlak, laju pertumbuhan harian, namun tidak berpengaruh pada tingkat kelangsungan hidup, rasio konversi pakan dan efesiensi pakan. Berdasarkan uji Duncan diperoleh perlakuan yang terbaik yaitu pada perlakuan P2 (2ml/ kg pakan) untuk pertumbuhan benih ikan peres (Osteochillus kappeni).","author":[{"dropping-particle":"","family":"Ranggayoni","given":"Nanda","non-dropping-particle":"","parse-names":false,"suffix":""},{"dropping-particle":"","family":"Purnama Febri","given":"Suri","non-dropping-particle":"","parse-names":false,"suffix":""},{"dropping-particle":"","family":"Fauzan Isma","given":"Muhammad","non-dropping-particle":"","parse-names":false,"suffix":""},{"dropping-particle":"","family":"Hasri","given":"Iwan","non-dropping-particle":"","parse-names":false,"suffix":""}],"container-title":"Arwana: Jurnal Ilmiah Program Studi Perairan","id":"ITEM-1","issue":"2","issued":{"date-parts":[["2021","11","4"]]},"page":"75-81","publisher":"Universitas Almuslim","title":"Pengaruh penambahan ekstrak kunyit (Curcuma domestica) pada pakan komersil terhadap pertumbuhan dan kelangsungan hidup benih ikan peres (Osteochillus kappeni)","type":"article-journal","volume":"3"},"uris":["http://www.mendeley.com/documents/?uuid=a0f22e9b-f6be-337e-9f78-5bcf55efa30c"]}],"mendeley":{"formattedCitation":"(Ranggayoni et al. 2021)","manualFormatting":"(Ranggayoni, Isma, Febri dan Hasri, 2021)","plainTextFormattedCitation":"(Ranggayoni et al. 2021)","previouslyFormattedCitation":"(Ranggayoni et al. 2021)"},"properties":{"noteIndex":0},"schema":"https://github.com/citation-style-language/schema/raw/master/csl-citation.json"}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(Ranggayoni</w:t>
      </w:r>
      <w:r>
        <w:rPr>
          <w:rFonts w:ascii="Times New Roman" w:hAnsi="Times New Roman" w:cs="Times New Roman"/>
          <w:sz w:val="24"/>
          <w:szCs w:val="24"/>
        </w:rPr>
        <w:t>, Isma, Febri dan Hasri</w:t>
      </w:r>
      <w:r>
        <w:rPr>
          <w:rFonts w:ascii="Times New Roman" w:hAnsi="Times New Roman" w:eastAsia="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2021)</w:t>
      </w:r>
      <w:r>
        <w:rPr>
          <w:rFonts w:ascii="Times New Roman" w:hAnsi="Times New Roman" w:cs="Times New Roman"/>
          <w:sz w:val="24"/>
          <w:szCs w:val="24"/>
          <w:lang w:val="en-US"/>
        </w:rPr>
        <w:fldChar w:fldCharType="end"/>
      </w:r>
      <w:r>
        <w:rPr>
          <w:rFonts w:ascii="Times New Roman" w:hAnsi="Times New Roman" w:cs="Times New Roman"/>
          <w:sz w:val="24"/>
          <w:szCs w:val="24"/>
        </w:rPr>
        <w:t>.</w:t>
      </w:r>
    </w:p>
    <w:p w14:paraId="50AC2A68">
      <w:pPr>
        <w:spacing w:after="0" w:line="276"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Benih ikan bawal cukup rentan mengalami mortalitas karena daya tahan tubuh yang belum kuat dan stabil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{"citationItems":[{"id":"ITEM-1","itemData":{"author":[{"dropping-particle":"","family":"Shinta","given":"Febriany, Bella","non-dropping-particle":"","parse-names":false,"suffix":""},{"dropping-particle":"","family":"Lesmana","given":"Dudi","non-dropping-particle":"","parse-names":false,"suffix":""}],"id":"ITEM-1","issue":"1","issued":{"date-parts":[["2022"]]},"number-of-pages":"2407-9030","title":"PERTUMBUHAN DAN KELANGSUNGAN HIDUP BENIH IKAN BAWAL BINTANG (Trachinotus blochii) DENGAN PENAMBAHAN DOSIS PROBIOTIK YANG BERBEDA PRODUCTION PERFORMANCE OF STAR POMFRET (Trachinotus blochii) WHICH WAS FED WITH DIFFERENT DOSES OF PROBIOTICS","type":"report","volume":"8"},"uris":["http://www.mendeley.com/documents/?uuid=8f9e4a34-6f5a-305d-bc66-9fbd6c858462"]}],"mendeley":{"formattedCitation":"(Shinta and Lesmana 2022)","manualFormatting":"(Febriany dkk, 2022)","plainTextFormattedCitation":"(Shinta and Lesmana 2022)","previouslyFormattedCitation":"(Shinta and Lesmana 2022)"},"properties":{"noteIndex":0},"schema":"https://github.com/citation-style-language/schema/raw/master/csl-citation.json"}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 xml:space="preserve">(Febriany </w:t>
      </w:r>
      <w:r>
        <w:rPr>
          <w:rFonts w:ascii="Times New Roman" w:hAnsi="Times New Roman" w:cs="Times New Roman"/>
          <w:i/>
          <w:iCs/>
          <w:sz w:val="24"/>
          <w:szCs w:val="24"/>
        </w:rPr>
        <w:t>dkk,</w:t>
      </w:r>
      <w:r>
        <w:rPr>
          <w:rFonts w:ascii="Times New Roman" w:hAnsi="Times New Roman" w:cs="Times New Roman"/>
          <w:sz w:val="24"/>
          <w:szCs w:val="24"/>
        </w:rPr>
        <w:t xml:space="preserve"> </w:t>
      </w:r>
      <w:r>
        <w:rPr>
          <w:rFonts w:ascii="Times New Roman" w:hAnsi="Times New Roman" w:cs="Times New Roman"/>
          <w:sz w:val="24"/>
          <w:szCs w:val="24"/>
          <w:lang w:val="en-US"/>
        </w:rPr>
        <w:t>2022)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Oleh karena itu, perlu adanya upaya dalam meningkatkan daya tahan tubuh benih ikan bawal bintang melalui penggunaan imunostimulan dari bahan alami, salah satunya bahan alami temulawak yang ekstraknya dijadikan suplemen pada pakan benih ikan bawal bintang. Menurut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{"citationItems":[{"id":"ITEM-1","itemData":{"author":[{"dropping-particle":"","family":"Prastito","given":"Agung Nugroho, Ristiawan","non-dropping-particle":"","parse-names":false,"suffix":""},{"dropping-particle":"","family":"Endar Herawati","given":"Vivi","non-dropping-particle":"","parse-names":false,"suffix":""}],"container-title":"Jurnal Ilmu Perikanan dan Sumberdaya Perairan","id":"ITEM-1","issue":"1","issued":{"date-parts":[["2018"]]},"title":"THE EFFECT OF ADDITION CURCUMA'S (Curcuma Xanthorrhiza Roxb) EXTRACT TO THE INCREASE OF FEED CONSUMPTION, EFFICIENCY AND THE GROWTH OF CATFISH (Pangasius)","type":"report","volume":"7"},"uris":["http://www.mendeley.com/documents/?uuid=64770f2a-de45-34a2-a011-87dd2d688194"]}],"mendeley":{"formattedCitation":"(Prastito and Endar Herawati 2018)","manualFormatting":"(Prastito, Pinandoyo, Nugroho dan Herawati, 2018)","plainTextFormattedCitation":"(Prastito and Endar Herawati 2018)","previouslyFormattedCitation":"(Prastito and Endar Herawati 2018)"},"properties":{"noteIndex":0},"schema":"https://github.com/citation-style-language/schema/raw/master/csl-citation.json"}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(Prastito</w:t>
      </w:r>
      <w:r>
        <w:rPr>
          <w:rFonts w:ascii="Times New Roman" w:hAnsi="Times New Roman" w:cs="Times New Roman"/>
          <w:sz w:val="24"/>
          <w:szCs w:val="24"/>
        </w:rPr>
        <w:t xml:space="preserve">, Pinandoyo, Nugroho dan </w:t>
      </w:r>
      <w:r>
        <w:rPr>
          <w:rFonts w:ascii="Times New Roman" w:hAnsi="Times New Roman" w:cs="Times New Roman"/>
          <w:sz w:val="24"/>
          <w:szCs w:val="24"/>
          <w:lang w:val="en-US"/>
        </w:rPr>
        <w:t>Herawati</w:t>
      </w:r>
      <w:r>
        <w:rPr>
          <w:rFonts w:ascii="Times New Roman" w:hAnsi="Times New Roman" w:cs="Times New Roman"/>
          <w:sz w:val="24"/>
          <w:szCs w:val="24"/>
        </w:rPr>
        <w:t>,</w:t>
      </w:r>
      <w:r>
        <w:rPr>
          <w:rFonts w:ascii="Times New Roman" w:hAnsi="Times New Roman" w:cs="Times New Roman"/>
          <w:sz w:val="24"/>
          <w:szCs w:val="24"/>
          <w:lang w:val="en-US"/>
        </w:rPr>
        <w:t xml:space="preserve">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upaya penambahan suplemen pada pakan telah dilakukan untuk mengefisiensikan pemberian pakan serta meningkatkan pertumbuhan dan kelangsungan hidup.</w:t>
      </w:r>
    </w:p>
    <w:p w14:paraId="43BDC4FD">
      <w:pPr>
        <w:spacing w:after="0" w:line="276"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Oleh sebab itu, dapat ditambahkan tumbuhan alami berupa ekstrak temulawak yang dicampurkan pada pakan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{"citationItems":[{"id":"ITEM-1","itemData":{"DOI":"10.51179/jipsbp.v3i2.475","ISSN":"2657-0254","abstract":"Ikan Peres (Osteochilus kappeni) merupakan salah satu ikan dominan di Danau Laut Tawar dan Hulu Sungai Peusangan, Aceh Tengah. Namun saat ini populasinya semakin berkurang karena disebabkan oleh penangkapan yang berlebihan dan kerusakan lingkungan. Penggunaan bahan herbal seperti ekstrak kunyit menjadi  salah satu alternatif untuk meningkatkan pertumbuhan dan kelangsungan hidup ikan peres pada budidaya. Penelitian ini bertujuan untuk menganalisis pengaruh dari pemberian ekstrak kunyit kedalam pakan dalam meningkatkan pertumbuhan dan kelangsungan hidup benih ikan peres dan mengetahui dosis ekstrak kunyit yang terbaik bagi pertumbuhan dan kelangsungan hidup. Benih ikan peres yang digunakan berukuran  3- 5 cm. Perlakuan dosis ekstrak kunyit yang diujikan adalah 0 ml,2 ml,4 ml dan 6 ml. Hasil penelitian menunjukaan dosis ekstrak kunyit yang terbaik untuk bobot mutlak yaitu pada perlakuan P2 (1,332 gram),tingkat kelangsungan hidup tertinggi pada perlakuan P1 (94,44 %) dan efesiensi pakan yang paling tinggi P2 (36,60 %). RKP tertinggi pada P1(4,82%). Berdasarkan analisis sidik ragam diperoleh hasil bahwa perlakuan yang diberikan berpengaruh nyata terhadap pertumbuhan bobot mutlak, pertumbuhan panjang mutlak, laju pertumbuhan harian, namun tidak berpengaruh pada tingkat kelangsungan hidup, rasio konversi pakan dan efesiensi pakan. Berdasarkan uji Duncan diperoleh perlakuan yang terbaik yaitu pada perlakuan P2 (2ml/ kg pakan) untuk pertumbuhan benih ikan peres (Osteochillus kappeni).","author":[{"dropping-particle":"","family":"Ranggayoni","given":"Nanda","non-dropping-particle":"","parse-names":false,"suffix":""},{"dropping-particle":"","family":"Purnama Febri","given":"Suri","non-dropping-particle":"","parse-names":false,"suffix":""},{"dropping-particle":"","family":"Fauzan Isma","given":"Muhammad","non-dropping-particle":"","parse-names":false,"suffix":""},{"dropping-particle":"","family":"Hasri","given":"Iwan","non-dropping-particle":"","parse-names":false,"suffix":""}],"container-title":"Arwana: Jurnal Ilmiah Program Studi Perairan","id":"ITEM-1","issue":"2","issued":{"date-parts":[["2021","11","4"]]},"page":"75-81","publisher":"Universitas Almuslim","title":"Pengaruh penambahan ekstrak kunyit (Curcuma domestica) pada pakan komersil terhadap pertumbuhan dan kelangsungan hidup benih ikan peres (Osteochillus kappeni)","type":"article-journal","volume":"3"},"uris":["http://www.mendeley.com/documents/?uuid=a0f22e9b-f6be-337e-9f78-5bcf55efa30c"]}],"mendeley":{"formattedCitation":"(Ranggayoni et al. 2021)","manualFormatting":"(Ranggayoni dkk, 2021)","plainTextFormattedCitation":"(Ranggayoni et al. 2021)","previouslyFormattedCitation":"(Ranggayoni et al. 2021)"},"properties":{"noteIndex":0},"schema":"https://github.com/citation-style-language/schema/raw/master/csl-citation.json"}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 xml:space="preserve">(Ranggayoni </w:t>
      </w:r>
      <w:r>
        <w:rPr>
          <w:rFonts w:ascii="Times New Roman" w:hAnsi="Times New Roman" w:cs="Times New Roman"/>
          <w:i/>
          <w:sz w:val="24"/>
          <w:szCs w:val="24"/>
        </w:rPr>
        <w:t>dkk,</w:t>
      </w:r>
      <w:r>
        <w:rPr>
          <w:rFonts w:ascii="Times New Roman" w:hAnsi="Times New Roman" w:cs="Times New Roman"/>
          <w:sz w:val="24"/>
          <w:szCs w:val="24"/>
          <w:lang w:val="en-US"/>
        </w:rPr>
        <w:t xml:space="preserve"> 2021)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Menurut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{"citationItems":[{"id":"ITEM-1","itemData":{"DOI":"10.13057/biofar/f130201","ISSN":"1693-2242","abstract":"Oktaviana P, Kawiji, W Atmaka. 2015. Curcuminoid content, total phenol and antioxidant activity of curcuma (Curcuma xanthorrhiza) extract in various drying technique and proportion of dissolution. Biofarmasi 13: 41-49. Curcuma (Curcuma xanthorrhiza Roxb.) is one of the traditional medicine is widely spread in Indonesia and has largely grown by the community. Usefulness of curcuma mainly because of the content of the active compounds such as curcuminoid, phenolic compounds, and antioxidants. Traditional processing such as drying with the sunlight and the proportion of water solubility can lead to decreased efficacy of herbal medicine. This study aims to determine the effect of drying techniques, the color of the fabric cover and the proportion of dissolution on serum antioxidant activity of curcuminoids and curcuma extract. This research using Complete Random Program with two factors: variety of drying techniques (solar dryer and direct sunlight) and the color of the fabric cover (without lid, black cloth, and white cloth). The treatments were as follows: SMK (sun without fabric cover), SMP (Sunlight white cloth), SMH (Sunlight black cloth), SDK (solar dryer without fabric cover), SDP (Solar dryer white cloth), SDH (Solar dryer black cloth). The study consisted of two phases; the first phase carried out to extract with the treatment of curcuma drying techniques and the best cover fabric color; the second phase conducted to determine the effect of dissolution proportions (1:10, 1:12,1:14) on the best sample. The result showed that the drying treatment using solar dryer and use fabric coverings obtain curcuminoid content, antioxidant activity, and total phenols are highest. But the differences did not affect the color of the fabric of active component in curcuma spices. While the ratio of the higher proportion of dissolution which showed levels of antioxidant activity and curcuminoid are lower. However, dissolution does not influence the proportion of total phenols in extracts of curcuma.","author":[{"dropping-particle":"","family":"Oktaviana","given":"Kawiji, Windi Atmaka","non-dropping-particle":"","parse-names":false,"suffix":""}],"id":"ITEM-1","issue":"2","issued":{"date-parts":[["2015"]]},"page":"41-49","title":"Kadar kurkuminoid, total fenol dan aktivitas antioksidan ekstrak temulawak (Curcuma xanthorrhiza) pada berbagai teknik pengeringan dan proporsi pelarutan Curcuminoid content, total phenol and antioxidant activity of curcuma (Curcuma xanthorrhiza) extract in various drying technique and proportion of dissolution PRIMA RISKA OKTAVIANA, KAWIJI, WINDI ATMAKA","type":"article-journal","volume":"13"},"uris":["http://www.mendeley.com/documents/?uuid=104844df-106b-3aa4-b277-1f1cc434c2d7"]}],"mendeley":{"formattedCitation":"(Oktaviana 2015)","manualFormatting":"(Oktaviana, Kawiji dan Atmaka, 2015)","plainTextFormattedCitation":"(Oktaviana 2015)","previouslyFormattedCitation":"(Oktaviana 2015)"},"properties":{"noteIndex":0},"schema":"https://github.com/citation-style-language/schema/raw/master/csl-citation.json"}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(Oktaviana</w:t>
      </w:r>
      <w:r>
        <w:rPr>
          <w:rFonts w:ascii="Times New Roman" w:hAnsi="Times New Roman" w:cs="Times New Roman"/>
          <w:sz w:val="24"/>
          <w:szCs w:val="24"/>
        </w:rPr>
        <w:t>, Kawiji dan Atmaka,</w:t>
      </w:r>
      <w:r>
        <w:rPr>
          <w:rFonts w:ascii="Times New Roman" w:hAnsi="Times New Roman" w:cs="Times New Roman"/>
          <w:sz w:val="24"/>
          <w:szCs w:val="24"/>
          <w:lang w:val="en-US"/>
        </w:rPr>
        <w:t xml:space="preserve"> 2015)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temulawak (</w:t>
      </w:r>
      <w:r>
        <w:rPr>
          <w:rFonts w:ascii="Times New Roman" w:hAnsi="Times New Roman" w:cs="Times New Roman"/>
          <w:i/>
          <w:iCs/>
          <w:sz w:val="24"/>
          <w:szCs w:val="24"/>
          <w:lang w:val="en-US"/>
        </w:rPr>
        <w:t>Curcuma xanthorrhiza Roxb</w:t>
      </w:r>
      <w:r>
        <w:rPr>
          <w:rFonts w:ascii="Times New Roman" w:hAnsi="Times New Roman" w:cs="Times New Roman"/>
          <w:sz w:val="24"/>
          <w:szCs w:val="24"/>
          <w:lang w:val="en-US"/>
        </w:rPr>
        <w:t xml:space="preserve">) mengandung minyak atsiri, alkaloid, kuinon, flavonoid, protein dan pati yang termasuk ke dalam bahan nabati yang berperan sebagai imunostimulan yang dapat meningkatkan pertumbuhan, daya tahan dan nafsu makan pada ikan. Kurkumin dalam temulawak berkhasiat menetralkan racun pada tubuh, serta antioksidan, antimikroba, dan dapat merangsang dinding kantong empedu sehingga melancarkan metabolisme lemak dan meningkatkan nafsu makan pada ikan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{"citationItems":[{"id":"ITEM-1","itemData":{"ISSN":"2301-7783","abstract":"The research implemented in wet labs","author":[{"dropping-particle":"","family":"Sidik","given":"Milki","non-dropping-particle":"","parse-names":false,"suffix":""},{"dropping-particle":"","family":"Rozik","given":"M","non-dropping-particle":"","parse-names":false,"suffix":""}],"container-title":"Jurnal Ilmu Hewani Tropika","id":"ITEM-1","issue":"2","issued":{"date-parts":[["2020"]]},"title":"Efektivitas Pemberian Tamulawak (Curcuma xanthorrhiza Robx) Terhadap Kelangsungan Hidup dan Pertumbuhan Berat Relatif Ikan Nila (Oreochromis niloticus)","type":"article-journal","volume":"9"},"uris":["http://www.mendeley.com/documents/?uuid=a047c1e4-150a-3e3b-89f2-19d83cbf2a68"]}],"mendeley":{"formattedCitation":"(Sidik and Rozik 2020)","manualFormatting":"(Sidik, Suriansyah dan Rozik, 2020)","plainTextFormattedCitation":"(Sidik and Rozik 2020)","previouslyFormattedCitation":"(Sidik and Rozik 2020)"},"properties":{"noteIndex":0},"schema":"https://github.com/citation-style-language/schema/raw/master/csl-citation.json"}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(Sidik</w:t>
      </w:r>
      <w:r>
        <w:rPr>
          <w:rFonts w:ascii="Times New Roman" w:hAnsi="Times New Roman" w:cs="Times New Roman"/>
          <w:sz w:val="24"/>
          <w:szCs w:val="24"/>
        </w:rPr>
        <w:t>, Suriansyah</w:t>
      </w:r>
      <w:r>
        <w:rPr>
          <w:rFonts w:ascii="Times New Roman" w:hAnsi="Times New Roman" w:cs="Times New Roman"/>
          <w:sz w:val="24"/>
          <w:szCs w:val="24"/>
          <w:lang w:val="en-US"/>
        </w:rPr>
        <w:t xml:space="preserve"> dan Rozik</w:t>
      </w:r>
      <w:r>
        <w:rPr>
          <w:rFonts w:ascii="Times New Roman" w:hAnsi="Times New Roman" w:cs="Times New Roman"/>
          <w:sz w:val="24"/>
          <w:szCs w:val="24"/>
        </w:rPr>
        <w:t>,</w:t>
      </w:r>
      <w:r>
        <w:rPr>
          <w:rFonts w:ascii="Times New Roman" w:hAnsi="Times New Roman" w:cs="Times New Roman"/>
          <w:sz w:val="24"/>
          <w:szCs w:val="24"/>
          <w:lang w:val="en-US"/>
        </w:rPr>
        <w:t xml:space="preserve"> 2020)</w:t>
      </w:r>
      <w:r>
        <w:rPr>
          <w:rFonts w:ascii="Times New Roman" w:hAnsi="Times New Roman" w:cs="Times New Roman"/>
          <w:sz w:val="24"/>
          <w:szCs w:val="24"/>
          <w:lang w:val="en-US"/>
        </w:rPr>
        <w:fldChar w:fldCharType="end"/>
      </w:r>
      <w:r>
        <w:rPr>
          <w:rFonts w:ascii="Times New Roman" w:hAnsi="Times New Roman" w:cs="Times New Roman"/>
          <w:sz w:val="24"/>
          <w:szCs w:val="24"/>
        </w:rPr>
        <w:t>.</w:t>
      </w:r>
      <w:r>
        <w:rPr>
          <w:rFonts w:ascii="Times New Roman" w:hAnsi="Times New Roman" w:cs="Times New Roman"/>
          <w:sz w:val="24"/>
          <w:szCs w:val="24"/>
          <w:lang w:val="en-US"/>
        </w:rPr>
        <w:t xml:space="preserve"> </w:t>
      </w:r>
    </w:p>
    <w:p w14:paraId="1C6FA623">
      <w:pPr>
        <w:spacing w:after="0" w:line="276"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penelitian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{"citationItems":[{"id":"ITEM-1","itemData":{"author":[{"dropping-particle":"","family":"Sari Kornia Deswita","given":"","non-dropping-particle":"","parse-names":false,"suffix":""}],"id":"ITEM-1","issued":{"date-parts":[["2023"]]},"title":"Sari_54241_08051381924096_0022098202_0005017602_01_front_ref","type":"article-journal"},"uris":["http://www.mendeley.com/documents/?uuid=9a0b38f1-d7f3-34e3-9854-13bda12926d2"]}],"mendeley":{"formattedCitation":"(Sari Kornia Deswita 2023)","manualFormatting":"Sari, (2023)","plainTextFormattedCitation":"(Sari Kornia Deswita 2023)","previouslyFormattedCitation":"(Sari Kornia Deswita 2023)"},"properties":{"noteIndex":0},"schema":"https://github.com/citation-style-language/schema/raw/master/csl-citation.json"}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Sari</w:t>
      </w:r>
      <w:r>
        <w:rPr>
          <w:rFonts w:ascii="Times New Roman" w:hAnsi="Times New Roman" w:cs="Times New Roman"/>
          <w:sz w:val="24"/>
          <w:szCs w:val="24"/>
        </w:rPr>
        <w:t>, (</w:t>
      </w:r>
      <w:r>
        <w:rPr>
          <w:rFonts w:ascii="Times New Roman" w:hAnsi="Times New Roman" w:cs="Times New Roman"/>
          <w:sz w:val="24"/>
          <w:szCs w:val="24"/>
          <w:lang w:val="en-US"/>
        </w:rPr>
        <w:t>2023)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laju pertumbuhan dan kelangsungan hidup benih ikan bawal bintang (</w:t>
      </w:r>
      <w:r>
        <w:rPr>
          <w:rFonts w:ascii="Times New Roman" w:hAnsi="Times New Roman" w:cs="Times New Roman"/>
          <w:i/>
          <w:iCs/>
          <w:sz w:val="24"/>
          <w:szCs w:val="24"/>
          <w:lang w:val="en-US"/>
        </w:rPr>
        <w:t>Trachinotus blochii</w:t>
      </w:r>
      <w:r>
        <w:rPr>
          <w:rFonts w:ascii="Times New Roman" w:hAnsi="Times New Roman" w:cs="Times New Roman"/>
          <w:sz w:val="24"/>
          <w:szCs w:val="24"/>
          <w:lang w:val="en-US"/>
        </w:rPr>
        <w:t>) meningkat dengan penambahan ekstrak jahe merah (</w:t>
      </w:r>
      <w:r>
        <w:rPr>
          <w:rFonts w:ascii="Times New Roman" w:hAnsi="Times New Roman" w:cs="Times New Roman"/>
          <w:i/>
          <w:iCs/>
          <w:sz w:val="24"/>
          <w:szCs w:val="24"/>
          <w:lang w:val="en-US"/>
        </w:rPr>
        <w:t>Zingiber officinale var. Rubrum</w:t>
      </w:r>
      <w:r>
        <w:rPr>
          <w:rFonts w:ascii="Times New Roman" w:hAnsi="Times New Roman" w:cs="Times New Roman"/>
          <w:sz w:val="24"/>
          <w:szCs w:val="24"/>
          <w:lang w:val="en-US"/>
        </w:rPr>
        <w:t>) dan ekstrak temulawak (</w:t>
      </w:r>
      <w:r>
        <w:rPr>
          <w:rFonts w:ascii="Times New Roman" w:hAnsi="Times New Roman" w:cs="Times New Roman"/>
          <w:i/>
          <w:iCs/>
          <w:sz w:val="24"/>
          <w:szCs w:val="24"/>
          <w:lang w:val="en-US"/>
        </w:rPr>
        <w:t>Curcuma xanthorrhiza Roxb</w:t>
      </w:r>
      <w:r>
        <w:rPr>
          <w:rFonts w:ascii="Times New Roman" w:hAnsi="Times New Roman" w:cs="Times New Roman"/>
          <w:sz w:val="24"/>
          <w:szCs w:val="24"/>
          <w:lang w:val="en-US"/>
        </w:rPr>
        <w:t>) sebanyak 10 ml/kg pakan komersial yang diberikan. Oleh karena itu, dalam penelitian ini diujikan penambahan ekstrak temulawak ke dalam pakan komersial, dengan berbagai dosis berbeda yang diharapkan dapat mengurangi mortalitas benih ikan bawal bintang serta memacu pertumbuhan yang optimal.</w:t>
      </w:r>
    </w:p>
    <w:p w14:paraId="69C11CA0">
      <w:pPr>
        <w:spacing w:after="0" w:line="276" w:lineRule="auto"/>
        <w:jc w:val="both"/>
        <w:rPr>
          <w:rFonts w:ascii="Times New Roman" w:hAnsi="Times New Roman" w:cs="Times New Roman"/>
          <w:sz w:val="24"/>
          <w:szCs w:val="24"/>
          <w:lang w:val="en-US"/>
        </w:rPr>
      </w:pPr>
    </w:p>
    <w:p w14:paraId="6BFF6639">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METODE PENELITIAN </w:t>
      </w:r>
    </w:p>
    <w:p w14:paraId="6ACBE73C">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Waktu dan Tempat</w:t>
      </w:r>
    </w:p>
    <w:p w14:paraId="6C29AAC6">
      <w:pPr>
        <w:spacing w:after="0" w:line="276"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Penelitian ini dilaksanakan pada bulan September sampai dengan Oktober 2025 di Balai Perikanan Budidaya Laut Lombok.</w:t>
      </w:r>
    </w:p>
    <w:p w14:paraId="52D9F06E">
      <w:pPr>
        <w:spacing w:after="0" w:line="276" w:lineRule="auto"/>
        <w:ind w:firstLine="426"/>
        <w:jc w:val="both"/>
        <w:rPr>
          <w:rFonts w:ascii="Times New Roman" w:hAnsi="Times New Roman" w:cs="Times New Roman"/>
          <w:sz w:val="24"/>
          <w:szCs w:val="24"/>
          <w:lang w:val="en-US"/>
        </w:rPr>
      </w:pPr>
    </w:p>
    <w:p w14:paraId="7A3A79E5">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Alat dan Bahan </w:t>
      </w:r>
    </w:p>
    <w:p w14:paraId="793D712A">
      <w:pPr>
        <w:spacing w:after="0" w:line="276" w:lineRule="auto"/>
        <w:ind w:firstLine="45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Alat yang digunakan yaitu wadah toples bundar (16 L), pipa PVC ¾ (d: 20 mm) panjang 1,5 m, keran areasi, selang aerasi, timbangan digital merk OneMed, pH meter, DO meter, mistar besi (30 cm), blower berdaya 7,5 PK, spektrofotometer, nampan, toples pakan kedap udara, selang sipon (70 cm), </w:t>
      </w:r>
      <w:r>
        <w:rPr>
          <w:rFonts w:ascii="Times New Roman" w:hAnsi="Times New Roman" w:cs="Times New Roman"/>
          <w:sz w:val="24"/>
          <w:szCs w:val="24"/>
        </w:rPr>
        <w:t>jaring serok</w:t>
      </w:r>
      <w:r>
        <w:rPr>
          <w:rFonts w:ascii="Times New Roman" w:hAnsi="Times New Roman" w:cs="Times New Roman"/>
          <w:sz w:val="24"/>
          <w:szCs w:val="24"/>
          <w:lang w:val="en-US"/>
        </w:rPr>
        <w:t>, refractometer, alat parut, kain saring, spuit suntik ukuran 3 ml, alat semprot, kamera hp, alat tulis dan logbook harian. Sedangkan, bahan yang digunakan yaitu benih ikan bawal bintang ukuran panjang tubuh 1,8- 2 cm dan bobot 0,2 gram, pakan berupa pellet komersial KAIO-K3 (ukuran 0,3 mm) dan KAIO-K4 (ukuran 0,4 mm), temulawak segar (mentah), air laut, sabun antiseptic, akuades, bubuk permachem reagents (Reagen ammonia (NH3), reagen nitrit (NO2-), reagen nitrat (NO3-), dan reagen fosfat (PO4).</w:t>
      </w:r>
    </w:p>
    <w:p w14:paraId="22A3BDF0">
      <w:pPr>
        <w:spacing w:after="0" w:line="276" w:lineRule="auto"/>
        <w:jc w:val="both"/>
        <w:rPr>
          <w:rFonts w:ascii="Times New Roman" w:hAnsi="Times New Roman" w:cs="Times New Roman"/>
          <w:sz w:val="24"/>
          <w:szCs w:val="24"/>
        </w:rPr>
      </w:pPr>
    </w:p>
    <w:p w14:paraId="0CF1E0DD">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Rancangan Penelitian </w:t>
      </w:r>
    </w:p>
    <w:p w14:paraId="45AD8E0E">
      <w:pPr>
        <w:spacing w:after="0" w:line="276" w:lineRule="auto"/>
        <w:ind w:firstLine="450"/>
        <w:jc w:val="both"/>
        <w:rPr>
          <w:rFonts w:ascii="Times New Roman" w:hAnsi="Times New Roman" w:cs="Times New Roman"/>
          <w:sz w:val="24"/>
          <w:szCs w:val="24"/>
          <w:lang w:val="en-US"/>
        </w:rPr>
      </w:pPr>
      <w:r>
        <w:rPr>
          <w:rFonts w:ascii="Times New Roman" w:hAnsi="Times New Roman" w:cs="Times New Roman"/>
          <w:sz w:val="24"/>
          <w:szCs w:val="24"/>
          <w:lang w:val="en-US"/>
        </w:rPr>
        <w:t>Rancangan yang digunakan dalam penelitian ini adalah rancangan acak lengkap dengan 4 perlakuan. Tiap perlakuan diulang sebanyak 3 kali pengulangan. Adapun perlakuan yang digunakan adalah sebagai berikut:</w:t>
      </w:r>
    </w:p>
    <w:p w14:paraId="48820AB1">
      <w:pPr>
        <w:pStyle w:val="13"/>
        <w:numPr>
          <w:ilvl w:val="0"/>
          <w:numId w:val="1"/>
        </w:numPr>
        <w:spacing w:line="276" w:lineRule="auto"/>
        <w:ind w:left="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Perlakuan </w:t>
      </w:r>
      <w:r>
        <w:rPr>
          <w:rFonts w:ascii="Times New Roman" w:hAnsi="Times New Roman" w:eastAsia="Times New Roman" w:cs="Times New Roman"/>
          <w:color w:val="000000" w:themeColor="text1"/>
          <w:sz w:val="24"/>
          <w:szCs w:val="24"/>
          <w14:textFill>
            <w14:solidFill>
              <w14:schemeClr w14:val="tx1"/>
            </w14:solidFill>
          </w14:textFill>
        </w:rPr>
        <w:t>A</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(A1, A2, A3) </w:t>
      </w:r>
      <w:r>
        <w:rPr>
          <w:rFonts w:ascii="Times New Roman" w:hAnsi="Times New Roman" w:eastAsia="Times New Roman" w:cs="Times New Roman"/>
          <w:color w:val="000000" w:themeColor="text1"/>
          <w:sz w:val="24"/>
          <w:szCs w:val="24"/>
          <w14:textFill>
            <w14:solidFill>
              <w14:schemeClr w14:val="tx1"/>
            </w14:solidFill>
          </w14:textFill>
        </w:rPr>
        <w:t>0 ml ekstrak temulawak/kg pakan (</w:t>
      </w:r>
      <w:r>
        <w:rPr>
          <w:rFonts w:ascii="Times New Roman" w:hAnsi="Times New Roman" w:eastAsia="Times New Roman" w:cs="Times New Roman"/>
          <w:color w:val="000000" w:themeColor="text1"/>
          <w:sz w:val="24"/>
          <w:szCs w:val="24"/>
          <w:lang w:val="en-US"/>
          <w14:textFill>
            <w14:solidFill>
              <w14:schemeClr w14:val="tx1"/>
            </w14:solidFill>
          </w14:textFill>
        </w:rPr>
        <w:t>Kontrol</w:t>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w:t>
      </w:r>
    </w:p>
    <w:p w14:paraId="453F8888">
      <w:pPr>
        <w:pStyle w:val="13"/>
        <w:numPr>
          <w:ilvl w:val="0"/>
          <w:numId w:val="1"/>
        </w:numPr>
        <w:spacing w:line="276" w:lineRule="auto"/>
        <w:ind w:left="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Perlakuan B (B1, B2, B3)</w:t>
      </w:r>
      <w:r>
        <w:rPr>
          <w:rFonts w:ascii="Times New Roman" w:hAnsi="Times New Roman" w:eastAsia="Times New Roman" w:cs="Times New Roman"/>
          <w:color w:val="000000" w:themeColor="text1"/>
          <w:sz w:val="24"/>
          <w:szCs w:val="24"/>
          <w14:textFill>
            <w14:solidFill>
              <w14:schemeClr w14:val="tx1"/>
            </w14:solidFill>
          </w14:textFill>
        </w:rPr>
        <w:t xml:space="preserve"> 10 ml</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w:t>
      </w:r>
      <w:r>
        <w:rPr>
          <w:rFonts w:ascii="Times New Roman" w:hAnsi="Times New Roman" w:eastAsia="Times New Roman" w:cs="Times New Roman"/>
          <w:color w:val="000000" w:themeColor="text1"/>
          <w:sz w:val="24"/>
          <w:szCs w:val="24"/>
          <w14:textFill>
            <w14:solidFill>
              <w14:schemeClr w14:val="tx1"/>
            </w14:solidFill>
          </w14:textFill>
        </w:rPr>
        <w:t>ekstrak temulawak/kg pakan (1%)</w:t>
      </w:r>
      <w:r>
        <w:rPr>
          <w:rFonts w:ascii="Times New Roman" w:hAnsi="Times New Roman" w:eastAsia="Times New Roman" w:cs="Times New Roman"/>
          <w:color w:val="000000" w:themeColor="text1"/>
          <w:sz w:val="24"/>
          <w:szCs w:val="24"/>
          <w:lang w:val="en-US"/>
          <w14:textFill>
            <w14:solidFill>
              <w14:schemeClr w14:val="tx1"/>
            </w14:solidFill>
          </w14:textFill>
        </w:rPr>
        <w:t>.</w:t>
      </w:r>
    </w:p>
    <w:p w14:paraId="6950E626">
      <w:pPr>
        <w:pStyle w:val="13"/>
        <w:numPr>
          <w:ilvl w:val="0"/>
          <w:numId w:val="1"/>
        </w:numPr>
        <w:spacing w:line="276" w:lineRule="auto"/>
        <w:ind w:left="0"/>
        <w:jc w:val="both"/>
        <w:rPr>
          <w:rFonts w:ascii="Times New Roman" w:hAnsi="Times New Roman" w:cs="Times New Roman"/>
          <w:sz w:val="24"/>
          <w:szCs w:val="24"/>
          <w:lang w:val="en-US"/>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Perlakuan C (C1, C2, C3) </w:t>
      </w:r>
      <w:r>
        <w:rPr>
          <w:rFonts w:ascii="Times New Roman" w:hAnsi="Times New Roman" w:eastAsia="Times New Roman" w:cs="Times New Roman"/>
          <w:color w:val="000000" w:themeColor="text1"/>
          <w:sz w:val="24"/>
          <w:szCs w:val="24"/>
          <w14:textFill>
            <w14:solidFill>
              <w14:schemeClr w14:val="tx1"/>
            </w14:solidFill>
          </w14:textFill>
        </w:rPr>
        <w:t>20 ml</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w:t>
      </w:r>
      <w:r>
        <w:rPr>
          <w:rFonts w:ascii="Times New Roman" w:hAnsi="Times New Roman" w:eastAsia="Times New Roman" w:cs="Times New Roman"/>
          <w:color w:val="000000" w:themeColor="text1"/>
          <w:sz w:val="24"/>
          <w:szCs w:val="24"/>
          <w14:textFill>
            <w14:solidFill>
              <w14:schemeClr w14:val="tx1"/>
            </w14:solidFill>
          </w14:textFill>
        </w:rPr>
        <w:t>ekstrak temulawak/kg pakan (2%)</w:t>
      </w:r>
      <w:r>
        <w:rPr>
          <w:rFonts w:ascii="Times New Roman" w:hAnsi="Times New Roman" w:eastAsia="Times New Roman" w:cs="Times New Roman"/>
          <w:color w:val="000000" w:themeColor="text1"/>
          <w:sz w:val="24"/>
          <w:szCs w:val="24"/>
          <w:lang w:val="en-US"/>
          <w14:textFill>
            <w14:solidFill>
              <w14:schemeClr w14:val="tx1"/>
            </w14:solidFill>
          </w14:textFill>
        </w:rPr>
        <w:t>.</w:t>
      </w:r>
    </w:p>
    <w:p w14:paraId="0FF27190">
      <w:pPr>
        <w:pStyle w:val="13"/>
        <w:numPr>
          <w:ilvl w:val="0"/>
          <w:numId w:val="1"/>
        </w:numPr>
        <w:spacing w:line="276" w:lineRule="auto"/>
        <w:ind w:left="0"/>
        <w:jc w:val="both"/>
        <w:rPr>
          <w:rFonts w:ascii="Times New Roman" w:hAnsi="Times New Roman" w:cs="Times New Roman"/>
          <w:sz w:val="24"/>
          <w:szCs w:val="24"/>
          <w:lang w:val="en-US"/>
        </w:rPr>
      </w:pPr>
      <w:r>
        <w:rPr>
          <w:rFonts w:ascii="Times New Roman" w:hAnsi="Times New Roman" w:eastAsia="Times New Roman" w:cs="Times New Roman"/>
          <w:color w:val="000000" w:themeColor="text1"/>
          <w:sz w:val="24"/>
          <w:szCs w:val="24"/>
          <w:lang w:val="en-US"/>
          <w14:textFill>
            <w14:solidFill>
              <w14:schemeClr w14:val="tx1"/>
            </w14:solidFill>
          </w14:textFill>
        </w:rPr>
        <w:t>Perlakuan D (D1, D2, D3)</w:t>
      </w:r>
      <w:r>
        <w:rPr>
          <w:rFonts w:ascii="Times New Roman" w:hAnsi="Times New Roman" w:eastAsia="Times New Roman" w:cs="Times New Roman"/>
          <w:color w:val="000000" w:themeColor="text1"/>
          <w:sz w:val="24"/>
          <w:szCs w:val="24"/>
          <w14:textFill>
            <w14:solidFill>
              <w14:schemeClr w14:val="tx1"/>
            </w14:solidFill>
          </w14:textFill>
        </w:rPr>
        <w:t xml:space="preserve"> 30 ml</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w:t>
      </w:r>
      <w:r>
        <w:rPr>
          <w:rFonts w:ascii="Times New Roman" w:hAnsi="Times New Roman" w:eastAsia="Times New Roman" w:cs="Times New Roman"/>
          <w:color w:val="000000" w:themeColor="text1"/>
          <w:sz w:val="24"/>
          <w:szCs w:val="24"/>
          <w14:textFill>
            <w14:solidFill>
              <w14:schemeClr w14:val="tx1"/>
            </w14:solidFill>
          </w14:textFill>
        </w:rPr>
        <w:t>ekstrak temulawak/kg pakan (3%).</w:t>
      </w:r>
    </w:p>
    <w:p w14:paraId="641B698F">
      <w:pPr>
        <w:pStyle w:val="13"/>
        <w:spacing w:line="276" w:lineRule="auto"/>
        <w:ind w:left="0"/>
        <w:jc w:val="both"/>
        <w:rPr>
          <w:rFonts w:ascii="Times New Roman" w:hAnsi="Times New Roman" w:cs="Times New Roman"/>
          <w:b/>
          <w:bCs/>
          <w:sz w:val="24"/>
          <w:szCs w:val="24"/>
          <w:lang w:val="en-US"/>
        </w:rPr>
      </w:pPr>
    </w:p>
    <w:p w14:paraId="0A52044A">
      <w:pPr>
        <w:pStyle w:val="13"/>
        <w:spacing w:line="276" w:lineRule="auto"/>
        <w:ind w:left="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Teknik Pengumpulan Data </w:t>
      </w:r>
    </w:p>
    <w:p w14:paraId="1605B28E">
      <w:pPr>
        <w:pStyle w:val="13"/>
        <w:spacing w:line="276" w:lineRule="auto"/>
        <w:ind w:left="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Laju Pertumbuhan Spesifik (SGR) </w:t>
      </w:r>
    </w:p>
    <w:p w14:paraId="28C137C1">
      <w:pPr>
        <w:pStyle w:val="13"/>
        <w:spacing w:line="23" w:lineRule="atLeast"/>
        <w:ind w:left="0"/>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cs="Times New Roman"/>
          <w:sz w:val="24"/>
          <w:szCs w:val="24"/>
          <w:lang w:val="en-US"/>
        </w:rPr>
        <w:t xml:space="preserve">Berdasarkan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{"citationItems":[{"id":"ITEM-1","itemData":{"DOI":"10.1016/j.aquaculture.2009.02.043","ISSN":"00448486","abstract":"The aim of the present study was to investigate the effect of dietary inclusion of potassium diformate (KDF), a possible non-antibiotic growth promoter, and two widely-used antibiotics, flavomycin and quinocetone, on growth performance, feed conversion ratio and gut microbiota of hybrid tilapia. An 8 week feeding trial was conducted with five levels of KDF: 0 (C), 3.0 (KDF3), 6.0 (KDF6), 9.0 (KDF9), and 12.0 (KDF12) g kg- 1 diet and three antibiotic treatments: flavomycin (8 mg kg- 1, AF), quinocetone (100 mg kg- 1, AQ), and flavomycin (4 mg kg- 1) + quinocetone (50 mg kg- 1) (AFQ). At the end of the experiment, fish were starved for one day and bulk weighed. Pooled gut contents sampled from four replicate tanks were analyzed for bacterial community by 16 S rDNA PCR, denaturing gradient gel electrophoresis (DGGE) and Bio-1D++ software. The results indicate that the addition of dietary KDF and antibiotics had no significant effect on tilapia growth performance, feed conversion ratio or survival compared to the control group. Among the experimental groups, however, fish fed the KDF3 and KDF6 diets showed improved growth performance and feed conversion ratio with higher final body weight and specific growth rate and lower feed conversion ratio compared to those fed the AFQ diet. Dietary KDF and antibiotics showed effects on the gut microbiota. Dietary KDF3 and KDF6 improved the relative richness of some intestinal allochthonous bacteria such as Mycobacterium sp. partial MHSD12-like, Mycobacterium peregrinum-like, Pseudomonas sp. HMPB4-like and six uncultured bacterium-like species. However, alpha Proteobacterium IMCC1702-like, Rhodococcus sp. P14-like, and three uncultured bacterium-like species were depressed in the gut. Based on these results, the possible beneficial effects of KDF on gut bacteria will be discussed. © 2009 Elsevier B.V. All rights reserved.","author":[{"dropping-particle":"","family":"Zhou","given":"Zhigang","non-dropping-particle":"","parse-names":false,"suffix":""},{"dropping-particle":"","family":"Liu","given":"Yuchun","non-dropping-particle":"","parse-names":false,"suffix":""},{"dropping-particle":"","family":"He","given":"Suxu","non-dropping-particle":"","parse-names":false,"suffix":""},{"dropping-particle":"","family":"Shi","given":"Pengjun","non-dropping-particle":"","parse-names":false,"suffix":""},{"dropping-particle":"","family":"Gao","given":"Xiuhua","non-dropping-particle":"","parse-names":false,"suffix":""},{"dropping-particle":"","family":"Yao","given":"Bin","non-dropping-particle":"","parse-names":false,"suffix":""},{"dropping-particle":"","family":"Ringø","given":"Einar","non-dropping-particle":"","parse-names":false,"suffix":""}],"container-title":"Aquaculture","id":"ITEM-1","issue":"1-2","issued":{"date-parts":[["2009","6","3"]]},"page":"89-94","title":"Effects of dietary potassium diformate (KDF) on growth performance, feed conversion and intestinal bacterial community of hybrid tilapia (Oreochromis niloticus ♀ × O. aureus ♂)","type":"article-journal","volume":"291"},"uris":["http://www.mendeley.com/documents/?uuid=653afa47-1599-37e0-aca8-69c46d3ac820"]}],"mendeley":{"formattedCitation":"(Zhou et al. 2009)","manualFormatting":"Zhou, Liu, He, Shi, Gao, Yao, dan Ringo (2009)","plainTextFormattedCitation":"(Zhou et al. 2009)","previouslyFormattedCitation":"(Zhou et al. 2009)"},"properties":{"noteIndex":0},"schema":"https://github.com/citation-style-language/schema/raw/master/csl-citation.json"}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Zhou</w:t>
      </w:r>
      <w:r>
        <w:rPr>
          <w:rFonts w:ascii="Times New Roman" w:hAnsi="Times New Roman" w:cs="Times New Roman"/>
          <w:sz w:val="24"/>
          <w:szCs w:val="24"/>
        </w:rPr>
        <w:t>, Liu, He, Shi, Gao, Yao, dan Ringo</w:t>
      </w:r>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2009)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dapat mengukur laju pertumbuhan spesifik (</w:t>
      </w:r>
      <w:r>
        <w:rPr>
          <w:rFonts w:ascii="Times New Roman" w:hAnsi="Times New Roman" w:cs="Times New Roman"/>
          <w:i/>
          <w:iCs/>
          <w:sz w:val="24"/>
          <w:szCs w:val="24"/>
          <w:lang w:val="en-US"/>
        </w:rPr>
        <w:t>Specific Growth Rate</w:t>
      </w:r>
      <w:r>
        <w:rPr>
          <w:rFonts w:ascii="Times New Roman" w:hAnsi="Times New Roman" w:cs="Times New Roman"/>
          <w:sz w:val="24"/>
          <w:szCs w:val="24"/>
          <w:lang w:val="en-US"/>
        </w:rPr>
        <w:t xml:space="preserve">) dengan rumus : </w:t>
      </w:r>
      <w:r>
        <w:rPr>
          <w:rFonts w:ascii="Times New Roman" w:hAnsi="Times New Roman" w:eastAsia="Times New Roman" w:cs="Times New Roman"/>
          <w:color w:val="000000" w:themeColor="text1"/>
          <w14:textFill>
            <w14:solidFill>
              <w14:schemeClr w14:val="tx1"/>
            </w14:solidFill>
          </w14:textFill>
        </w:rPr>
        <w:t xml:space="preserve"> </w:t>
      </w:r>
    </w:p>
    <w:p w14:paraId="0E5AD432">
      <w:pPr>
        <w:spacing w:after="0" w:line="23" w:lineRule="atLeast"/>
        <w:ind w:left="720"/>
        <w:jc w:val="both"/>
        <w:rPr>
          <w:rFonts w:ascii="Times New Roman" w:hAnsi="Times New Roman" w:eastAsia="Times New Roman" w:cs="Times New Roman"/>
        </w:rPr>
      </w:pPr>
      <m:oMath>
        <m:r>
          <m:rPr>
            <m:sty m:val="p"/>
          </m:rPr>
          <w:rPr>
            <w:rFonts w:ascii="Cambria Math" w:hAnsi="Cambria Math" w:cs="Times New Roman"/>
            <w:sz w:val="24"/>
          </w:rPr>
          <m:t>SGR =</m:t>
        </m:r>
        <m:f>
          <m:fPr>
            <m:ctrlPr>
              <w:rPr>
                <w:rFonts w:ascii="Cambria Math" w:hAnsi="Cambria Math" w:cs="Times New Roman"/>
                <w:bCs/>
                <w:sz w:val="24"/>
                <w:szCs w:val="24"/>
              </w:rPr>
            </m:ctrlPr>
          </m:fPr>
          <m:num>
            <m:r>
              <m:rPr>
                <m:sty m:val="p"/>
              </m:rPr>
              <w:rPr>
                <w:rFonts w:ascii="Cambria Math" w:hAnsi="Cambria Math" w:cs="Times New Roman"/>
                <w:sz w:val="24"/>
                <w:szCs w:val="24"/>
              </w:rPr>
              <m:t>lnWt−lnW0</m:t>
            </m:r>
            <m:ctrlPr>
              <w:rPr>
                <w:rFonts w:ascii="Cambria Math" w:hAnsi="Cambria Math" w:cs="Times New Roman"/>
                <w:bCs/>
                <w:sz w:val="24"/>
                <w:szCs w:val="24"/>
              </w:rPr>
            </m:ctrlPr>
          </m:num>
          <m:den>
            <m:r>
              <m:rPr>
                <m:sty m:val="p"/>
              </m:rPr>
              <w:rPr>
                <w:rFonts w:ascii="Cambria Math" w:hAnsi="Cambria Math" w:cs="Times New Roman"/>
                <w:sz w:val="24"/>
                <w:szCs w:val="24"/>
              </w:rPr>
              <m:t>t</m:t>
            </m:r>
            <m:ctrlPr>
              <w:rPr>
                <w:rFonts w:ascii="Cambria Math" w:hAnsi="Cambria Math" w:cs="Times New Roman"/>
                <w:bCs/>
                <w:sz w:val="24"/>
                <w:szCs w:val="24"/>
              </w:rPr>
            </m:ctrlPr>
          </m:den>
        </m:f>
        <m:r>
          <m:rPr>
            <m:sty m:val="p"/>
          </m:rPr>
          <w:rPr>
            <w:rFonts w:ascii="Cambria Math" w:hAnsi="Cambria Math" w:cs="Times New Roman"/>
            <w:sz w:val="24"/>
          </w:rPr>
          <m:t>× 100%</m:t>
        </m:r>
      </m:oMath>
      <w:r>
        <w:rPr>
          <w:rFonts w:ascii="Times New Roman" w:hAnsi="Times New Roman" w:cs="Times New Roman"/>
          <w:sz w:val="24"/>
          <w:szCs w:val="24"/>
          <w:lang w:val="en-US"/>
        </w:rPr>
        <w:t xml:space="preserve"> ……………    (1)</w:t>
      </w:r>
    </w:p>
    <w:p w14:paraId="3801EA85">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Dimana:</w:t>
      </w:r>
    </w:p>
    <w:p w14:paraId="1A7EC9E3">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SGR</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Laju pertumbuhan spesifik (%/hari) </w:t>
      </w:r>
    </w:p>
    <w:p w14:paraId="4BBE6E1F">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Wt</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Berat rataan akhir ikan (g) </w:t>
      </w:r>
    </w:p>
    <w:p w14:paraId="67DF9FEE">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W0</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Berat rataan awal ikan (g) </w:t>
      </w:r>
    </w:p>
    <w:p w14:paraId="1D9A7222">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Masa penelitian (hari)  </w:t>
      </w:r>
    </w:p>
    <w:p w14:paraId="4489E670">
      <w:pPr>
        <w:spacing w:after="0" w:line="23" w:lineRule="atLeast"/>
        <w:jc w:val="both"/>
        <w:rPr>
          <w:rFonts w:ascii="Times New Roman" w:hAnsi="Times New Roman" w:cs="Times New Roman"/>
          <w:sz w:val="24"/>
          <w:szCs w:val="24"/>
          <w:lang w:val="en-US"/>
        </w:rPr>
      </w:pPr>
      <w:r>
        <w:rPr>
          <w:rFonts w:ascii="Times New Roman" w:hAnsi="Times New Roman" w:cs="Times New Roman"/>
          <w:b/>
          <w:bCs/>
          <w:sz w:val="24"/>
          <w:szCs w:val="24"/>
          <w:lang w:val="en-US"/>
        </w:rPr>
        <w:t>Pertumbuhan Berat Mutlak</w:t>
      </w:r>
      <w:r>
        <w:rPr>
          <w:rFonts w:ascii="Times New Roman" w:hAnsi="Times New Roman" w:cs="Times New Roman"/>
          <w:sz w:val="24"/>
          <w:szCs w:val="24"/>
          <w:lang w:val="en-US"/>
        </w:rPr>
        <w:t xml:space="preserve"> </w:t>
      </w:r>
    </w:p>
    <w:p w14:paraId="2A0A970E">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author":[{"dropping-particle":"","family":"Jullianty","given":"Imay","non-dropping-particle":"","parse-names":false,"suffix":""},{"dropping-particle":"","family":"Yulianto","given":"Tri","non-dropping-particle":"","parse-names":false,"suffix":""},{"dropping-particle":"","family":"Miranti","given":"Shavika","non-dropping-particle":"","parse-names":false,"suffix":""},{"dropping-particle":"","family":"Budidaya Perairan","given":"Jurusan","non-dropping-particle":"","parse-names":false,"suffix":""},{"dropping-particle":"","family":"Ilmu Kelautan dan Perikanan","given":"Fakultas","non-dropping-particle":"","parse-names":false,"suffix":""},{"dropping-particle":"","family":"Maritim Raja Ali Haji","given":"Universitas","non-dropping-particle":"","parse-names":false,"suffix":""},{"dropping-particle":"","family":"Kunci","given":"Kata","non-dropping-particle":"","parse-names":false,"suffix":""},{"dropping-particle":"","family":"Bawal Bintang","given":"Ikan","non-dropping-particle":"","parse-names":false,"suffix":""}],"id":"ITEM-1","issued":{"date-parts":[["2020"]]},"title":"Pengaruh Penambahan Ragi (Saccharomyces cerevisiae) pada Pakan terhadap Pertumbuhan Benih Ikan Bawal Bintang (Trachinotus Blochii)","type":"report","volume":"4"},"uris":["http://www.mendeley.com/documents/?uuid=c8ec64c5-7fdb-3d1b-bee0-34d387fb31d2"]}],"mendeley":{"formattedCitation":"(Jullianty et al. 2020)","manualFormatting":"Jullianty, Yulianto dan Miranti, (2020)","plainTextFormattedCitation":"(Jullianty et al. 2020)","previouslyFormattedCitation":"(Jullianty et al. 2020)"},"properties":{"noteIndex":0},"schema":"https://github.com/citation-style-language/schema/raw/master/csl-citation.json"}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Jullianty</w:t>
      </w:r>
      <w:r>
        <w:rPr>
          <w:rFonts w:ascii="Times New Roman" w:hAnsi="Times New Roman" w:cs="Times New Roman"/>
          <w:sz w:val="24"/>
          <w:szCs w:val="24"/>
        </w:rPr>
        <w:t>, Yulianto dan Miranti,</w:t>
      </w:r>
      <w:r>
        <w:rPr>
          <w:rFonts w:ascii="Times New Roman" w:hAnsi="Times New Roman" w:cs="Times New Roman"/>
          <w:sz w:val="24"/>
          <w:szCs w:val="24"/>
          <w:lang w:val="en-US"/>
        </w:rPr>
        <w:t xml:space="preserve">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mengemukakan rumus yang dapat digunakan untuk menghitung pertumbuhan berat mutlak, yaitu:</w:t>
      </w:r>
    </w:p>
    <w:p w14:paraId="4F3D7018">
      <w:pPr>
        <w:spacing w:after="0" w:line="23" w:lineRule="atLeast"/>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W = Wt – W0 ……………..………..</w:t>
      </w:r>
      <w:r>
        <w:rPr>
          <w:rFonts w:ascii="Times New Roman" w:hAnsi="Times New Roman" w:cs="Times New Roman"/>
          <w:sz w:val="24"/>
          <w:szCs w:val="24"/>
        </w:rPr>
        <w:t>..</w:t>
      </w:r>
      <w:r>
        <w:rPr>
          <w:rFonts w:ascii="Times New Roman" w:hAnsi="Times New Roman" w:cs="Times New Roman"/>
          <w:sz w:val="24"/>
          <w:szCs w:val="24"/>
          <w:lang w:val="en-US"/>
        </w:rPr>
        <w:t>…    (2)</w:t>
      </w:r>
    </w:p>
    <w:p w14:paraId="39A631DD">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Dimana:</w:t>
      </w:r>
    </w:p>
    <w:p w14:paraId="4B856879">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W</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Pertumbuhan berat mutlak (g) </w:t>
      </w:r>
    </w:p>
    <w:p w14:paraId="0F77CA73">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Wt</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Berat akhir ikan (g) </w:t>
      </w:r>
    </w:p>
    <w:p w14:paraId="04BCE533">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W0</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Berat awal ikan (g)  </w:t>
      </w:r>
    </w:p>
    <w:p w14:paraId="00B39FD0">
      <w:pPr>
        <w:spacing w:after="0" w:line="23" w:lineRule="atLeast"/>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Pertumbuhan Panjang Mutlak </w:t>
      </w:r>
    </w:p>
    <w:p w14:paraId="610F8C1B">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author":[{"dropping-particle":"","family":"Jullianty","given":"Imay","non-dropping-particle":"","parse-names":false,"suffix":""},{"dropping-particle":"","family":"Yulianto","given":"Tri","non-dropping-particle":"","parse-names":false,"suffix":""},{"dropping-particle":"","family":"Miranti","given":"Shavika","non-dropping-particle":"","parse-names":false,"suffix":""},{"dropping-particle":"","family":"Budidaya Perairan","given":"Jurusan","non-dropping-particle":"","parse-names":false,"suffix":""},{"dropping-particle":"","family":"Ilmu Kelautan dan Perikanan","given":"Fakultas","non-dropping-particle":"","parse-names":false,"suffix":""},{"dropping-particle":"","family":"Maritim Raja Ali Haji","given":"Universitas","non-dropping-particle":"","parse-names":false,"suffix":""},{"dropping-particle":"","family":"Kunci","given":"Kata","non-dropping-particle":"","parse-names":false,"suffix":""},{"dropping-particle":"","family":"Bawal Bintang","given":"Ikan","non-dropping-particle":"","parse-names":false,"suffix":""}],"id":"ITEM-1","issued":{"date-parts":[["2020"]]},"title":"Pengaruh Penambahan Ragi (Saccharomyces cerevisiae) pada Pakan terhadap Pertumbuhan Benih Ikan Bawal Bintang (Trachinotus Blochii)","type":"report","volume":"4"},"uris":["http://www.mendeley.com/documents/?uuid=c8ec64c5-7fdb-3d1b-bee0-34d387fb31d2"]}],"mendeley":{"formattedCitation":"(Jullianty et al. 2020)","manualFormatting":"Jullianty dkk, (2020)","plainTextFormattedCitation":"(Jullianty et al. 2020)","previouslyFormattedCitation":"(Jullianty et al. 2020)"},"properties":{"noteIndex":0},"schema":"https://github.com/citation-style-language/schema/raw/master/csl-citation.json"}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 xml:space="preserve">Jullianty </w:t>
      </w:r>
      <w:r>
        <w:rPr>
          <w:rFonts w:ascii="Times New Roman" w:hAnsi="Times New Roman" w:cs="Times New Roman"/>
          <w:i/>
          <w:sz w:val="24"/>
          <w:szCs w:val="24"/>
        </w:rPr>
        <w:t>dkk,</w:t>
      </w:r>
      <w:r>
        <w:rPr>
          <w:rFonts w:ascii="Times New Roman" w:hAnsi="Times New Roman" w:cs="Times New Roman"/>
          <w:sz w:val="24"/>
          <w:szCs w:val="24"/>
          <w:lang w:val="en-US"/>
        </w:rPr>
        <w:t xml:space="preserve">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rumus dalam mengukur pertumbuhan panjang mutlak ikan yaitu: </w:t>
      </w:r>
    </w:p>
    <w:p w14:paraId="1762A51E">
      <w:pPr>
        <w:spacing w:after="0" w:line="23" w:lineRule="atLeast"/>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L = Lt – L0 ………………</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w:t>
      </w:r>
      <w:r>
        <w:rPr>
          <w:rFonts w:ascii="Times New Roman" w:hAnsi="Times New Roman" w:cs="Times New Roman"/>
          <w:sz w:val="24"/>
          <w:szCs w:val="24"/>
          <w:lang w:val="en-US"/>
        </w:rPr>
        <w:t>…..…    (3)</w:t>
      </w:r>
    </w:p>
    <w:p w14:paraId="30B9CC10">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Dimana:</w:t>
      </w:r>
    </w:p>
    <w:p w14:paraId="45A923D2">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L</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Pertumbuhan panjang mutlak (cm) </w:t>
      </w:r>
    </w:p>
    <w:p w14:paraId="5E5E850F">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Panjang akhir ikan (cm) </w:t>
      </w:r>
    </w:p>
    <w:p w14:paraId="0503F5FF">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L0</w:t>
      </w:r>
      <w:r>
        <w:rPr>
          <w:rFonts w:ascii="Times New Roman" w:hAnsi="Times New Roman" w:cs="Times New Roman"/>
          <w:sz w:val="24"/>
          <w:szCs w:val="24"/>
          <w:lang w:val="en-US"/>
        </w:rPr>
        <w:tab/>
      </w:r>
      <w:r>
        <w:rPr>
          <w:rFonts w:ascii="Times New Roman" w:hAnsi="Times New Roman" w:cs="Times New Roman"/>
          <w:sz w:val="24"/>
          <w:szCs w:val="24"/>
          <w:lang w:val="en-US"/>
        </w:rPr>
        <w:t>= Panjang awal ikan (cm)</w:t>
      </w:r>
    </w:p>
    <w:p w14:paraId="13A75125">
      <w:pPr>
        <w:spacing w:after="0" w:line="23" w:lineRule="atLeast"/>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Kelulushidupan (SR)</w:t>
      </w:r>
    </w:p>
    <w:p w14:paraId="02251AD6">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Berdasarkan</w:t>
      </w:r>
      <w:r>
        <w:rPr>
          <w:rFonts w:ascii="Times New Roman" w:hAnsi="Times New Roman" w:cs="Times New Roman"/>
          <w:sz w:val="24"/>
          <w:szCs w:val="24"/>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{"citationItems":[{"id":"ITEM-1","itemData":{"author":[{"dropping-particle":"","family":"Wijaya","given":"Ayu Adhita Damayanti, Baiq Hilda","non-dropping-particle":"","parse-names":false,"suffix":""}],"id":"ITEM-1","issued":{"date-parts":[["2018"]]},"title":"Wijaya+69-Article Text-258-1-10-20180530","type":"article-journal"},"uris":["http://www.mendeley.com/documents/?uuid=57d07121-eb2e-32e7-aa04-06a32f6b49b8"]}],"mendeley":{"formattedCitation":"(Wijaya 2018)","manualFormatting":"Wijaya, Damayanti dan Astriana, (2018)","plainTextFormattedCitation":"(Wijaya 2018)","previouslyFormattedCitation":"(Wijaya 2018)"},"properties":{"noteIndex":0},"schema":"https://github.com/citation-style-language/schema/raw/master/csl-citation.json"}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Wijaya</w:t>
      </w:r>
      <w:r>
        <w:rPr>
          <w:rFonts w:ascii="Times New Roman" w:hAnsi="Times New Roman" w:cs="Times New Roman"/>
          <w:sz w:val="24"/>
          <w:szCs w:val="24"/>
        </w:rPr>
        <w:t>, Damayanti dan Astriana,</w:t>
      </w:r>
      <w:r>
        <w:rPr>
          <w:rFonts w:ascii="Times New Roman" w:hAnsi="Times New Roman" w:cs="Times New Roman"/>
          <w:sz w:val="24"/>
          <w:szCs w:val="24"/>
          <w:lang w:val="en-US"/>
        </w:rPr>
        <w:t xml:space="preserve"> (2018)</w:t>
      </w:r>
      <w:r>
        <w:rPr>
          <w:rFonts w:ascii="Times New Roman" w:hAnsi="Times New Roman" w:cs="Times New Roman"/>
          <w:sz w:val="24"/>
          <w:szCs w:val="24"/>
          <w:lang w:val="en-US"/>
        </w:rPr>
        <w:fldChar w:fldCharType="end"/>
      </w:r>
      <w:r>
        <w:rPr>
          <w:rFonts w:ascii="Times New Roman" w:hAnsi="Times New Roman" w:cs="Times New Roman"/>
          <w:sz w:val="24"/>
          <w:szCs w:val="24"/>
        </w:rPr>
        <w:t>,</w:t>
      </w:r>
      <w:r>
        <w:rPr>
          <w:rFonts w:ascii="Times New Roman" w:hAnsi="Times New Roman" w:cs="Times New Roman"/>
          <w:sz w:val="24"/>
          <w:szCs w:val="24"/>
          <w:lang w:val="en-US"/>
        </w:rPr>
        <w:t xml:space="preserve"> mengukur kelulushidupan atau tingkat kelangsungan hidup (</w:t>
      </w:r>
      <w:r>
        <w:rPr>
          <w:rFonts w:ascii="Times New Roman" w:hAnsi="Times New Roman" w:cs="Times New Roman"/>
          <w:i/>
          <w:iCs/>
          <w:sz w:val="24"/>
          <w:szCs w:val="24"/>
          <w:lang w:val="en-US"/>
        </w:rPr>
        <w:t>Survival Rate</w:t>
      </w:r>
      <w:r>
        <w:rPr>
          <w:rFonts w:ascii="Times New Roman" w:hAnsi="Times New Roman" w:cs="Times New Roman"/>
          <w:sz w:val="24"/>
          <w:szCs w:val="24"/>
          <w:lang w:val="en-US"/>
        </w:rPr>
        <w:t xml:space="preserve">) dapat dengan rumus : </w:t>
      </w:r>
    </w:p>
    <w:p w14:paraId="5E42D530">
      <w:pPr>
        <w:spacing w:after="0" w:line="23" w:lineRule="atLeast"/>
        <w:ind w:firstLine="720"/>
        <w:jc w:val="both"/>
        <w:rPr>
          <w:rFonts w:ascii="Times New Roman" w:hAnsi="Times New Roman" w:cs="Times New Roman"/>
          <w:sz w:val="24"/>
          <w:szCs w:val="24"/>
          <w:lang w:val="en-US"/>
        </w:rPr>
      </w:pPr>
      <m:oMath>
        <m:r>
          <m:rPr>
            <m:sty m:val="p"/>
          </m:rPr>
          <w:rPr>
            <w:rFonts w:ascii="Cambria Math" w:hAnsi="Cambria Math" w:cs="Times New Roman"/>
            <w:sz w:val="24"/>
          </w:rPr>
          <m:t>SR =</m:t>
        </m:r>
        <m:f>
          <m:fPr>
            <m:ctrlPr>
              <w:rPr>
                <w:rFonts w:ascii="Cambria Math" w:hAnsi="Cambria Math" w:cs="Times New Roman"/>
                <w:bCs/>
                <w:sz w:val="24"/>
              </w:rPr>
            </m:ctrlPr>
          </m:fPr>
          <m:num>
            <m:r>
              <m:rPr>
                <m:sty m:val="p"/>
              </m:rPr>
              <w:rPr>
                <w:rFonts w:ascii="Cambria Math" w:hAnsi="Cambria Math" w:cs="Times New Roman"/>
                <w:sz w:val="24"/>
              </w:rPr>
              <m:t xml:space="preserve">Nt−D  </m:t>
            </m:r>
            <m:ctrlPr>
              <w:rPr>
                <w:rFonts w:ascii="Cambria Math" w:hAnsi="Cambria Math" w:cs="Times New Roman"/>
                <w:bCs/>
                <w:sz w:val="24"/>
              </w:rPr>
            </m:ctrlPr>
          </m:num>
          <m:den>
            <m:r>
              <m:rPr>
                <m:sty m:val="p"/>
              </m:rPr>
              <w:rPr>
                <w:rFonts w:ascii="Cambria Math" w:hAnsi="Cambria Math" w:cs="Times New Roman"/>
                <w:sz w:val="24"/>
              </w:rPr>
              <m:t>No</m:t>
            </m:r>
            <m:ctrlPr>
              <w:rPr>
                <w:rFonts w:ascii="Cambria Math" w:hAnsi="Cambria Math" w:cs="Times New Roman"/>
                <w:bCs/>
                <w:sz w:val="24"/>
              </w:rPr>
            </m:ctrlPr>
          </m:den>
        </m:f>
        <m:r>
          <m:rPr>
            <m:sty m:val="p"/>
          </m:rPr>
          <w:rPr>
            <w:rFonts w:ascii="Cambria Math" w:hAnsi="Cambria Math" w:cs="Times New Roman"/>
            <w:sz w:val="24"/>
          </w:rPr>
          <m:t>× 100%</m:t>
        </m:r>
      </m:oMath>
      <w:r>
        <w:rPr>
          <w:rFonts w:ascii="Times New Roman" w:hAnsi="Times New Roman" w:cs="Times New Roman"/>
          <w:sz w:val="24"/>
          <w:szCs w:val="24"/>
          <w:lang w:val="en-US"/>
        </w:rPr>
        <w:t>…………..…</w:t>
      </w:r>
      <w:r>
        <w:rPr>
          <w:rFonts w:ascii="Times New Roman" w:hAnsi="Times New Roman" w:cs="Times New Roman"/>
          <w:sz w:val="24"/>
          <w:szCs w:val="24"/>
        </w:rPr>
        <w:t>..</w:t>
      </w:r>
      <w:r>
        <w:rPr>
          <w:rFonts w:ascii="Times New Roman" w:hAnsi="Times New Roman" w:cs="Times New Roman"/>
          <w:sz w:val="24"/>
          <w:szCs w:val="24"/>
          <w:lang w:val="en-US"/>
        </w:rPr>
        <w:t>..…    (4)</w:t>
      </w:r>
    </w:p>
    <w:p w14:paraId="53A21321">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Dimana:</w:t>
      </w:r>
    </w:p>
    <w:p w14:paraId="4359DCF7">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SR =  Kelangsungan hidup (%) </w:t>
      </w:r>
    </w:p>
    <w:p w14:paraId="4DBB65F8">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D</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Jumlah ikan mati (ekor) </w:t>
      </w:r>
    </w:p>
    <w:p w14:paraId="2C7160ED">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Nt</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Jumlah akhir ikan (ekor)  </w:t>
      </w:r>
    </w:p>
    <w:p w14:paraId="0AE635DB">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N0</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Jumlah awal ikan (ekor)  </w:t>
      </w:r>
    </w:p>
    <w:p w14:paraId="74398986">
      <w:pPr>
        <w:spacing w:after="0" w:line="23" w:lineRule="atLeast"/>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Rasio Konversi Pakan (FCR)</w:t>
      </w:r>
    </w:p>
    <w:p w14:paraId="1DEBAF5B">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{"citationItems":[{"id":"ITEM-1","itemData":{"DOI":"10.1016/j.aquaculture.2009.02.043","ISSN":"00448486","abstract":"The aim of the present study was to investigate the effect of dietary inclusion of potassium diformate (KDF), a possible non-antibiotic growth promoter, and two widely-used antibiotics, flavomycin and quinocetone, on growth performance, feed conversion ratio and gut microbiota of hybrid tilapia. An 8 week feeding trial was conducted with five levels of KDF: 0 (C), 3.0 (KDF3), 6.0 (KDF6), 9.0 (KDF9), and 12.0 (KDF12) g kg- 1 diet and three antibiotic treatments: flavomycin (8 mg kg- 1, AF), quinocetone (100 mg kg- 1, AQ), and flavomycin (4 mg kg- 1) + quinocetone (50 mg kg- 1) (AFQ). At the end of the experiment, fish were starved for one day and bulk weighed. Pooled gut contents sampled from four replicate tanks were analyzed for bacterial community by 16 S rDNA PCR, denaturing gradient gel electrophoresis (DGGE) and Bio-1D++ software. The results indicate that the addition of dietary KDF and antibiotics had no significant effect on tilapia growth performance, feed conversion ratio or survival compared to the control group. Among the experimental groups, however, fish fed the KDF3 and KDF6 diets showed improved growth performance and feed conversion ratio with higher final body weight and specific growth rate and lower feed conversion ratio compared to those fed the AFQ diet. Dietary KDF and antibiotics showed effects on the gut microbiota. Dietary KDF3 and KDF6 improved the relative richness of some intestinal allochthonous bacteria such as Mycobacterium sp. partial MHSD12-like, Mycobacterium peregrinum-like, Pseudomonas sp. HMPB4-like and six uncultured bacterium-like species. However, alpha Proteobacterium IMCC1702-like, Rhodococcus sp. P14-like, and three uncultured bacterium-like species were depressed in the gut. Based on these results, the possible beneficial effects of KDF on gut bacteria will be discussed. © 2009 Elsevier B.V. All rights reserved.","author":[{"dropping-particle":"","family":"Zhou","given":"Zhigang","non-dropping-particle":"","parse-names":false,"suffix":""},{"dropping-particle":"","family":"Liu","given":"Yuchun","non-dropping-particle":"","parse-names":false,"suffix":""},{"dropping-particle":"","family":"He","given":"Suxu","non-dropping-particle":"","parse-names":false,"suffix":""},{"dropping-particle":"","family":"Shi","given":"Pengjun","non-dropping-particle":"","parse-names":false,"suffix":""},{"dropping-particle":"","family":"Gao","given":"Xiuhua","non-dropping-particle":"","parse-names":false,"suffix":""},{"dropping-particle":"","family":"Yao","given":"Bin","non-dropping-particle":"","parse-names":false,"suffix":""},{"dropping-particle":"","family":"Ringø","given":"Einar","non-dropping-particle":"","parse-names":false,"suffix":""}],"container-title":"Aquaculture","id":"ITEM-1","issue":"1-2","issued":{"date-parts":[["2009","6","3"]]},"page":"89-94","title":"Effects of dietary potassium diformate (KDF) on growth performance, feed conversion and intestinal bacterial community of hybrid tilapia (Oreochromis niloticus ♀ × O. aureus ♂)","type":"article-journal","volume":"291"},"uris":["http://www.mendeley.com/documents/?uuid=653afa47-1599-37e0-aca8-69c46d3ac820"]}],"mendeley":{"formattedCitation":"(Zhou et al. 2009)","manualFormatting":"Zhou dkk, (2009)","plainTextFormattedCitation":"(Zhou et al. 2009)","previouslyFormattedCitation":"(Zhou et al. 2009)"},"properties":{"noteIndex":0},"schema":"https://github.com/citation-style-language/schema/raw/master/csl-citation.json"}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 xml:space="preserve">Zhou </w:t>
      </w:r>
      <w:r>
        <w:rPr>
          <w:rFonts w:ascii="Times New Roman" w:hAnsi="Times New Roman" w:cs="Times New Roman"/>
          <w:i/>
          <w:sz w:val="24"/>
          <w:szCs w:val="24"/>
        </w:rPr>
        <w:t>dkk,</w:t>
      </w:r>
      <w:r>
        <w:rPr>
          <w:rFonts w:ascii="Times New Roman" w:hAnsi="Times New Roman" w:cs="Times New Roman"/>
          <w:sz w:val="24"/>
          <w:szCs w:val="24"/>
          <w:lang w:val="en-US"/>
        </w:rPr>
        <w:t xml:space="preserve"> (2009)</w:t>
      </w:r>
      <w:r>
        <w:rPr>
          <w:rFonts w:ascii="Times New Roman" w:hAnsi="Times New Roman" w:cs="Times New Roman"/>
          <w:sz w:val="24"/>
          <w:szCs w:val="24"/>
          <w:lang w:val="en-US"/>
        </w:rPr>
        <w:fldChar w:fldCharType="end"/>
      </w:r>
      <w:r>
        <w:rPr>
          <w:rFonts w:ascii="Times New Roman" w:hAnsi="Times New Roman" w:cs="Times New Roman"/>
          <w:sz w:val="24"/>
          <w:szCs w:val="24"/>
        </w:rPr>
        <w:t>,</w:t>
      </w:r>
      <w:r>
        <w:rPr>
          <w:rFonts w:ascii="Times New Roman" w:hAnsi="Times New Roman" w:cs="Times New Roman"/>
          <w:sz w:val="24"/>
          <w:szCs w:val="24"/>
          <w:lang w:val="en-US"/>
        </w:rPr>
        <w:t xml:space="preserve"> menghitung rasio konversi pakan (</w:t>
      </w:r>
      <w:r>
        <w:rPr>
          <w:rFonts w:ascii="Times New Roman" w:hAnsi="Times New Roman" w:cs="Times New Roman"/>
          <w:i/>
          <w:sz w:val="24"/>
          <w:szCs w:val="24"/>
          <w:lang w:val="en-US"/>
        </w:rPr>
        <w:t>Food Convertion Ratio</w:t>
      </w:r>
      <w:r>
        <w:rPr>
          <w:rFonts w:ascii="Times New Roman" w:hAnsi="Times New Roman" w:cs="Times New Roman"/>
          <w:sz w:val="24"/>
          <w:szCs w:val="24"/>
          <w:lang w:val="en-US"/>
        </w:rPr>
        <w:t xml:space="preserve">) dengan rumus : </w:t>
      </w:r>
    </w:p>
    <w:p w14:paraId="77A9E8D4">
      <w:pPr>
        <w:spacing w:after="0" w:line="23" w:lineRule="atLeast"/>
        <w:ind w:firstLine="720"/>
        <w:jc w:val="both"/>
        <w:rPr>
          <w:rFonts w:ascii="Times New Roman" w:hAnsi="Times New Roman" w:cs="Times New Roman"/>
          <w:sz w:val="24"/>
          <w:szCs w:val="24"/>
          <w:lang w:val="en-US"/>
        </w:rPr>
      </w:pPr>
      <m:oMath>
        <m:r>
          <m:rPr>
            <m:sty m:val="p"/>
          </m:rPr>
          <w:rPr>
            <w:rFonts w:ascii="Cambria Math" w:hAnsi="Cambria Math" w:cs="Times New Roman"/>
            <w:sz w:val="24"/>
            <w:szCs w:val="24"/>
          </w:rPr>
          <m:t>FCR=</m:t>
        </m:r>
        <m:f>
          <m:fPr>
            <m:ctrlPr>
              <w:rPr>
                <w:rFonts w:ascii="Cambria Math" w:hAnsi="Cambria Math" w:cs="Times New Roman"/>
                <w:bCs/>
                <w:sz w:val="24"/>
                <w:szCs w:val="24"/>
              </w:rPr>
            </m:ctrlPr>
          </m:fPr>
          <m:num>
            <m:r>
              <m:rPr>
                <m:sty m:val="p"/>
              </m:rPr>
              <w:rPr>
                <w:rFonts w:ascii="Cambria Math" w:hAnsi="Cambria Math" w:cs="Times New Roman"/>
                <w:sz w:val="24"/>
                <w:szCs w:val="24"/>
              </w:rPr>
              <m:t>F</m:t>
            </m:r>
            <m:ctrlPr>
              <w:rPr>
                <w:rFonts w:ascii="Cambria Math" w:hAnsi="Cambria Math" w:cs="Times New Roman"/>
                <w:bCs/>
                <w:sz w:val="24"/>
                <w:szCs w:val="24"/>
              </w:rPr>
            </m:ctrlPr>
          </m:num>
          <m:den>
            <m:d>
              <m:dPr>
                <m:ctrlPr>
                  <w:rPr>
                    <w:rFonts w:ascii="Cambria Math" w:hAnsi="Cambria Math" w:cs="Times New Roman"/>
                    <w:bCs/>
                    <w:sz w:val="24"/>
                    <w:szCs w:val="24"/>
                  </w:rPr>
                </m:ctrlPr>
              </m:dPr>
              <m:e>
                <m:r>
                  <m:rPr>
                    <m:sty m:val="p"/>
                  </m:rPr>
                  <w:rPr>
                    <w:rFonts w:ascii="Cambria Math" w:hAnsi="Cambria Math" w:cs="Times New Roman"/>
                    <w:sz w:val="24"/>
                    <w:szCs w:val="24"/>
                  </w:rPr>
                  <m:t>Wt+D</m:t>
                </m:r>
                <m:ctrlPr>
                  <w:rPr>
                    <w:rFonts w:ascii="Cambria Math" w:hAnsi="Cambria Math" w:cs="Times New Roman"/>
                    <w:bCs/>
                    <w:sz w:val="24"/>
                    <w:szCs w:val="24"/>
                  </w:rPr>
                </m:ctrlPr>
              </m:e>
            </m:d>
            <m:r>
              <m:rPr>
                <m:sty m:val="p"/>
              </m:rPr>
              <w:rPr>
                <w:rFonts w:ascii="Cambria Math" w:hAnsi="Cambria Math" w:cs="Times New Roman"/>
                <w:sz w:val="24"/>
                <w:szCs w:val="24"/>
              </w:rPr>
              <m:t>−W0</m:t>
            </m:r>
            <m:ctrlPr>
              <w:rPr>
                <w:rFonts w:ascii="Cambria Math" w:hAnsi="Cambria Math" w:cs="Times New Roman"/>
                <w:bCs/>
                <w:sz w:val="24"/>
                <w:szCs w:val="24"/>
              </w:rPr>
            </m:ctrlPr>
          </m:den>
        </m:f>
      </m:oMath>
      <w:r>
        <w:rPr>
          <w:rFonts w:ascii="Times New Roman" w:hAnsi="Times New Roman" w:cs="Times New Roman"/>
          <w:sz w:val="24"/>
          <w:szCs w:val="24"/>
          <w:lang w:val="en-US"/>
        </w:rPr>
        <w:t>…………..……....…    (5)</w:t>
      </w:r>
    </w:p>
    <w:p w14:paraId="19D5F7BD">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Dimana:</w:t>
      </w:r>
    </w:p>
    <w:p w14:paraId="4985DADE">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FCR</w:t>
      </w:r>
      <w:r>
        <w:rPr>
          <w:rFonts w:ascii="Times New Roman" w:hAnsi="Times New Roman" w:cs="Times New Roman"/>
          <w:sz w:val="24"/>
          <w:szCs w:val="24"/>
          <w:lang w:val="en-US"/>
        </w:rPr>
        <w:tab/>
      </w:r>
      <w:r>
        <w:rPr>
          <w:rFonts w:ascii="Times New Roman" w:hAnsi="Times New Roman" w:cs="Times New Roman"/>
          <w:sz w:val="24"/>
          <w:szCs w:val="24"/>
          <w:lang w:val="en-US"/>
        </w:rPr>
        <w:t>= Rasio konversi pakan</w:t>
      </w:r>
    </w:p>
    <w:p w14:paraId="7CAEBA01">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F</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Jumlah pakan yang diberikan selama pemeliharaan (g) </w:t>
      </w:r>
    </w:p>
    <w:p w14:paraId="7FE7F67F">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Wt</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Berat akhir ikan (g)  </w:t>
      </w:r>
    </w:p>
    <w:p w14:paraId="6F91861F">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W0</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Berat awal ikan (g)  </w:t>
      </w:r>
    </w:p>
    <w:p w14:paraId="16685CE1">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D</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Jumlah berat ikan mati (g)  </w:t>
      </w:r>
    </w:p>
    <w:p w14:paraId="3ACA3971">
      <w:pPr>
        <w:spacing w:after="0" w:line="23" w:lineRule="atLeast"/>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Efisiensi Pakan (FE)</w:t>
      </w:r>
    </w:p>
    <w:p w14:paraId="26CC508A">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{"citationItems":[{"id":"ITEM-1","itemData":{"DOI":"10.1016/j.aquaculture.2009.02.043","ISSN":"00448486","abstract":"The aim of the present study was to investigate the effect of dietary inclusion of potassium diformate (KDF), a possible non-antibiotic growth promoter, and two widely-used antibiotics, flavomycin and quinocetone, on growth performance, feed conversion ratio and gut microbiota of hybrid tilapia. An 8 week feeding trial was conducted with five levels of KDF: 0 (C), 3.0 (KDF3), 6.0 (KDF6), 9.0 (KDF9), and 12.0 (KDF12) g kg- 1 diet and three antibiotic treatments: flavomycin (8 mg kg- 1, AF), quinocetone (100 mg kg- 1, AQ), and flavomycin (4 mg kg- 1) + quinocetone (50 mg kg- 1) (AFQ). At the end of the experiment, fish were starved for one day and bulk weighed. Pooled gut contents sampled from four replicate tanks were analyzed for bacterial community by 16 S rDNA PCR, denaturing gradient gel electrophoresis (DGGE) and Bio-1D++ software. The results indicate that the addition of dietary KDF and antibiotics had no significant effect on tilapia growth performance, feed conversion ratio or survival compared to the control group. Among the experimental groups, however, fish fed the KDF3 and KDF6 diets showed improved growth performance and feed conversion ratio with higher final body weight and specific growth rate and lower feed conversion ratio compared to those fed the AFQ diet. Dietary KDF and antibiotics showed effects on the gut microbiota. Dietary KDF3 and KDF6 improved the relative richness of some intestinal allochthonous bacteria such as Mycobacterium sp. partial MHSD12-like, Mycobacterium peregrinum-like, Pseudomonas sp. HMPB4-like and six uncultured bacterium-like species. However, alpha Proteobacterium IMCC1702-like, Rhodococcus sp. P14-like, and three uncultured bacterium-like species were depressed in the gut. Based on these results, the possible beneficial effects of KDF on gut bacteria will be discussed. © 2009 Elsevier B.V. All rights reserved.","author":[{"dropping-particle":"","family":"Zhou","given":"Zhigang","non-dropping-particle":"","parse-names":false,"suffix":""},{"dropping-particle":"","family":"Liu","given":"Yuchun","non-dropping-particle":"","parse-names":false,"suffix":""},{"dropping-particle":"","family":"He","given":"Suxu","non-dropping-particle":"","parse-names":false,"suffix":""},{"dropping-particle":"","family":"Shi","given":"Pengjun","non-dropping-particle":"","parse-names":false,"suffix":""},{"dropping-particle":"","family":"Gao","given":"Xiuhua","non-dropping-particle":"","parse-names":false,"suffix":""},{"dropping-particle":"","family":"Yao","given":"Bin","non-dropping-particle":"","parse-names":false,"suffix":""},{"dropping-particle":"","family":"Ringø","given":"Einar","non-dropping-particle":"","parse-names":false,"suffix":""}],"container-title":"Aquaculture","id":"ITEM-1","issue":"1-2","issued":{"date-parts":[["2009","6","3"]]},"page":"89-94","title":"Effects of dietary potassium diformate (KDF) on growth performance, feed conversion and intestinal bacterial community of hybrid tilapia (Oreochromis niloticus ♀ × O. aureus ♂)","type":"article-journal","volume":"291"},"uris":["http://www.mendeley.com/documents/?uuid=653afa47-1599-37e0-aca8-69c46d3ac820"]}],"mendeley":{"formattedCitation":"(Zhou et al. 2009)","manualFormatting":"Zhou dkk, (2009)","plainTextFormattedCitation":"(Zhou et al. 2009)","previouslyFormattedCitation":"(Zhou et al. 2009)"},"properties":{"noteIndex":0},"schema":"https://github.com/citation-style-language/schema/raw/master/csl-citation.json"}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 xml:space="preserve">Zhou </w:t>
      </w:r>
      <w:r>
        <w:rPr>
          <w:rFonts w:ascii="Times New Roman" w:hAnsi="Times New Roman" w:cs="Times New Roman"/>
          <w:i/>
          <w:sz w:val="24"/>
          <w:szCs w:val="24"/>
        </w:rPr>
        <w:t>dkk,</w:t>
      </w:r>
      <w:r>
        <w:rPr>
          <w:rFonts w:ascii="Times New Roman" w:hAnsi="Times New Roman" w:cs="Times New Roman"/>
          <w:sz w:val="24"/>
          <w:szCs w:val="24"/>
          <w:lang w:val="en-US"/>
        </w:rPr>
        <w:t xml:space="preserve"> (2009)</w:t>
      </w:r>
      <w:r>
        <w:rPr>
          <w:rFonts w:ascii="Times New Roman" w:hAnsi="Times New Roman" w:cs="Times New Roman"/>
          <w:sz w:val="24"/>
          <w:szCs w:val="24"/>
          <w:lang w:val="en-US"/>
        </w:rPr>
        <w:fldChar w:fldCharType="end"/>
      </w:r>
      <w:r>
        <w:rPr>
          <w:rFonts w:ascii="Times New Roman" w:hAnsi="Times New Roman" w:cs="Times New Roman"/>
          <w:sz w:val="24"/>
          <w:szCs w:val="24"/>
        </w:rPr>
        <w:t xml:space="preserve">, </w:t>
      </w:r>
      <w:r>
        <w:rPr>
          <w:rFonts w:ascii="Times New Roman" w:hAnsi="Times New Roman" w:cs="Times New Roman"/>
          <w:sz w:val="24"/>
          <w:szCs w:val="24"/>
          <w:lang w:val="en-US"/>
        </w:rPr>
        <w:t>menghitung efisiensi pakan (</w:t>
      </w:r>
      <w:r>
        <w:rPr>
          <w:rFonts w:ascii="Times New Roman" w:hAnsi="Times New Roman" w:cs="Times New Roman"/>
          <w:i/>
          <w:sz w:val="24"/>
          <w:szCs w:val="24"/>
          <w:lang w:val="en-US"/>
        </w:rPr>
        <w:t>Food Eficiency</w:t>
      </w:r>
      <w:r>
        <w:rPr>
          <w:rFonts w:ascii="Times New Roman" w:hAnsi="Times New Roman" w:cs="Times New Roman"/>
          <w:sz w:val="24"/>
          <w:szCs w:val="24"/>
          <w:lang w:val="en-US"/>
        </w:rPr>
        <w:t xml:space="preserve">) dengan rumus : </w:t>
      </w:r>
    </w:p>
    <w:p w14:paraId="3F16C0E4">
      <w:pPr>
        <w:pStyle w:val="13"/>
        <w:spacing w:after="0" w:line="23" w:lineRule="atLeast"/>
        <w:ind w:left="0" w:firstLine="720"/>
        <w:jc w:val="both"/>
        <w:rPr>
          <w:rFonts w:ascii="Times New Roman" w:hAnsi="Times New Roman" w:cs="Times New Roman"/>
          <w:sz w:val="24"/>
          <w:szCs w:val="24"/>
          <w:lang w:val="en-US"/>
        </w:rPr>
      </w:pPr>
      <m:oMath>
        <m:r>
          <m:rPr>
            <m:sty m:val="p"/>
          </m:rPr>
          <w:rPr>
            <w:rFonts w:ascii="Cambria Math" w:hAnsi="Cambria Math" w:cs="Times New Roman"/>
            <w:sz w:val="24"/>
            <w:szCs w:val="24"/>
          </w:rPr>
          <m:t>FE=</m:t>
        </m:r>
        <m:f>
          <m:fPr>
            <m:ctrlPr>
              <w:rPr>
                <w:rFonts w:ascii="Cambria Math" w:hAnsi="Cambria Math" w:cs="Times New Roman"/>
                <w:bCs/>
                <w:sz w:val="24"/>
                <w:szCs w:val="24"/>
              </w:rPr>
            </m:ctrlPr>
          </m:fPr>
          <m:num>
            <m:d>
              <m:dPr>
                <m:ctrlPr>
                  <w:rPr>
                    <w:rFonts w:ascii="Cambria Math" w:hAnsi="Cambria Math" w:cs="Times New Roman"/>
                    <w:bCs/>
                    <w:sz w:val="24"/>
                    <w:szCs w:val="24"/>
                  </w:rPr>
                </m:ctrlPr>
              </m:dPr>
              <m:e>
                <m:r>
                  <m:rPr>
                    <m:sty m:val="p"/>
                  </m:rPr>
                  <w:rPr>
                    <w:rFonts w:ascii="Cambria Math" w:hAnsi="Cambria Math" w:cs="Times New Roman"/>
                    <w:sz w:val="24"/>
                    <w:szCs w:val="24"/>
                  </w:rPr>
                  <m:t>Wt+D</m:t>
                </m:r>
                <m:ctrlPr>
                  <w:rPr>
                    <w:rFonts w:ascii="Cambria Math" w:hAnsi="Cambria Math" w:cs="Times New Roman"/>
                    <w:bCs/>
                    <w:sz w:val="24"/>
                    <w:szCs w:val="24"/>
                  </w:rPr>
                </m:ctrlPr>
              </m:e>
            </m:d>
            <m:r>
              <m:rPr>
                <m:sty m:val="p"/>
              </m:rPr>
              <w:rPr>
                <w:rFonts w:ascii="Cambria Math" w:hAnsi="Cambria Math" w:cs="Times New Roman"/>
                <w:sz w:val="24"/>
                <w:szCs w:val="24"/>
              </w:rPr>
              <m:t>−W0</m:t>
            </m:r>
            <m:ctrlPr>
              <w:rPr>
                <w:rFonts w:ascii="Cambria Math" w:hAnsi="Cambria Math" w:cs="Times New Roman"/>
                <w:bCs/>
                <w:sz w:val="24"/>
                <w:szCs w:val="24"/>
              </w:rPr>
            </m:ctrlPr>
          </m:num>
          <m:den>
            <m:r>
              <m:rPr>
                <m:sty m:val="p"/>
              </m:rPr>
              <w:rPr>
                <w:rFonts w:ascii="Cambria Math" w:hAnsi="Cambria Math" w:cs="Times New Roman"/>
                <w:sz w:val="24"/>
                <w:szCs w:val="24"/>
              </w:rPr>
              <m:t>F</m:t>
            </m:r>
            <m:ctrlPr>
              <w:rPr>
                <w:rFonts w:ascii="Cambria Math" w:hAnsi="Cambria Math" w:cs="Times New Roman"/>
                <w:bCs/>
                <w:sz w:val="24"/>
                <w:szCs w:val="24"/>
              </w:rPr>
            </m:ctrlPr>
          </m:den>
        </m:f>
        <m:r>
          <m:rPr/>
          <w:rPr>
            <w:rFonts w:ascii="Cambria Math" w:hAnsi="Cambria Math" w:cs="Times New Roman"/>
            <w:sz w:val="24"/>
            <w:szCs w:val="24"/>
          </w:rPr>
          <m:t xml:space="preserve"> </m:t>
        </m:r>
        <m:r>
          <m:rPr>
            <m:sty m:val="p"/>
          </m:rPr>
          <w:rPr>
            <w:rFonts w:ascii="Cambria Math" w:hAnsi="Cambria Math" w:cs="Times New Roman"/>
            <w:sz w:val="24"/>
            <w:szCs w:val="24"/>
          </w:rPr>
          <m:t>X 100%</m:t>
        </m:r>
      </m:oMath>
      <w:r>
        <w:rPr>
          <w:rFonts w:ascii="Times New Roman" w:hAnsi="Times New Roman" w:cs="Times New Roman"/>
          <w:sz w:val="24"/>
          <w:szCs w:val="24"/>
          <w:lang w:val="en-US"/>
        </w:rPr>
        <w:t>……………    (6)</w:t>
      </w:r>
    </w:p>
    <w:p w14:paraId="72DF36BE">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Dimana:</w:t>
      </w:r>
    </w:p>
    <w:p w14:paraId="545E7DC2">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FE</w:t>
      </w:r>
      <w:r>
        <w:rPr>
          <w:rFonts w:ascii="Times New Roman" w:hAnsi="Times New Roman" w:cs="Times New Roman"/>
          <w:sz w:val="24"/>
          <w:szCs w:val="24"/>
          <w:lang w:val="en-US"/>
        </w:rPr>
        <w:tab/>
      </w:r>
      <w:r>
        <w:rPr>
          <w:rFonts w:ascii="Times New Roman" w:hAnsi="Times New Roman" w:cs="Times New Roman"/>
          <w:sz w:val="24"/>
          <w:szCs w:val="24"/>
          <w:lang w:val="en-US"/>
        </w:rPr>
        <w:t>= Efisiensi pakan</w:t>
      </w:r>
    </w:p>
    <w:p w14:paraId="4323C034">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F</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Jumlah pakan yang diberikan selama pemeliharaan (g) </w:t>
      </w:r>
    </w:p>
    <w:p w14:paraId="488256C6">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Wt</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Berat akhir ikan (g)  </w:t>
      </w:r>
    </w:p>
    <w:p w14:paraId="7DBC610E">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W0</w:t>
      </w:r>
      <w:r>
        <w:rPr>
          <w:rFonts w:ascii="Times New Roman" w:hAnsi="Times New Roman" w:cs="Times New Roman"/>
          <w:sz w:val="24"/>
          <w:szCs w:val="24"/>
          <w:lang w:val="en-US"/>
        </w:rPr>
        <w:tab/>
      </w:r>
      <w:r>
        <w:rPr>
          <w:rFonts w:ascii="Times New Roman" w:hAnsi="Times New Roman" w:cs="Times New Roman"/>
          <w:sz w:val="24"/>
          <w:szCs w:val="24"/>
          <w:lang w:val="en-US"/>
        </w:rPr>
        <w:t xml:space="preserve">= Berat awal ikan (g)  </w:t>
      </w:r>
    </w:p>
    <w:p w14:paraId="6A1597C1">
      <w:pPr>
        <w:spacing w:after="0" w:line="23"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D</w:t>
      </w:r>
      <w:r>
        <w:rPr>
          <w:rFonts w:ascii="Times New Roman" w:hAnsi="Times New Roman" w:cs="Times New Roman"/>
          <w:sz w:val="24"/>
          <w:szCs w:val="24"/>
          <w:lang w:val="en-US"/>
        </w:rPr>
        <w:tab/>
      </w:r>
      <w:r>
        <w:rPr>
          <w:rFonts w:ascii="Times New Roman" w:hAnsi="Times New Roman" w:cs="Times New Roman"/>
          <w:sz w:val="24"/>
          <w:szCs w:val="24"/>
          <w:lang w:val="en-US"/>
        </w:rPr>
        <w:t>= Jumlah berat ikan mati (g)</w:t>
      </w:r>
    </w:p>
    <w:p w14:paraId="3EDEE452">
      <w:pPr>
        <w:spacing w:after="0" w:line="23" w:lineRule="atLeast"/>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Parameter kualitas air </w:t>
      </w:r>
    </w:p>
    <w:p w14:paraId="79D3928F">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Parameter kualitas air yang di ukur selama penelitian meliputi: suhu, pH, salinitas, DO, kadar ammonia (NH3), nitrit (NO2-), nitrat (NO3-), dan fosfat (PO4). </w:t>
      </w:r>
    </w:p>
    <w:p w14:paraId="64A88EE8">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Analisis Data </w:t>
      </w:r>
    </w:p>
    <w:p w14:paraId="04C96259">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Pertumbuhan dan kelangsungan hidup benih ikan, dianalisis dengan menggunakan uji ragam ANOVA (</w:t>
      </w:r>
      <w:r>
        <w:rPr>
          <w:rFonts w:ascii="Times New Roman" w:hAnsi="Times New Roman" w:cs="Times New Roman"/>
          <w:i/>
          <w:iCs/>
          <w:sz w:val="24"/>
          <w:szCs w:val="24"/>
          <w:lang w:val="en-US"/>
        </w:rPr>
        <w:t>analysis of variance</w:t>
      </w:r>
      <w:r>
        <w:rPr>
          <w:rFonts w:ascii="Times New Roman" w:hAnsi="Times New Roman" w:cs="Times New Roman"/>
          <w:sz w:val="24"/>
          <w:szCs w:val="24"/>
          <w:lang w:val="en-US"/>
        </w:rPr>
        <w:t xml:space="preserve">) dengan tingkat kepercayaan 95% guna mengetahui hasilnya. Bila diperoleh hasil beda nyata (P&lt;0,05), maka dilakukan uji lanjut Duncan untuk mengetahui perbedaan antar perlakuan. Sedangkan, untuk data kualitas air dianalisis dengan teknik deskriptif. </w:t>
      </w:r>
    </w:p>
    <w:p w14:paraId="541318E8">
      <w:pPr>
        <w:spacing w:after="0" w:line="276" w:lineRule="auto"/>
        <w:jc w:val="both"/>
        <w:rPr>
          <w:rFonts w:ascii="Times New Roman" w:hAnsi="Times New Roman" w:cs="Times New Roman"/>
          <w:sz w:val="24"/>
          <w:szCs w:val="24"/>
          <w:lang w:val="en-US"/>
        </w:rPr>
      </w:pPr>
    </w:p>
    <w:p w14:paraId="2CD55269">
      <w:pPr>
        <w:spacing w:after="0" w:line="23" w:lineRule="atLeast"/>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HASIL DAN PEMBAHASAN</w:t>
      </w:r>
    </w:p>
    <w:p w14:paraId="72FAD6E1">
      <w:pPr>
        <w:pStyle w:val="13"/>
        <w:spacing w:after="0" w:line="23" w:lineRule="atLeast"/>
        <w:ind w:left="0"/>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 xml:space="preserve">Laju Pertumbuhan Spesifik (SGR) </w:t>
      </w:r>
    </w:p>
    <w:p w14:paraId="46685516">
      <w:pPr>
        <w:spacing w:after="0" w:line="23" w:lineRule="atLeast"/>
        <w:ind w:firstLine="440"/>
        <w:jc w:val="both"/>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Rata-rata </w:t>
      </w:r>
      <w:r>
        <w:rPr>
          <w:rFonts w:ascii="Times New Roman" w:hAnsi="Times New Roman" w:eastAsia="Times New Roman" w:cs="Times New Roman"/>
          <w:color w:val="000000" w:themeColor="text1"/>
          <w:sz w:val="24"/>
          <w:szCs w:val="24"/>
          <w14:textFill>
            <w14:solidFill>
              <w14:schemeClr w14:val="tx1"/>
            </w14:solidFill>
          </w14:textFill>
        </w:rPr>
        <w:t>laju pertumbuhan spesifik (</w:t>
      </w:r>
      <w:r>
        <w:rPr>
          <w:rFonts w:ascii="Times New Roman" w:hAnsi="Times New Roman" w:eastAsia="Times New Roman" w:cs="Times New Roman"/>
          <w:i/>
          <w:iCs/>
          <w:color w:val="000000" w:themeColor="text1"/>
          <w:sz w:val="24"/>
          <w:szCs w:val="24"/>
          <w14:textFill>
            <w14:solidFill>
              <w14:schemeClr w14:val="tx1"/>
            </w14:solidFill>
          </w14:textFill>
        </w:rPr>
        <w:t>Specific Growth Rate</w:t>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benih ikan bawal bintang (</w:t>
      </w:r>
      <w:r>
        <w:rPr>
          <w:rFonts w:ascii="Times New Roman" w:hAnsi="Times New Roman" w:eastAsia="Times New Roman" w:cs="Times New Roman"/>
          <w:i/>
          <w:iCs/>
          <w:color w:val="000000" w:themeColor="text1"/>
          <w:sz w:val="24"/>
          <w:szCs w:val="24"/>
          <w:lang w:val="en-US"/>
          <w14:textFill>
            <w14:solidFill>
              <w14:schemeClr w14:val="tx1"/>
            </w14:solidFill>
          </w14:textFill>
        </w:rPr>
        <w:t>Trachinotus blochii</w:t>
      </w:r>
      <w:r>
        <w:rPr>
          <w:rFonts w:ascii="Times New Roman" w:hAnsi="Times New Roman" w:eastAsia="Times New Roman" w:cs="Times New Roman"/>
          <w:color w:val="000000" w:themeColor="text1"/>
          <w:sz w:val="24"/>
          <w:szCs w:val="24"/>
          <w:lang w:val="en-US"/>
          <w14:textFill>
            <w14:solidFill>
              <w14:schemeClr w14:val="tx1"/>
            </w14:solidFill>
          </w14:textFill>
        </w:rPr>
        <w:t>) yang dipelihara dapat dilihat pada Gambar 1 berikut.</w:t>
      </w:r>
    </w:p>
    <w:p w14:paraId="1A729E5D">
      <w:pPr>
        <w:tabs>
          <w:tab w:val="left" w:pos="360"/>
        </w:tabs>
        <w:spacing w:after="0" w:line="23" w:lineRule="atLeast"/>
        <w:ind w:left="360"/>
        <w:jc w:val="center"/>
        <w:rPr>
          <w:rFonts w:ascii="Times New Roman" w:hAnsi="Times New Roman" w:eastAsia="Times New Roman" w:cs="Times New Roman"/>
          <w:color w:val="000000" w:themeColor="text1"/>
          <w:sz w:val="24"/>
          <w:szCs w:val="24"/>
          <w14:textFill>
            <w14:solidFill>
              <w14:schemeClr w14:val="tx1"/>
            </w14:solidFill>
          </w14:textFill>
        </w:rPr>
      </w:pPr>
      <w:r>
        <w:rPr>
          <w:lang w:val="en-US"/>
        </w:rPr>
        <w:drawing>
          <wp:inline distT="0" distB="0" distL="114300" distR="114300">
            <wp:extent cx="3505200" cy="1857375"/>
            <wp:effectExtent l="0" t="0" r="19050" b="9525"/>
            <wp:docPr id="2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Times New Roman" w:hAnsi="Times New Roman" w:eastAsia="Times New Roman" w:cs="Times New Roman"/>
          <w:color w:val="000000" w:themeColor="text1"/>
          <w:sz w:val="24"/>
          <w:szCs w:val="24"/>
          <w14:textFill>
            <w14:solidFill>
              <w14:schemeClr w14:val="tx1"/>
            </w14:solidFill>
          </w14:textFill>
        </w:rPr>
        <w:t xml:space="preserve"> </w:t>
      </w:r>
    </w:p>
    <w:p w14:paraId="3914F268">
      <w:pPr>
        <w:tabs>
          <w:tab w:val="left" w:pos="360"/>
        </w:tabs>
        <w:spacing w:after="0" w:line="23" w:lineRule="atLeast"/>
        <w:ind w:left="360"/>
        <w:jc w:val="center"/>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Gambar 1. Laju Pertumbuhan Spesifik </w:t>
      </w:r>
    </w:p>
    <w:p w14:paraId="1629D979">
      <w:pPr>
        <w:tabs>
          <w:tab w:val="left" w:pos="360"/>
        </w:tabs>
        <w:spacing w:after="0" w:line="23" w:lineRule="atLeast"/>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Perlakuan D 3% ekstrak temulawak (</w:t>
      </w:r>
      <w:r>
        <w:rPr>
          <w:rFonts w:ascii="Times New Roman" w:hAnsi="Times New Roman" w:eastAsia="Times New Roman" w:cs="Times New Roman"/>
          <w:i/>
          <w:iCs/>
          <w:color w:val="000000" w:themeColor="text1"/>
          <w:sz w:val="24"/>
          <w:szCs w:val="24"/>
          <w:lang w:val="en-US"/>
          <w14:textFill>
            <w14:solidFill>
              <w14:schemeClr w14:val="tx1"/>
            </w14:solidFill>
          </w14:textFill>
        </w:rPr>
        <w:t>Curcuma xanthorrhiza Roxb</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memiliki hasil </w:t>
      </w:r>
      <w:r>
        <w:rPr>
          <w:rFonts w:ascii="Times New Roman" w:hAnsi="Times New Roman" w:eastAsia="Times New Roman" w:cs="Times New Roman"/>
          <w:color w:val="000000" w:themeColor="text1"/>
          <w:sz w:val="24"/>
          <w:szCs w:val="24"/>
          <w14:textFill>
            <w14:solidFill>
              <w14:schemeClr w14:val="tx1"/>
            </w14:solidFill>
          </w14:textFill>
        </w:rPr>
        <w:t xml:space="preserve">laju pertumbuhan spesifik </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paling besar yaitu 5,82%/hari, disusul perlakuan C 2% ekstrak temulawak memiliki </w:t>
      </w:r>
      <w:r>
        <w:rPr>
          <w:rFonts w:ascii="Times New Roman" w:hAnsi="Times New Roman" w:eastAsia="Times New Roman" w:cs="Times New Roman"/>
          <w:color w:val="000000" w:themeColor="text1"/>
          <w:sz w:val="24"/>
          <w:szCs w:val="24"/>
          <w14:textFill>
            <w14:solidFill>
              <w14:schemeClr w14:val="tx1"/>
            </w14:solidFill>
          </w14:textFill>
        </w:rPr>
        <w:t xml:space="preserve">laju pertumbuhan spesifik </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5,79%/hari, perlakuan B 1% ekstrak temulawak dengan </w:t>
      </w:r>
      <w:r>
        <w:rPr>
          <w:rFonts w:ascii="Times New Roman" w:hAnsi="Times New Roman" w:eastAsia="Times New Roman" w:cs="Times New Roman"/>
          <w:color w:val="000000" w:themeColor="text1"/>
          <w:sz w:val="24"/>
          <w:szCs w:val="24"/>
          <w14:textFill>
            <w14:solidFill>
              <w14:schemeClr w14:val="tx1"/>
            </w14:solidFill>
          </w14:textFill>
        </w:rPr>
        <w:t xml:space="preserve">laju pertumbuhan spesifik </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5,74%/hari dan perlakuan A kontrol (pakan pelet tanpa penambahan ekstrak temulawak) memiliki </w:t>
      </w:r>
      <w:r>
        <w:rPr>
          <w:rFonts w:ascii="Times New Roman" w:hAnsi="Times New Roman" w:eastAsia="Times New Roman" w:cs="Times New Roman"/>
          <w:color w:val="000000" w:themeColor="text1"/>
          <w:sz w:val="24"/>
          <w:szCs w:val="24"/>
          <w14:textFill>
            <w14:solidFill>
              <w14:schemeClr w14:val="tx1"/>
            </w14:solidFill>
          </w14:textFill>
        </w:rPr>
        <w:t>laju pertumbuhan spesifik</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5,44%/hari. Pengaruh penambahan ekstrak temulawak pada pakan pellet komersial KAIO menunjukan pengaruh nyata (p&lt;0,05) dibanding kontrol terhadap </w:t>
      </w:r>
      <w:r>
        <w:rPr>
          <w:rFonts w:ascii="Times New Roman" w:hAnsi="Times New Roman" w:eastAsia="Times New Roman" w:cs="Times New Roman"/>
          <w:color w:val="000000" w:themeColor="text1"/>
          <w:sz w:val="24"/>
          <w:szCs w:val="24"/>
          <w14:textFill>
            <w14:solidFill>
              <w14:schemeClr w14:val="tx1"/>
            </w14:solidFill>
          </w14:textFill>
        </w:rPr>
        <w:t>laju pertumbuhan spesifik</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ikan bawal bintang. Hasil uji lanjut (Duncan) menunjukan perlakuan A (kontrol) dan perlakuan B 1% ekstrak temulawak berada pada subset 1 memberikan hasil yang sama atau tidak berbeda secara signifikan, perlakuan B 1% ekstrak temulawak juga berada pada subset 2 dengan perlakuan C 2% dan D 3% ekstrak temulawak sehingga, memberikan hasil yang sama, sedangkan perlakuan A (kontrol) berbeda signifikan dengan perlakuan C 2% dan D 3% ekstrak temulawak karena tidak berada di subset yang sama. </w:t>
      </w:r>
    </w:p>
    <w:p w14:paraId="7658E42B">
      <w:pPr>
        <w:tabs>
          <w:tab w:val="left" w:pos="360"/>
        </w:tabs>
        <w:spacing w:after="0" w:line="23" w:lineRule="atLeast"/>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 xml:space="preserve">Penambahan ekstrak temulawak pada perlakuan B, C dan D lebih dianjurkan karena efektif meningkatkan laju pertumbuhan spesifik (SGR). Hal ini dikarenakan semakin tinggi dosis ekstrak temulawak pada pakan mampu diterima oleh benih ikan bawal bintang sehingga meningkatkan aktivitas metabolisme, membantu penyerapan nutrisi dari pakan secara optimal dan berdampak langsung pada peningkatan laju pertumbuhan spesifik (SGR). Menurut </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lang w:val="en-US"/>
          <w14:textFill>
            <w14:solidFill>
              <w14:schemeClr w14:val="tx1"/>
            </w14:solidFill>
          </w14:textFill>
        </w:rPr>
        <w:instrText xml:space="preserve">ADDIN CSL_CITATION {"citationItems":[{"id":"ITEM-1","itemData":{"author":[{"dropping-particle":"","family":"Astuti","given":"Kusuma","non-dropping-particle":"","parse-names":false,"suffix":""},{"dropping-particle":"","family":"Hastuti","given":"Sri","non-dropping-particle":"","parse-names":false,"suffix":""},{"dropping-particle":"","family":"Harjuno","given":"Alfabetian","non-dropping-particle":"","parse-names":false,"suffix":""},{"dropping-particle":"","family":"Haditomo","given":"Condro","non-dropping-particle":"","parse-names":false,"suffix":""}],"container-title":"Journal of Aquaculture Management and Technology","id":"ITEM-1","issue":"3","issued":{"date-parts":[["2017"]]},"number-of-pages":"10-19","title":"The Effect of Extracts Curcuma in the Diets as Immunostimulant for Java Barb (Puntius javanicus) with Bacterial Challenge Test","type":"report","volume":"6"},"uris":["http://www.mendeley.com/documents/?uuid=06ad20fe-eabf-3452-afc4-d8204c7e3eae"]}],"mendeley":{"formattedCitation":"(Astuti et al. 2017)","manualFormatting":"Astuti, Hastuti dan Haditomo, (2017)","plainTextFormattedCitation":"(Astuti et al. 2017)","previouslyFormattedCitation":"(Astuti et al. 2017)"},"properties":{"noteIndex":0},"schema":"https://github.com/citation-style-language/schema/raw/master/csl-citation.json"}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separate"/>
      </w:r>
      <w:r>
        <w:rPr>
          <w:rFonts w:ascii="Times New Roman" w:hAnsi="Times New Roman" w:eastAsia="Times New Roman" w:cs="Times New Roman"/>
          <w:color w:val="000000" w:themeColor="text1"/>
          <w:sz w:val="24"/>
          <w:szCs w:val="24"/>
          <w:lang w:val="en-US"/>
          <w14:textFill>
            <w14:solidFill>
              <w14:schemeClr w14:val="tx1"/>
            </w14:solidFill>
          </w14:textFill>
        </w:rPr>
        <w:t>Astuti</w:t>
      </w:r>
      <w:r>
        <w:rPr>
          <w:rFonts w:ascii="Times New Roman" w:hAnsi="Times New Roman" w:eastAsia="Times New Roman" w:cs="Times New Roman"/>
          <w:color w:val="000000" w:themeColor="text1"/>
          <w:sz w:val="24"/>
          <w:szCs w:val="24"/>
          <w14:textFill>
            <w14:solidFill>
              <w14:schemeClr w14:val="tx1"/>
            </w14:solidFill>
          </w14:textFill>
        </w:rPr>
        <w:t xml:space="preserve">, Hastuti dan Haditomo, </w:t>
      </w:r>
      <w:r>
        <w:rPr>
          <w:rFonts w:ascii="Times New Roman" w:hAnsi="Times New Roman" w:eastAsia="Times New Roman" w:cs="Times New Roman"/>
          <w:color w:val="000000" w:themeColor="text1"/>
          <w:sz w:val="24"/>
          <w:szCs w:val="24"/>
          <w:lang w:val="en-US"/>
          <w14:textFill>
            <w14:solidFill>
              <w14:schemeClr w14:val="tx1"/>
            </w14:solidFill>
          </w14:textFill>
        </w:rPr>
        <w:t>(2017)</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end"/>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kandungan aktif seperti xanthorrhizol, kurkumin, dan minyak atsiri dalam temulawak bekerja sebagai antioksidan dan antibakteri, sehingga mengurangi stres oksidatif dan infeksi yang dapat menghambat pertumbuhan, serta dalam dosis lebih tinggi dapat menstimulasi enzim pencernaan memberikan efek signifikan terhadap laju pertumbuhan spesifik (SGR). Penelitian terdahulu oleh </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lang w:val="en-US"/>
          <w14:textFill>
            <w14:solidFill>
              <w14:schemeClr w14:val="tx1"/>
            </w14:solidFill>
          </w14:textFill>
        </w:rPr>
        <w:instrText xml:space="preserve">ADDIN CSL_CITATION {"citationItems":[{"id":"ITEM-1","itemData":{"author":[{"dropping-particle":"","family":"Prabowo","given":"Ardi Setyo","non-dropping-particle":"","parse-names":false,"suffix":""},{"dropping-particle":"","family":"Madusari","given":"Benny Diah","non-dropping-particle":"","parse-names":false,"suffix":""},{"dropping-particle":"","family":"Tri","given":"Dan","non-dropping-particle":"","parse-names":false,"suffix":""},{"dropping-particle":"","family":"Mardiana","given":"Yusufi","non-dropping-particle":"","parse-names":false,"suffix":""}],"id":"ITEM-1","issue":"1","issued":{"date-parts":[["2017"]]},"title":"PENGARUH PENAMBAHAN TEMULAWAK (Curcuma xanthorriza) PADA PAKAN BUATAN TERHADAP PERTUMBUHAN IKAN BANDENG (Chanos chanos)","type":"report","volume":"15"},"uris":["http://www.mendeley.com/documents/?uuid=5838508f-38d1-37e7-bed4-1bbbe21f1696"]},{"id":"ITEM-2","itemData":{"author":[{"dropping-particle":"","family":"Wijaya","given":"Ayu Adhita Damayanti, Baiq Hilda","non-dropping-particle":"","parse-names":false,"suffix":""}],"id":"ITEM-2","issued":{"date-parts":[["2018"]]},"title":"Wijaya+69-Article Text-258-1-10-20180530","type":"article-journal"},"uris":["http://www.mendeley.com/documents/?uuid=57d07121-eb2e-32e7-aa04-06a32f6b49b8"]}],"mendeley":{"formattedCitation":"(Prabowo et al. 2017; Wijaya 2018)","manualFormatting":"Wijaya dkk, (2018)","plainTextFormattedCitation":"(Prabowo et al. 2017; Wijaya 2018)","previouslyFormattedCitation":"(Prabowo et al. 2017; Wijaya 2018)"},"properties":{"noteIndex":0},"schema":"https://github.com/citation-style-language/schema/raw/master/csl-citation.json"}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separate"/>
      </w:r>
      <w:r>
        <w:rPr>
          <w:rFonts w:ascii="Times New Roman" w:hAnsi="Times New Roman" w:eastAsia="Times New Roman" w:cs="Times New Roman"/>
          <w:color w:val="000000" w:themeColor="text1"/>
          <w:sz w:val="24"/>
          <w:szCs w:val="24"/>
          <w:lang w:val="en-US"/>
          <w14:textFill>
            <w14:solidFill>
              <w14:schemeClr w14:val="tx1"/>
            </w14:solidFill>
          </w14:textFill>
        </w:rPr>
        <w:t>Wijaya</w:t>
      </w:r>
      <w:r>
        <w:rPr>
          <w:rFonts w:ascii="Times New Roman" w:hAnsi="Times New Roman" w:eastAsia="Times New Roman" w:cs="Times New Roman"/>
          <w:color w:val="000000" w:themeColor="text1"/>
          <w:sz w:val="24"/>
          <w:szCs w:val="24"/>
          <w14:textFill>
            <w14:solidFill>
              <w14:schemeClr w14:val="tx1"/>
            </w14:solidFill>
          </w14:textFill>
        </w:rPr>
        <w:t xml:space="preserve"> </w:t>
      </w:r>
      <w:r>
        <w:rPr>
          <w:rFonts w:ascii="Times New Roman" w:hAnsi="Times New Roman" w:eastAsia="Times New Roman" w:cs="Times New Roman"/>
          <w:i/>
          <w:color w:val="000000" w:themeColor="text1"/>
          <w:sz w:val="24"/>
          <w:szCs w:val="24"/>
          <w14:textFill>
            <w14:solidFill>
              <w14:schemeClr w14:val="tx1"/>
            </w14:solidFill>
          </w14:textFill>
        </w:rPr>
        <w:t>dkk,</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w:t>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2018)</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end"/>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menunjukkan bahwa senyawa aktif dalam temulawak, khususnya kurkumin dan minyak atsiri, berperan dalam meningkatkan laju pertumbuhan spesifik harian (SGR) ikan melalui perbaikan metabolisme, efisiensi pakan, dan respon imun. </w:t>
      </w:r>
    </w:p>
    <w:p w14:paraId="02EC157F">
      <w:pPr>
        <w:pStyle w:val="13"/>
        <w:tabs>
          <w:tab w:val="left" w:pos="360"/>
        </w:tabs>
        <w:spacing w:after="0" w:line="23" w:lineRule="atLeast"/>
        <w:ind w:left="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Pertumbuhan B</w:t>
      </w:r>
      <w:r>
        <w:rPr>
          <w:rFonts w:ascii="Times New Roman" w:hAnsi="Times New Roman" w:eastAsia="Times New Roman" w:cs="Times New Roman"/>
          <w:b/>
          <w:bCs/>
          <w:color w:val="000000" w:themeColor="text1"/>
          <w:sz w:val="24"/>
          <w:szCs w:val="24"/>
          <w:lang w:val="en-US"/>
          <w14:textFill>
            <w14:solidFill>
              <w14:schemeClr w14:val="tx1"/>
            </w14:solidFill>
          </w14:textFill>
        </w:rPr>
        <w:t>erat</w:t>
      </w:r>
      <w:r>
        <w:rPr>
          <w:rFonts w:ascii="Times New Roman" w:hAnsi="Times New Roman" w:eastAsia="Times New Roman" w:cs="Times New Roman"/>
          <w:b/>
          <w:bCs/>
          <w:color w:val="000000" w:themeColor="text1"/>
          <w:sz w:val="24"/>
          <w:szCs w:val="24"/>
          <w14:textFill>
            <w14:solidFill>
              <w14:schemeClr w14:val="tx1"/>
            </w14:solidFill>
          </w14:textFill>
        </w:rPr>
        <w:t xml:space="preserve"> Mutlak </w:t>
      </w:r>
    </w:p>
    <w:p w14:paraId="3B9C6853">
      <w:pPr>
        <w:tabs>
          <w:tab w:val="left" w:pos="360"/>
        </w:tabs>
        <w:spacing w:after="0" w:line="23" w:lineRule="atLeast"/>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 xml:space="preserve">Rata-rata </w:t>
      </w:r>
      <w:r>
        <w:rPr>
          <w:rFonts w:ascii="Times New Roman" w:hAnsi="Times New Roman" w:eastAsia="Times New Roman" w:cs="Times New Roman"/>
          <w:color w:val="000000" w:themeColor="text1"/>
          <w:sz w:val="24"/>
          <w:szCs w:val="24"/>
          <w14:textFill>
            <w14:solidFill>
              <w14:schemeClr w14:val="tx1"/>
            </w14:solidFill>
          </w14:textFill>
        </w:rPr>
        <w:t xml:space="preserve">pertumbuhan </w:t>
      </w:r>
      <w:r>
        <w:rPr>
          <w:rFonts w:ascii="Times New Roman" w:hAnsi="Times New Roman" w:eastAsia="Times New Roman" w:cs="Times New Roman"/>
          <w:color w:val="000000" w:themeColor="text1"/>
          <w:sz w:val="24"/>
          <w:szCs w:val="24"/>
          <w:lang w:val="en-US"/>
          <w14:textFill>
            <w14:solidFill>
              <w14:schemeClr w14:val="tx1"/>
            </w14:solidFill>
          </w14:textFill>
        </w:rPr>
        <w:t>berat</w:t>
      </w:r>
      <w:r>
        <w:rPr>
          <w:rFonts w:ascii="Times New Roman" w:hAnsi="Times New Roman" w:eastAsia="Times New Roman" w:cs="Times New Roman"/>
          <w:color w:val="000000" w:themeColor="text1"/>
          <w:sz w:val="24"/>
          <w:szCs w:val="24"/>
          <w14:textFill>
            <w14:solidFill>
              <w14:schemeClr w14:val="tx1"/>
            </w14:solidFill>
          </w14:textFill>
        </w:rPr>
        <w:t xml:space="preserve"> mutlak </w:t>
      </w:r>
      <w:r>
        <w:rPr>
          <w:rFonts w:ascii="Times New Roman" w:hAnsi="Times New Roman" w:eastAsia="Times New Roman" w:cs="Times New Roman"/>
          <w:color w:val="000000" w:themeColor="text1"/>
          <w:sz w:val="24"/>
          <w:szCs w:val="24"/>
          <w:lang w:val="en-US"/>
          <w14:textFill>
            <w14:solidFill>
              <w14:schemeClr w14:val="tx1"/>
            </w14:solidFill>
          </w14:textFill>
        </w:rPr>
        <w:t>benih ikan bawal bintang yang dipelihara dapat dilihat pada Gambar 2 berikut.</w:t>
      </w:r>
    </w:p>
    <w:p w14:paraId="545B0B34">
      <w:pPr>
        <w:tabs>
          <w:tab w:val="left" w:pos="360"/>
        </w:tabs>
        <w:spacing w:after="0" w:line="23" w:lineRule="atLeast"/>
        <w:ind w:left="360"/>
        <w:jc w:val="center"/>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lang w:val="en-US"/>
        </w:rPr>
        <w:drawing>
          <wp:inline distT="0" distB="0" distL="0" distR="0">
            <wp:extent cx="3438525" cy="2000250"/>
            <wp:effectExtent l="0" t="0" r="952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7258222">
      <w:pPr>
        <w:tabs>
          <w:tab w:val="left" w:pos="360"/>
        </w:tabs>
        <w:spacing w:after="0" w:line="23" w:lineRule="atLeast"/>
        <w:ind w:left="360"/>
        <w:jc w:val="center"/>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Gambar 2. Pertumbuhan Berat Mutlak</w:t>
      </w:r>
    </w:p>
    <w:p w14:paraId="1C2D07D1">
      <w:pPr>
        <w:tabs>
          <w:tab w:val="left" w:pos="360"/>
        </w:tabs>
        <w:spacing w:after="0" w:line="23" w:lineRule="atLeast"/>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 xml:space="preserve">Perlakuan D 3% ekstrak temulawak memiliki hasil pertumbuhan berat mutlak paling besar yaitu 7,2 gram, disusul perlakuan B 1% ekstrak temulawak memiliki pertumbuhan berat mutlak 7,09 gram, perlakuan C 2% ekstrak temulawak dengan pertumbuhan berat mutlak 6,99 gram dan perlakuan A kontrol (pakan pelet tanpa penambahan ekstrak temulawak) memiliki pertumbuhan berat mutlak 6,18 gram. Pengaruh penambahan ekstrak temulawak pada pakan pellet komersial KAIO menunjukan pengaruh nyata (p&lt;0,05) dibanding kontrol terhadap pertumbuhan berat mutlak ikan bawal bintang. </w:t>
      </w:r>
    </w:p>
    <w:p w14:paraId="2E4BBFAF">
      <w:pPr>
        <w:tabs>
          <w:tab w:val="left" w:pos="360"/>
        </w:tabs>
        <w:spacing w:after="0" w:line="23" w:lineRule="atLeast"/>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 xml:space="preserve">Perlakuan C 2% ekstrak temulawak pada pakan memberikan hasil pertumbuhan berat mutlak yang sedikit lebih rendah dari perlakuan B dan D. Menurut </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lang w:val="en-US"/>
          <w14:textFill>
            <w14:solidFill>
              <w14:schemeClr w14:val="tx1"/>
            </w14:solidFill>
          </w14:textFill>
        </w:rPr>
        <w:instrText xml:space="preserve">ADDIN CSL_CITATION {"citationItems":[{"id":"ITEM-1","itemData":{"author":[{"dropping-particle":"","family":"Setiawan","given":"Hidayat Pandu","non-dropping-particle":"","parse-names":false,"suffix":""},{"dropping-particle":"","family":"Mumpuni","given":"Fia Sri","non-dropping-particle":"","parse-names":false,"suffix":""},{"dropping-particle":"","family":"Mulyana","given":"Dan","non-dropping-particle":"","parse-names":false,"suffix":""}],"id":"ITEM-1","issued":{"date-parts":[["2017"]]},"title":"PENGARUH PENAMBAHAN TEPUNG RIMPANG TEMULAWAK (Curcuma xanthorrhiza) PADA PAKAN DENGAN DOSIS BERBEDA TERHADAP LAJU PERTUMBUHAN DAN TINGKAT KELANGSUNGAN HIDUP BENIH IKAN MAS KOKI (Carassius auratus)","type":"report"},"uris":["http://www.mendeley.com/documents/?uuid=0f65a835-5eff-3136-a3af-a178c6fee128"]}],"mendeley":{"formattedCitation":"(Setiawan, Mumpuni, and Mulyana 2017)","manualFormatting":"Setiawan, Mumpuni, dan Mulyana, (2020)","plainTextFormattedCitation":"(Setiawan, Mumpuni, and Mulyana 2017)","previouslyFormattedCitation":"(Setiawan, Mumpuni, and Mulyana 2017)"},"properties":{"noteIndex":0},"schema":"https://github.com/citation-style-language/schema/raw/master/csl-citation.json"}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separate"/>
      </w:r>
      <w:r>
        <w:rPr>
          <w:rFonts w:ascii="Times New Roman" w:hAnsi="Times New Roman" w:eastAsia="Times New Roman" w:cs="Times New Roman"/>
          <w:color w:val="000000" w:themeColor="text1"/>
          <w:sz w:val="24"/>
          <w:szCs w:val="24"/>
          <w:lang w:val="en-US"/>
          <w14:textFill>
            <w14:solidFill>
              <w14:schemeClr w14:val="tx1"/>
            </w14:solidFill>
          </w14:textFill>
        </w:rPr>
        <w:t>Setiawan, Mumpuni, dan Mulyana</w:t>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(20</w:t>
      </w:r>
      <w:r>
        <w:rPr>
          <w:rFonts w:ascii="Times New Roman" w:hAnsi="Times New Roman" w:eastAsia="Times New Roman" w:cs="Times New Roman"/>
          <w:color w:val="000000" w:themeColor="text1"/>
          <w:sz w:val="24"/>
          <w:szCs w:val="24"/>
          <w14:textFill>
            <w14:solidFill>
              <w14:schemeClr w14:val="tx1"/>
            </w14:solidFill>
          </w14:textFill>
        </w:rPr>
        <w:t>20</w:t>
      </w:r>
      <w:r>
        <w:rPr>
          <w:rFonts w:ascii="Times New Roman" w:hAnsi="Times New Roman" w:eastAsia="Times New Roman" w:cs="Times New Roman"/>
          <w:color w:val="000000" w:themeColor="text1"/>
          <w:sz w:val="24"/>
          <w:szCs w:val="24"/>
          <w:lang w:val="en-US"/>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end"/>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peningkatan dosis temulawak dalam pakan berbanding lurus dengan tingginya kandungan protein, namun kadar protein yang terlalu tinggi dapat menyebabkan asam amino pada tubuh ikan tidak dimanfaatkan secara optimal karena proses katabolisme menjadi terhambat. Hal tersebut menyebabkan nutrisi dari protein pakan yang ada tidak digunakan dengan baik dan akhirnya terbuang percuma </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lang w:val="en-US"/>
          <w14:textFill>
            <w14:solidFill>
              <w14:schemeClr w14:val="tx1"/>
            </w14:solidFill>
          </w14:textFill>
        </w:rPr>
        <w:instrText xml:space="preserve">ADDIN CSL_CITATION {"citationItems":[{"id":"ITEM-1","itemData":{"author":[{"dropping-particle":"","family":"Insana","given":"Nur","non-dropping-particle":"","parse-names":false,"suffix":""},{"dropping-particle":"","family":"Wahyu","given":"Dan Farhanah","non-dropping-particle":"","parse-names":false,"suffix":""}],"id":"ITEM-1","issue":"2","issued":{"date-parts":[["2015"]]},"title":"SUBTITUSI TEPUNG TEMULAWAK (Curcuma xanthorhiza sp) PADA PAKAN DENGAN DOSIS BERBEDA TERHADAP PERTUMBUHAN DAN SINTASAN BENIH IKAN NILA (Oreochromis niloticus)","type":"report","volume":"4"},"uris":["http://www.mendeley.com/documents/?uuid=5cdca2ad-ac25-3a2a-bd66-baa8a288033e"]}],"mendeley":{"formattedCitation":"(Insana and Wahyu 2015)","manualFormatting":"(Insana dan Wahyu, 2015)","plainTextFormattedCitation":"(Insana and Wahyu 2015)","previouslyFormattedCitation":"(Insana and Wahyu 2015)"},"properties":{"noteIndex":0},"schema":"https://github.com/citation-style-language/schema/raw/master/csl-citation.json"}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separate"/>
      </w:r>
      <w:r>
        <w:rPr>
          <w:rFonts w:ascii="Times New Roman" w:hAnsi="Times New Roman" w:eastAsia="Times New Roman" w:cs="Times New Roman"/>
          <w:color w:val="000000" w:themeColor="text1"/>
          <w:sz w:val="24"/>
          <w:szCs w:val="24"/>
          <w:lang w:val="en-US"/>
          <w14:textFill>
            <w14:solidFill>
              <w14:schemeClr w14:val="tx1"/>
            </w14:solidFill>
          </w14:textFill>
        </w:rPr>
        <w:t>(Insana dan Wahyu</w:t>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2015)</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end"/>
      </w:r>
      <w:r>
        <w:rPr>
          <w:rFonts w:ascii="Times New Roman" w:hAnsi="Times New Roman" w:eastAsia="Times New Roman" w:cs="Times New Roman"/>
          <w:color w:val="000000" w:themeColor="text1"/>
          <w:sz w:val="24"/>
          <w:szCs w:val="24"/>
          <w14:textFill>
            <w14:solidFill>
              <w14:schemeClr w14:val="tx1"/>
            </w14:solidFill>
          </w14:textFill>
        </w:rPr>
        <w:t xml:space="preserve">. </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Komponen minyak atsiri dalam temulawak menghasilkan aroma yang tajam serta rasa pahit, sehingga dapat menurunkan palatabilitas pakan dan membuat ikan lebih sensitif terhadap pakan yang dikonsumsi, kondisi tersebut diduga menjadi faktor yang menyebabkan laju pertumbuhan bobot spesifik ikan mas koki pada perlakuan C (7,5%) lebih rendah dibandingkan perlakuan B (5%) </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lang w:val="en-US"/>
          <w14:textFill>
            <w14:solidFill>
              <w14:schemeClr w14:val="tx1"/>
            </w14:solidFill>
          </w14:textFill>
        </w:rPr>
        <w:instrText xml:space="preserve">ADDIN CSL_CITATION {"citationItems":[{"id":"ITEM-1","itemData":{"author":[{"dropping-particle":"","family":"Setiawan","given":"Hidayat Pandu","non-dropping-particle":"","parse-names":false,"suffix":""},{"dropping-particle":"","family":"Mumpuni","given":"Fia Sri","non-dropping-particle":"","parse-names":false,"suffix":""},{"dropping-particle":"","family":"Mulyana","given":"Dan","non-dropping-particle":"","parse-names":false,"suffix":""}],"id":"ITEM-1","issued":{"date-parts":[["2017"]]},"title":"PENGARUH PENAMBAHAN TEPUNG RIMPANG TEMULAWAK (Curcuma xanthorrhiza) PADA PAKAN DENGAN DOSIS BERBEDA TERHADAP LAJU PERTUMBUHAN DAN TINGKAT KELANGSUNGAN HIDUP BENIH IKAN MAS KOKI (Carassius auratus)","type":"report"},"uris":["http://www.mendeley.com/documents/?uuid=0f65a835-5eff-3136-a3af-a178c6fee128"]}],"mendeley":{"formattedCitation":"(Setiawan et al. 2017)","manualFormatting":"(Setiawan dkk, 2020)","plainTextFormattedCitation":"(Setiawan et al. 2017)","previouslyFormattedCitation":"(Setiawan et al. 2017)"},"properties":{"noteIndex":0},"schema":"https://github.com/citation-style-language/schema/raw/master/csl-citation.json"}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separate"/>
      </w:r>
      <w:r>
        <w:rPr>
          <w:rFonts w:ascii="Times New Roman" w:hAnsi="Times New Roman" w:eastAsia="Times New Roman" w:cs="Times New Roman"/>
          <w:color w:val="000000" w:themeColor="text1"/>
          <w:sz w:val="24"/>
          <w:szCs w:val="24"/>
          <w:lang w:val="en-US"/>
          <w14:textFill>
            <w14:solidFill>
              <w14:schemeClr w14:val="tx1"/>
            </w14:solidFill>
          </w14:textFill>
        </w:rPr>
        <w:t>(Setiawan</w:t>
      </w:r>
      <w:r>
        <w:rPr>
          <w:rFonts w:ascii="Times New Roman" w:hAnsi="Times New Roman" w:eastAsia="Times New Roman" w:cs="Times New Roman"/>
          <w:color w:val="000000" w:themeColor="text1"/>
          <w:sz w:val="24"/>
          <w:szCs w:val="24"/>
          <w14:textFill>
            <w14:solidFill>
              <w14:schemeClr w14:val="tx1"/>
            </w14:solidFill>
          </w14:textFill>
        </w:rPr>
        <w:t xml:space="preserve"> </w:t>
      </w:r>
      <w:r>
        <w:rPr>
          <w:rFonts w:ascii="Times New Roman" w:hAnsi="Times New Roman" w:eastAsia="Times New Roman" w:cs="Times New Roman"/>
          <w:i/>
          <w:color w:val="000000" w:themeColor="text1"/>
          <w:sz w:val="24"/>
          <w:szCs w:val="24"/>
          <w14:textFill>
            <w14:solidFill>
              <w14:schemeClr w14:val="tx1"/>
            </w14:solidFill>
          </w14:textFill>
        </w:rPr>
        <w:t>dkk,</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20</w:t>
      </w:r>
      <w:r>
        <w:rPr>
          <w:rFonts w:ascii="Times New Roman" w:hAnsi="Times New Roman" w:eastAsia="Times New Roman" w:cs="Times New Roman"/>
          <w:color w:val="000000" w:themeColor="text1"/>
          <w:sz w:val="24"/>
          <w:szCs w:val="24"/>
          <w14:textFill>
            <w14:solidFill>
              <w14:schemeClr w14:val="tx1"/>
            </w14:solidFill>
          </w14:textFill>
        </w:rPr>
        <w:t>20</w:t>
      </w:r>
      <w:r>
        <w:rPr>
          <w:rFonts w:ascii="Times New Roman" w:hAnsi="Times New Roman" w:eastAsia="Times New Roman" w:cs="Times New Roman"/>
          <w:color w:val="000000" w:themeColor="text1"/>
          <w:sz w:val="24"/>
          <w:szCs w:val="24"/>
          <w:lang w:val="en-US"/>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end"/>
      </w:r>
      <w:r>
        <w:rPr>
          <w:rFonts w:ascii="Times New Roman" w:hAnsi="Times New Roman" w:eastAsia="Times New Roman" w:cs="Times New Roman"/>
          <w:color w:val="000000" w:themeColor="text1"/>
          <w:sz w:val="24"/>
          <w:szCs w:val="24"/>
          <w14:textFill>
            <w14:solidFill>
              <w14:schemeClr w14:val="tx1"/>
            </w14:solidFill>
          </w14:textFill>
        </w:rPr>
        <w:t>.</w:t>
      </w:r>
    </w:p>
    <w:p w14:paraId="7475FA8E">
      <w:pPr>
        <w:pStyle w:val="13"/>
        <w:tabs>
          <w:tab w:val="left" w:pos="360"/>
        </w:tabs>
        <w:spacing w:after="0" w:line="23" w:lineRule="atLeast"/>
        <w:ind w:left="0"/>
        <w:jc w:val="both"/>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 xml:space="preserve">Pertumbuhan Panjang Mutlak </w:t>
      </w:r>
    </w:p>
    <w:p w14:paraId="3B980F8C">
      <w:pPr>
        <w:tabs>
          <w:tab w:val="left" w:pos="360"/>
        </w:tabs>
        <w:spacing w:after="0" w:line="23" w:lineRule="atLeast"/>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 xml:space="preserve">Rata-rata </w:t>
      </w:r>
      <w:r>
        <w:rPr>
          <w:rFonts w:ascii="Times New Roman" w:hAnsi="Times New Roman" w:eastAsia="Times New Roman" w:cs="Times New Roman"/>
          <w:color w:val="000000" w:themeColor="text1"/>
          <w:sz w:val="24"/>
          <w:szCs w:val="24"/>
          <w14:textFill>
            <w14:solidFill>
              <w14:schemeClr w14:val="tx1"/>
            </w14:solidFill>
          </w14:textFill>
        </w:rPr>
        <w:t xml:space="preserve">pertumbuhan </w:t>
      </w:r>
      <w:r>
        <w:rPr>
          <w:rFonts w:ascii="Times New Roman" w:hAnsi="Times New Roman" w:eastAsia="Times New Roman" w:cs="Times New Roman"/>
          <w:color w:val="000000" w:themeColor="text1"/>
          <w:sz w:val="24"/>
          <w:szCs w:val="24"/>
          <w:lang w:val="en-US"/>
          <w14:textFill>
            <w14:solidFill>
              <w14:schemeClr w14:val="tx1"/>
            </w14:solidFill>
          </w14:textFill>
        </w:rPr>
        <w:t>panjang</w:t>
      </w:r>
      <w:r>
        <w:rPr>
          <w:rFonts w:ascii="Times New Roman" w:hAnsi="Times New Roman" w:eastAsia="Times New Roman" w:cs="Times New Roman"/>
          <w:color w:val="000000" w:themeColor="text1"/>
          <w:sz w:val="24"/>
          <w:szCs w:val="24"/>
          <w14:textFill>
            <w14:solidFill>
              <w14:schemeClr w14:val="tx1"/>
            </w14:solidFill>
          </w14:textFill>
        </w:rPr>
        <w:t xml:space="preserve"> mutlak</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benih ikan bawal bintang yang dipelihara dapat dilihat pada Gambar 3 berikut.</w:t>
      </w:r>
    </w:p>
    <w:p w14:paraId="371123EC">
      <w:pPr>
        <w:tabs>
          <w:tab w:val="left" w:pos="360"/>
        </w:tabs>
        <w:spacing w:after="0" w:line="23" w:lineRule="atLeast"/>
        <w:jc w:val="center"/>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cs="Times New Roman"/>
          <w:lang w:val="en-US"/>
        </w:rPr>
        <w:drawing>
          <wp:inline distT="0" distB="0" distL="0" distR="0">
            <wp:extent cx="3848100" cy="188595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E998567">
      <w:pPr>
        <w:tabs>
          <w:tab w:val="left" w:pos="360"/>
        </w:tabs>
        <w:spacing w:after="0" w:line="23" w:lineRule="atLeast"/>
        <w:jc w:val="center"/>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Gambar 3. Pertumbuhan Panjang Mutlak</w:t>
      </w:r>
    </w:p>
    <w:p w14:paraId="4000C4B6">
      <w:pPr>
        <w:tabs>
          <w:tab w:val="left" w:pos="360"/>
        </w:tabs>
        <w:spacing w:after="0" w:line="23" w:lineRule="atLeast"/>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 xml:space="preserve">Perlakuan D 3% ekstrak temulawak memiliki hasil pertumbuhan panjang mutlak paling besar yaitu 5,73 cm, disusul perlakuan B 1% ekstrak temulawak memiliki pertumbuhan panjang mutlak 5,72 cm, perlakuan C 2% ekstrak temulawak dengan pertumbuhan panjang mutlak 5,69 cm dan perlakuan A kontrol (pakan pelet tanpa penambahan ekstrak temulawak) memiliki pertumbuhan panjang mutlak 5,16 cm. Pengaruh penambahan ekstrak temulawak pada pakan pellet komersial KAIO menunjukan pengaruh nyata (p&lt;0,05) dibanding kontrol terhadap pertumbuhan panjang mutlak benih ikan bawal bintang. </w:t>
      </w:r>
    </w:p>
    <w:p w14:paraId="5A9A7F10">
      <w:pPr>
        <w:tabs>
          <w:tab w:val="left" w:pos="360"/>
        </w:tabs>
        <w:spacing w:after="0" w:line="23" w:lineRule="atLeast"/>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14:textFill>
            <w14:solidFill>
              <w14:schemeClr w14:val="tx1"/>
            </w14:solidFill>
          </w14:textFill>
        </w:rPr>
        <w:t xml:space="preserve">Perlakuan C 2% ekstrak temulawak pada pakan memberikan hasil pertumbuhan panjang mutlak yang </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sedikit </w:t>
      </w:r>
      <w:r>
        <w:rPr>
          <w:rFonts w:ascii="Times New Roman" w:hAnsi="Times New Roman" w:eastAsia="Times New Roman" w:cs="Times New Roman"/>
          <w:color w:val="000000" w:themeColor="text1"/>
          <w:sz w:val="24"/>
          <w:szCs w:val="24"/>
          <w14:textFill>
            <w14:solidFill>
              <w14:schemeClr w14:val="tx1"/>
            </w14:solidFill>
          </w14:textFill>
        </w:rPr>
        <w:t xml:space="preserve">lebih rendah dari perlakuan B dan D. Menurut penelitian terdahulu </w:t>
      </w:r>
      <w:r>
        <w:rPr>
          <w:rFonts w:ascii="Times New Roman" w:hAnsi="Times New Roman" w:eastAsia="Times New Roman" w:cs="Times New Roman"/>
          <w:color w:val="000000" w:themeColor="text1"/>
          <w:sz w:val="24"/>
          <w:szCs w:val="24"/>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14:textFill>
            <w14:solidFill>
              <w14:schemeClr w14:val="tx1"/>
            </w14:solidFill>
          </w14:textFill>
        </w:rPr>
        <w:instrText xml:space="preserve">ADDIN CSL_CITATION {"citationItems":[{"id":"ITEM-1","itemData":{"DOI":"10.46576/jai.v3i1.3261","ISSN":"2808-9626","abstract":"Penelitian ini dilaksanakan di laboratorium Program Studi Akuakultur Fakultas Perikanan Universitas Dharmawangsa penelitian dilakukan dari tanggal 24 Februari 2023 sampai 29 Maret 2023. Penelitian ini bertujuan untuk mengetahui pengaruh perlakuan ekstrak temulawak (Curcuma xanthorhiza Robx) terhadap pertumbuhan dan kelangsungan hidup benih ikan mas (Cyprinus carpio). Dari hasil ANAVA menunujukan bahwa pengaruh penambahan ekstrak temulawak pada pakan buatan terhadap pertumbuhan dan kelangsungan benih ikan mas berbeda nyata. Pertumbuhan terbaik dari setiap perlakuan adalah perlakuan A (ekstrak temulawak 6 gr/kg pakan) dengan pertumbuhan berat mutlak 0,7 gram, pertumbuhan panjang mutlak 1,7 cm. Perlakuan B (ekstrak temulawak 7 gr/kg pakan) pertumbuhan berat mutlak 0,6 gram, pertumbuhan panjang mutlak 1,6 cm. Perlakuan C (ekstrak temulawak 8 gr/kg pakan) pertumbuhan berat mutlak 0,5 gram, pertumbuhan panjang mutlak 1,4 cm. Kelulusan hidup sebesar 100% di perlakuan A (ekstrak temulawak 6 gr/kg pakan), perlakuan B (ekstrak temulawak 7 gr/kg pakan), dan perlakuan C (ekstrak temulawak 8 gr/kg pakan) 92,5%. Kualitas air yang tergolong baik pada benih ikan mas pengukuran suhu rata-rata 260C – 280C. Kisaran pH antara 6,5-8,5.","author":[{"dropping-particle":"","family":"Halawa","given":"Chatrine Grace","non-dropping-particle":"","parse-names":false,"suffix":""},{"dropping-particle":"","family":"Siswoyo","given":"Bambang Hendra","non-dropping-particle":"","parse-names":false,"suffix":""},{"dropping-particle":"","family":"Syafitri","given":"Emmy","non-dropping-particle":"","parse-names":false,"suffix":""}],"container-title":"Jurnal Aquaculture Indonesia","id":"ITEM-1","issue":"1","issued":{"date-parts":[["2023","11","30"]]},"page":"15-25","publisher":"Universitas Dharmawangsa","title":"PENGARUH PENAMBAHAN EKSTRAK TEMULAWAK (Curcuma xanthorhiza Roxb) PADA PAKAN BUATAN TERHADAP PERTUMBUHAN DAN KELANGSUNGAN HIDUP BENIH IKAN MAS (Cyprinus carpio)","type":"article-journal","volume":"3"},"uris":["http://www.mendeley.com/documents/?uuid=27562c40-761a-3123-8631-d176e2a81732"]}],"mendeley":{"formattedCitation":"(Halawa, Siswoyo, and Syafitri 2023)","manualFormatting":"Halawa, Siswoyo, dan Syafitri, (2023)","plainTextFormattedCitation":"(Halawa, Siswoyo, and Syafitri 2023)","previouslyFormattedCitation":"(Halawa, Siswoyo, and Syafitri 2023)"},"properties":{"noteIndex":0},"schema":"https://github.com/citation-style-language/schema/raw/master/csl-citation.json"}</w:instrText>
      </w:r>
      <w:r>
        <w:rPr>
          <w:rFonts w:ascii="Times New Roman" w:hAnsi="Times New Roman" w:eastAsia="Times New Roman" w:cs="Times New Roman"/>
          <w:color w:val="000000" w:themeColor="text1"/>
          <w:sz w:val="24"/>
          <w:szCs w:val="24"/>
          <w14:textFill>
            <w14:solidFill>
              <w14:schemeClr w14:val="tx1"/>
            </w14:solidFill>
          </w14:textFill>
        </w:rPr>
        <w:fldChar w:fldCharType="separate"/>
      </w:r>
      <w:r>
        <w:rPr>
          <w:rFonts w:ascii="Times New Roman" w:hAnsi="Times New Roman" w:eastAsia="Times New Roman" w:cs="Times New Roman"/>
          <w:color w:val="000000" w:themeColor="text1"/>
          <w:sz w:val="24"/>
          <w:szCs w:val="24"/>
          <w14:textFill>
            <w14:solidFill>
              <w14:schemeClr w14:val="tx1"/>
            </w14:solidFill>
          </w14:textFill>
        </w:rPr>
        <w:t>Halawa, Siswoyo, dan Syafitri, (2023)</w:t>
      </w:r>
      <w:r>
        <w:rPr>
          <w:rFonts w:ascii="Times New Roman" w:hAnsi="Times New Roman" w:eastAsia="Times New Roman" w:cs="Times New Roman"/>
          <w:color w:val="000000" w:themeColor="text1"/>
          <w:sz w:val="24"/>
          <w:szCs w:val="24"/>
          <w14:textFill>
            <w14:solidFill>
              <w14:schemeClr w14:val="tx1"/>
            </w14:solidFill>
          </w14:textFill>
        </w:rPr>
        <w:fldChar w:fldCharType="end"/>
      </w:r>
      <w:r>
        <w:rPr>
          <w:rFonts w:ascii="Times New Roman" w:hAnsi="Times New Roman" w:eastAsia="Times New Roman" w:cs="Times New Roman"/>
          <w:color w:val="000000" w:themeColor="text1"/>
          <w:sz w:val="24"/>
          <w:szCs w:val="24"/>
          <w14:textFill>
            <w14:solidFill>
              <w14:schemeClr w14:val="tx1"/>
            </w14:solidFill>
          </w14:textFill>
        </w:rPr>
        <w:t xml:space="preserve">, temulawak yang mengandung minyak atsiri dengan aroma dan rasa khas, apabila diberikan dalam dosis tinggi akan menimbulkan rasa pahit sehingga dapat menurunkan nafsu makan benih ikan mas dan pada akhirnya memperlambat laju pertumbuhan panjang mutlak benih ikan mas. Hal ini sejalan dengan hasil penelitian terdahulu dari </w:t>
      </w:r>
      <w:r>
        <w:rPr>
          <w:rFonts w:ascii="Times New Roman" w:hAnsi="Times New Roman" w:eastAsia="Times New Roman" w:cs="Times New Roman"/>
          <w:color w:val="000000" w:themeColor="text1"/>
          <w:sz w:val="24"/>
          <w:szCs w:val="24"/>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14:textFill>
            <w14:solidFill>
              <w14:schemeClr w14:val="tx1"/>
            </w14:solidFill>
          </w14:textFill>
        </w:rPr>
        <w:instrText xml:space="preserve">ADDIN CSL_CITATION {"citationItems":[{"id":"ITEM-1","itemData":{"author":[{"dropping-particle":"","family":"Prastito","given":"Agung Nugroho, Ristiawan","non-dropping-particle":"","parse-names":false,"suffix":""},{"dropping-particle":"","family":"Endar Herawati","given":"Vivi","non-dropping-particle":"","parse-names":false,"suffix":""}],"container-title":"Jurnal Ilmu Perikanan dan Sumberdaya Perairan","id":"ITEM-1","issue":"1","issued":{"date-parts":[["2018"]]},"title":"THE EFFECT OF ADDITION CURCUMA'S (Curcuma Xanthorrhiza Roxb) EXTRACT TO THE INCREASE OF FEED CONSUMPTION, EFFICIENCY AND THE GROWTH OF CATFISH (Pangasius)","type":"report","volume":"7"},"uris":["http://www.mendeley.com/documents/?uuid=64770f2a-de45-34a2-a011-87dd2d688194"]}],"mendeley":{"formattedCitation":"(Prastito and Endar Herawati 2018)","manualFormatting":"Prastito dkk, (2018)","plainTextFormattedCitation":"(Prastito and Endar Herawati 2018)","previouslyFormattedCitation":"(Prastito and Endar Herawati 2018)"},"properties":{"noteIndex":0},"schema":"https://github.com/citation-style-language/schema/raw/master/csl-citation.json"}</w:instrText>
      </w:r>
      <w:r>
        <w:rPr>
          <w:rFonts w:ascii="Times New Roman" w:hAnsi="Times New Roman" w:eastAsia="Times New Roman" w:cs="Times New Roman"/>
          <w:color w:val="000000" w:themeColor="text1"/>
          <w:sz w:val="24"/>
          <w:szCs w:val="24"/>
          <w14:textFill>
            <w14:solidFill>
              <w14:schemeClr w14:val="tx1"/>
            </w14:solidFill>
          </w14:textFill>
        </w:rPr>
        <w:fldChar w:fldCharType="separate"/>
      </w:r>
      <w:r>
        <w:rPr>
          <w:rFonts w:ascii="Times New Roman" w:hAnsi="Times New Roman" w:eastAsia="Times New Roman" w:cs="Times New Roman"/>
          <w:color w:val="000000" w:themeColor="text1"/>
          <w:sz w:val="24"/>
          <w:szCs w:val="24"/>
          <w14:textFill>
            <w14:solidFill>
              <w14:schemeClr w14:val="tx1"/>
            </w14:solidFill>
          </w14:textFill>
        </w:rPr>
        <w:t xml:space="preserve">Prastito </w:t>
      </w:r>
      <w:r>
        <w:rPr>
          <w:rFonts w:ascii="Times New Roman" w:hAnsi="Times New Roman" w:eastAsia="Times New Roman" w:cs="Times New Roman"/>
          <w:i/>
          <w:color w:val="000000" w:themeColor="text1"/>
          <w:sz w:val="24"/>
          <w:szCs w:val="24"/>
          <w14:textFill>
            <w14:solidFill>
              <w14:schemeClr w14:val="tx1"/>
            </w14:solidFill>
          </w14:textFill>
        </w:rPr>
        <w:t>dkk,</w:t>
      </w:r>
      <w:r>
        <w:rPr>
          <w:rFonts w:ascii="Times New Roman" w:hAnsi="Times New Roman" w:eastAsia="Times New Roman" w:cs="Times New Roman"/>
          <w:color w:val="000000" w:themeColor="text1"/>
          <w:sz w:val="24"/>
          <w:szCs w:val="24"/>
          <w14:textFill>
            <w14:solidFill>
              <w14:schemeClr w14:val="tx1"/>
            </w14:solidFill>
          </w14:textFill>
        </w:rPr>
        <w:t xml:space="preserve"> (2018)</w:t>
      </w:r>
      <w:r>
        <w:rPr>
          <w:rFonts w:ascii="Times New Roman" w:hAnsi="Times New Roman" w:eastAsia="Times New Roman" w:cs="Times New Roman"/>
          <w:color w:val="000000" w:themeColor="text1"/>
          <w:sz w:val="24"/>
          <w:szCs w:val="24"/>
          <w14:textFill>
            <w14:solidFill>
              <w14:schemeClr w14:val="tx1"/>
            </w14:solidFill>
          </w14:textFill>
        </w:rPr>
        <w:fldChar w:fldCharType="end"/>
      </w:r>
      <w:r>
        <w:rPr>
          <w:rFonts w:ascii="Times New Roman" w:hAnsi="Times New Roman" w:eastAsia="Times New Roman" w:cs="Times New Roman"/>
          <w:color w:val="000000" w:themeColor="text1"/>
          <w:sz w:val="24"/>
          <w:szCs w:val="24"/>
          <w14:textFill>
            <w14:solidFill>
              <w14:schemeClr w14:val="tx1"/>
            </w14:solidFill>
          </w14:textFill>
        </w:rPr>
        <w:t xml:space="preserve">, yang menyatakan bahwa pemberian ekstrak temulawak pada pakan ikan patin dengan dosis yang tidak tepat juga menurunkan efisiensi pakan dan pertumbuhan panjang mutlak. Menurut </w:t>
      </w:r>
      <w:r>
        <w:rPr>
          <w:rFonts w:ascii="Times New Roman" w:hAnsi="Times New Roman" w:eastAsia="Times New Roman" w:cs="Times New Roman"/>
          <w:color w:val="000000" w:themeColor="text1"/>
          <w:sz w:val="24"/>
          <w:szCs w:val="24"/>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14:textFill>
            <w14:solidFill>
              <w14:schemeClr w14:val="tx1"/>
            </w14:solidFill>
          </w14:textFill>
        </w:rPr>
        <w:instrText xml:space="preserve">ADDIN CSL_CITATION {"citationItems":[{"id":"ITEM-1","itemData":{"DOI":"10.21107/juvenil.v4i3.21013","abstract":"… temulawak pada pakan terhadap pertumbuhan ikan nila merah serta untuk mengetahui pada pemberian dosis berapa serbuk temulawak … pemberian serbuk temulawak memberikan …","author":[{"dropping-particle":"","family":"Yandini","given":"Hapsari Eva","non-dropping-particle":"","parse-names":false,"suffix":""},{"dropping-particle":"","family":"Agustini","given":"Maria","non-dropping-particle":"","parse-names":false,"suffix":""},{"dropping-particle":"","family":"Sumaryam","given":"Sumaryam","non-dropping-particle":"","parse-names":false,"suffix":""}],"container-title":"Juvenil:Jurnal Ilmiah Kelautan dan Perikanan","id":"ITEM-1","issue":"3","issued":{"date-parts":[["2023","8","30"]]},"page":"227-233","publisher":"University of Trunojoyo Madura","title":"Pengaruh Pemberian Serbuk Temulawak dengan Dosis yang Berbeda Pada Pakan Terhadap Pertumbuhan Ikan Nila Merah (Orechromis niloticus) Ukuran 5-10 cm dalam Bak Pemeliharaan","type":"article-journal","volume":"4"},"uris":["http://www.mendeley.com/documents/?uuid=c791c92a-c999-33b0-89a8-a51ecaf03c86"]}],"mendeley":{"formattedCitation":"(Yandini, Agustini, and Sumaryam 2023)","manualFormatting":"Yandini, Agustini, dan Sumaryam, (2023)","plainTextFormattedCitation":"(Yandini, Agustini, and Sumaryam 2023)","previouslyFormattedCitation":"(Yandini, Agustini, and Sumaryam 2023)"},"properties":{"noteIndex":0},"schema":"https://github.com/citation-style-language/schema/raw/master/csl-citation.json"}</w:instrText>
      </w:r>
      <w:r>
        <w:rPr>
          <w:rFonts w:ascii="Times New Roman" w:hAnsi="Times New Roman" w:eastAsia="Times New Roman" w:cs="Times New Roman"/>
          <w:color w:val="000000" w:themeColor="text1"/>
          <w:sz w:val="24"/>
          <w:szCs w:val="24"/>
          <w14:textFill>
            <w14:solidFill>
              <w14:schemeClr w14:val="tx1"/>
            </w14:solidFill>
          </w14:textFill>
        </w:rPr>
        <w:fldChar w:fldCharType="separate"/>
      </w:r>
      <w:r>
        <w:rPr>
          <w:rFonts w:ascii="Times New Roman" w:hAnsi="Times New Roman" w:eastAsia="Times New Roman" w:cs="Times New Roman"/>
          <w:color w:val="000000" w:themeColor="text1"/>
          <w:sz w:val="24"/>
          <w:szCs w:val="24"/>
          <w14:textFill>
            <w14:solidFill>
              <w14:schemeClr w14:val="tx1"/>
            </w14:solidFill>
          </w14:textFill>
        </w:rPr>
        <w:t>Yandini, Agustini, dan Sumaryam, (2023)</w:t>
      </w:r>
      <w:r>
        <w:rPr>
          <w:rFonts w:ascii="Times New Roman" w:hAnsi="Times New Roman" w:eastAsia="Times New Roman" w:cs="Times New Roman"/>
          <w:color w:val="000000" w:themeColor="text1"/>
          <w:sz w:val="24"/>
          <w:szCs w:val="24"/>
          <w14:textFill>
            <w14:solidFill>
              <w14:schemeClr w14:val="tx1"/>
            </w14:solidFill>
          </w14:textFill>
        </w:rPr>
        <w:fldChar w:fldCharType="end"/>
      </w:r>
      <w:r>
        <w:rPr>
          <w:rFonts w:ascii="Times New Roman" w:hAnsi="Times New Roman" w:eastAsia="Times New Roman" w:cs="Times New Roman"/>
          <w:color w:val="000000" w:themeColor="text1"/>
          <w:sz w:val="24"/>
          <w:szCs w:val="24"/>
          <w14:textFill>
            <w14:solidFill>
              <w14:schemeClr w14:val="tx1"/>
            </w14:solidFill>
          </w14:textFill>
        </w:rPr>
        <w:t>, terjadinya pertumbuhan panjang mutlak ikan nila merah menunjukkan bahwa pakan dengan penambahan serbuk temulawak dapat dimanfaatkan secara optimal.</w:t>
      </w:r>
    </w:p>
    <w:p w14:paraId="6B9C576F">
      <w:pPr>
        <w:pStyle w:val="13"/>
        <w:tabs>
          <w:tab w:val="left" w:pos="360"/>
        </w:tabs>
        <w:spacing w:after="0" w:line="23" w:lineRule="atLeast"/>
        <w:ind w:left="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Kelulushidupan (SR)</w:t>
      </w:r>
    </w:p>
    <w:p w14:paraId="3C7D7518">
      <w:pPr>
        <w:tabs>
          <w:tab w:val="left" w:pos="360"/>
        </w:tabs>
        <w:spacing w:after="0" w:line="23" w:lineRule="atLeast"/>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Rata-rata</w:t>
      </w:r>
      <w:r>
        <w:rPr>
          <w:rFonts w:ascii="Times New Roman" w:hAnsi="Times New Roman" w:eastAsia="Times New Roman" w:cs="Times New Roman"/>
          <w:color w:val="000000" w:themeColor="text1"/>
          <w:sz w:val="24"/>
          <w:szCs w:val="24"/>
          <w14:textFill>
            <w14:solidFill>
              <w14:schemeClr w14:val="tx1"/>
            </w14:solidFill>
          </w14:textFill>
        </w:rPr>
        <w:t xml:space="preserve"> tingkat kelangsungan hidup (</w:t>
      </w:r>
      <w:r>
        <w:rPr>
          <w:rFonts w:ascii="Times New Roman" w:hAnsi="Times New Roman" w:eastAsia="Times New Roman" w:cs="Times New Roman"/>
          <w:i/>
          <w:iCs/>
          <w:color w:val="000000" w:themeColor="text1"/>
          <w:sz w:val="24"/>
          <w:szCs w:val="24"/>
          <w14:textFill>
            <w14:solidFill>
              <w14:schemeClr w14:val="tx1"/>
            </w14:solidFill>
          </w14:textFill>
        </w:rPr>
        <w:t>Survival Rate</w:t>
      </w:r>
      <w:r>
        <w:rPr>
          <w:rFonts w:ascii="Times New Roman" w:hAnsi="Times New Roman" w:eastAsia="Times New Roman" w:cs="Times New Roman"/>
          <w:color w:val="000000" w:themeColor="text1"/>
          <w:sz w:val="24"/>
          <w:szCs w:val="24"/>
          <w14:textFill>
            <w14:solidFill>
              <w14:schemeClr w14:val="tx1"/>
            </w14:solidFill>
          </w14:textFill>
        </w:rPr>
        <w:t xml:space="preserve">) </w:t>
      </w:r>
      <w:r>
        <w:rPr>
          <w:rFonts w:ascii="Times New Roman" w:hAnsi="Times New Roman" w:eastAsia="Times New Roman" w:cs="Times New Roman"/>
          <w:color w:val="000000" w:themeColor="text1"/>
          <w:sz w:val="24"/>
          <w:szCs w:val="24"/>
          <w:lang w:val="en-US"/>
          <w14:textFill>
            <w14:solidFill>
              <w14:schemeClr w14:val="tx1"/>
            </w14:solidFill>
          </w14:textFill>
        </w:rPr>
        <w:t>benih ikan bawal bintang (</w:t>
      </w:r>
      <w:r>
        <w:rPr>
          <w:rFonts w:ascii="Times New Roman" w:hAnsi="Times New Roman" w:eastAsia="Times New Roman" w:cs="Times New Roman"/>
          <w:i/>
          <w:iCs/>
          <w:color w:val="000000" w:themeColor="text1"/>
          <w:sz w:val="24"/>
          <w:szCs w:val="24"/>
          <w:lang w:val="en-US"/>
          <w14:textFill>
            <w14:solidFill>
              <w14:schemeClr w14:val="tx1"/>
            </w14:solidFill>
          </w14:textFill>
        </w:rPr>
        <w:t>Trachinotus blochii</w:t>
      </w:r>
      <w:r>
        <w:rPr>
          <w:rFonts w:ascii="Times New Roman" w:hAnsi="Times New Roman" w:eastAsia="Times New Roman" w:cs="Times New Roman"/>
          <w:color w:val="000000" w:themeColor="text1"/>
          <w:sz w:val="24"/>
          <w:szCs w:val="24"/>
          <w:lang w:val="en-US"/>
          <w14:textFill>
            <w14:solidFill>
              <w14:schemeClr w14:val="tx1"/>
            </w14:solidFill>
          </w14:textFill>
        </w:rPr>
        <w:t>) yang dipelihara dapat dilihat pada Gambar 4 berikut.</w:t>
      </w:r>
    </w:p>
    <w:p w14:paraId="797E4168">
      <w:pPr>
        <w:spacing w:after="0" w:line="23" w:lineRule="atLeast"/>
        <w:ind w:firstLine="360"/>
        <w:jc w:val="center"/>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lang w:val="en-US"/>
        </w:rPr>
        <w:drawing>
          <wp:inline distT="0" distB="0" distL="0" distR="0">
            <wp:extent cx="3324225" cy="210502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B23CD9F">
      <w:pPr>
        <w:spacing w:after="0" w:line="23" w:lineRule="atLeast"/>
        <w:ind w:firstLine="360"/>
        <w:jc w:val="center"/>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Gambar 4.</w:t>
      </w:r>
      <w:r>
        <w:rPr>
          <w:rFonts w:ascii="Times New Roman" w:hAnsi="Times New Roman" w:eastAsia="Times New Roman" w:cs="Times New Roman"/>
          <w:color w:val="000000" w:themeColor="text1"/>
          <w:sz w:val="24"/>
          <w:szCs w:val="24"/>
          <w14:textFill>
            <w14:solidFill>
              <w14:schemeClr w14:val="tx1"/>
            </w14:solidFill>
          </w14:textFill>
        </w:rPr>
        <w:t xml:space="preserve"> </w:t>
      </w:r>
      <w:r>
        <w:rPr>
          <w:rFonts w:ascii="Times New Roman" w:hAnsi="Times New Roman" w:eastAsia="Times New Roman" w:cs="Times New Roman"/>
          <w:color w:val="000000" w:themeColor="text1"/>
          <w:sz w:val="24"/>
          <w:szCs w:val="24"/>
          <w:lang w:val="en-US"/>
          <w14:textFill>
            <w14:solidFill>
              <w14:schemeClr w14:val="tx1"/>
            </w14:solidFill>
          </w14:textFill>
        </w:rPr>
        <w:t>Tingkat Kelulushidupan</w:t>
      </w:r>
    </w:p>
    <w:p w14:paraId="01690F39">
      <w:pPr>
        <w:tabs>
          <w:tab w:val="left" w:pos="360"/>
        </w:tabs>
        <w:spacing w:after="0" w:line="23" w:lineRule="atLeast"/>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 xml:space="preserve">Berdasarkan grafik terlihat bahwa pada setiap perlakuan tidak terjadi kematian ikan uji, dengan tingkat kelulushidupan mencapai 100%. Penambahan ekstrak temulawak pada pakan pellet komersial KAIO tidak mempengaruhi tingkat kelulushidupan benih ikan bawal bintang yang dipelihara. Hal ini dibuktikan dengan hasil pemeliharaan selama 60 hari (2 bulan), tidak terdapat kematian pada semua perlakuan. Tingkat kelulushidupan yang baik hingga mencapai 100% pada setiap perlakuan dipengaruhi oleh pemberian pakan yang sesuai, disertai manajemen kualitas air yang baik pada media pemeliharaan benih ikan bawal bintang. Menurut </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lang w:val="en-US"/>
          <w14:textFill>
            <w14:solidFill>
              <w14:schemeClr w14:val="tx1"/>
            </w14:solidFill>
          </w14:textFill>
        </w:rPr>
        <w:instrText xml:space="preserve">ADDIN CSL_CITATION {"citationItems":[{"id":"ITEM-1","itemData":{"ISSN":"2656-6389","abstract":"Pomfret Fish is one type of seawater fish that has a very high omega 3 content. This study aims to determine the feeding technique of star pomfret (Trachinotus blochii), stocking density of star pomfret (Trachinotus blochii) in nursery tanks and the size of the fry of star pomfret (Trachinotus blochii). The activity was carried out at the Lampung Marine Cultivation Development Center (BBPBL). The study used a combination of observation, interviews and active participation methods. The results of the observations showed that the feeding activities of star pomfret (Trachinotus blochii) in BBPBL were fed ad libitum (feeding the fish until the fish were full). The usual feed given is in the form of artificial feed (pellets). The water quality in the nursery pond for star pomfret (Trachinotus blochii) is 28-29 oC, the degree of acidity or pH during maintenance is 7.88-8.06, the salinity of the water during nursery fish is 32 o/oo, Dissolved oxygen (DO) at the time of rearing the star pomfret was 4.44 ppm and the Ammonia in the nursery tank was 0.03. The stocking density of star pomfret (Trachinotus blochii) with a size of 2-3 cm, the stocking density of 200-2000 fish/m3, the stocking density of 4-5 cm in the nursery tank is 200-1500 fish/m3 maybe even more, whereas in seeds measuring 6-7 cm the stocking density is &lt;1500 head/m3. Fish seeds that are ready to be stocked and sold to local farmers are usually 6-9 cm in size or according to consumer demand.","author":[{"dropping-particle":"","family":"Handayani","given":"Pitria","non-dropping-particle":"","parse-names":false,"suffix":""},{"dropping-particle":"","family":"Akhrianti","given":"Irma","non-dropping-particle":"","parse-names":false,"suffix":""},{"dropping-particle":"","family":"Handoko Putro","given":"Dwi","non-dropping-particle":"","parse-names":false,"suffix":""},{"dropping-particle":"","family":"Manajemen Sumberdaya Perairan","given":"Jurusan","non-dropping-particle":"","parse-names":false,"suffix":""},{"dropping-particle":"","family":"Pertanian Perikanan dan Biologi","given":"Fakultas","non-dropping-particle":"","parse-names":false,"suffix":""},{"dropping-particle":"","family":"Bangka Belitung","given":"Universitas","non-dropping-particle":"","parse-names":false,"suffix":""},{"dropping-particle":"","family":"Ilmu Kelautan","given":"Jurusan","non-dropping-particle":"","parse-names":false,"suffix":""},{"dropping-particle":"","family":"Besar Perikanan Budidaya Laut Lampung","given":"Balai","non-dropping-particle":"","parse-names":false,"suffix":""}],"id":"ITEM-1","issued":{"date-parts":[["2021"]]},"title":"Aquatic Science Enlargement Technique carped cod (Epinephelus Fuscoguttatus) at the Lampung Sea Fishing Fisheries Center (BBPBL)","type":"article-journal"},"uris":["http://www.mendeley.com/documents/?uuid=dc21f16a-291f-31cd-a2a9-76f41f11cb5a"]}],"mendeley":{"formattedCitation":"(Handayani et al. 2021)","manualFormatting":"(Handayani, Akhrianti, dan Putro, 2021)","plainTextFormattedCitation":"(Handayani et al. 2021)","previouslyFormattedCitation":"(Handayani et al. 2021)"},"properties":{"noteIndex":0},"schema":"https://github.com/citation-style-language/schema/raw/master/csl-citation.json"}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separate"/>
      </w:r>
      <w:r>
        <w:rPr>
          <w:rFonts w:ascii="Times New Roman" w:hAnsi="Times New Roman" w:eastAsia="Times New Roman" w:cs="Times New Roman"/>
          <w:color w:val="000000" w:themeColor="text1"/>
          <w:sz w:val="24"/>
          <w:szCs w:val="24"/>
          <w:lang w:val="en-US"/>
          <w14:textFill>
            <w14:solidFill>
              <w14:schemeClr w14:val="tx1"/>
            </w14:solidFill>
          </w14:textFill>
        </w:rPr>
        <w:t>(Handayani</w:t>
      </w:r>
      <w:r>
        <w:rPr>
          <w:rFonts w:ascii="Times New Roman" w:hAnsi="Times New Roman" w:eastAsia="Times New Roman" w:cs="Times New Roman"/>
          <w:color w:val="000000" w:themeColor="text1"/>
          <w:sz w:val="24"/>
          <w:szCs w:val="24"/>
          <w14:textFill>
            <w14:solidFill>
              <w14:schemeClr w14:val="tx1"/>
            </w14:solidFill>
          </w14:textFill>
        </w:rPr>
        <w:t>, Akhrianti, dan Putro,</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2021)</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end"/>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kelulushidupan yang tinggi pada benih bawal bintang menandakan keberhasilan kegiatan budidaya, karena mampu meminimalkan tingkat stres dan mortalitas, sehingga benih yang dihasilkan lebih seragam, sehat, dan siap untuk tahap pembesaran. Hal ini sejalan dengan pernyataan </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lang w:val="en-US"/>
          <w14:textFill>
            <w14:solidFill>
              <w14:schemeClr w14:val="tx1"/>
            </w14:solidFill>
          </w14:textFill>
        </w:rPr>
        <w:instrText xml:space="preserve">ADDIN CSL_CITATION {"citationItems":[{"id":"ITEM-1","itemData":{"abstract":"The aim of this research was to investigate the dose of Thyroxine (T 4) hormone in fish meal on the growth of Bawal bintang fish (Trachinotus blochii, Lacepede). The research method used was experimental method and Complete Random Device (CRD) with four treatments and three replications. The treatments in this study were control (without thyroxine hormone), 0,3 mg Thyroxine hormone / kg of feed, 0,6 mg Thyroxine hormone / kg of feed and 0,9 mg Thyroxine hormone / kg of feed. The best result was treatment on 0,9 mg Thyroxine hormone / kg of feed with absolute growth weights (1,42 g), absolute growth length (2,34 cm), specific growth rate (6,07 %), feed efficiency (69,34 %) and survival rate (99,83 %).","author":[{"dropping-particle":"","family":"Tanthowi","given":"Muhammad Imam","non-dropping-particle":"","parse-names":false,"suffix":""},{"dropping-particle":"","family":"Tang","given":"Usman M","non-dropping-particle":"","parse-names":false,"suffix":""},{"dropping-particle":"","family":"Putra","given":"Iskandar","non-dropping-particle":"","parse-names":false,"suffix":""}],"id":"ITEM-1","issued":{"date-parts":[["2014"]]},"title":"Effect of Thyroxine Hormone (T 4 ) Addition in Feed to the Growth Rate","type":"report"},"uris":["http://www.mendeley.com/documents/?uuid=f0a45a16-6f8b-34aa-bebe-04ae290cd566"]}],"mendeley":{"formattedCitation":"(Tanthowi, Tang, and Putra 2014)","manualFormatting":"(Tanthowi, Tang, dan Putra, 2014)","plainTextFormattedCitation":"(Tanthowi, Tang, and Putra 2014)","previouslyFormattedCitation":"(Tanthowi, Tang, and Putra 2014)"},"properties":{"noteIndex":0},"schema":"https://github.com/citation-style-language/schema/raw/master/csl-citation.json"}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separate"/>
      </w:r>
      <w:r>
        <w:rPr>
          <w:rFonts w:ascii="Times New Roman" w:hAnsi="Times New Roman" w:eastAsia="Times New Roman" w:cs="Times New Roman"/>
          <w:color w:val="000000" w:themeColor="text1"/>
          <w:sz w:val="24"/>
          <w:szCs w:val="24"/>
          <w:lang w:val="en-US"/>
          <w14:textFill>
            <w14:solidFill>
              <w14:schemeClr w14:val="tx1"/>
            </w14:solidFill>
          </w14:textFill>
        </w:rPr>
        <w:t>(Tanthowi, Tang, dan Putra</w:t>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2014)</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end"/>
      </w:r>
      <w:r>
        <w:rPr>
          <w:rFonts w:ascii="Times New Roman" w:hAnsi="Times New Roman" w:eastAsia="Times New Roman" w:cs="Times New Roman"/>
          <w:color w:val="000000" w:themeColor="text1"/>
          <w:sz w:val="24"/>
          <w:szCs w:val="24"/>
          <w:lang w:val="en-US"/>
          <w14:textFill>
            <w14:solidFill>
              <w14:schemeClr w14:val="tx1"/>
            </w14:solidFill>
          </w14:textFill>
        </w:rPr>
        <w:t>, dimana kelulushidupan benih ikan bawal bintang paling utama ditentukan oleh pakan yang diberikan serta kualitas air yang terjaga selama masa pemeliharaan.</w:t>
      </w:r>
    </w:p>
    <w:p w14:paraId="2B212AE1">
      <w:pPr>
        <w:pStyle w:val="13"/>
        <w:tabs>
          <w:tab w:val="left" w:pos="360"/>
        </w:tabs>
        <w:spacing w:after="0" w:line="23" w:lineRule="atLeast"/>
        <w:ind w:left="0"/>
        <w:jc w:val="both"/>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Rasio Konversi Pakan (FCR)</w:t>
      </w:r>
    </w:p>
    <w:p w14:paraId="4F5B05FF">
      <w:pPr>
        <w:spacing w:after="0" w:line="23" w:lineRule="atLeast"/>
        <w:ind w:firstLine="44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Rata-rata </w:t>
      </w:r>
      <w:r>
        <w:rPr>
          <w:rFonts w:ascii="Times New Roman" w:hAnsi="Times New Roman" w:eastAsia="Times New Roman" w:cs="Times New Roman"/>
          <w:color w:val="000000" w:themeColor="text1"/>
          <w:sz w:val="24"/>
          <w:szCs w:val="24"/>
          <w14:textFill>
            <w14:solidFill>
              <w14:schemeClr w14:val="tx1"/>
            </w14:solidFill>
          </w14:textFill>
        </w:rPr>
        <w:t>rasio konversi pakan (</w:t>
      </w:r>
      <w:r>
        <w:rPr>
          <w:rFonts w:ascii="Times New Roman" w:hAnsi="Times New Roman" w:eastAsia="Times New Roman" w:cs="Times New Roman"/>
          <w:i/>
          <w:iCs/>
          <w:color w:val="000000" w:themeColor="text1"/>
          <w:sz w:val="24"/>
          <w:szCs w:val="24"/>
          <w14:textFill>
            <w14:solidFill>
              <w14:schemeClr w14:val="tx1"/>
            </w14:solidFill>
          </w14:textFill>
        </w:rPr>
        <w:t>F</w:t>
      </w:r>
      <w:r>
        <w:rPr>
          <w:rFonts w:ascii="Times New Roman" w:hAnsi="Times New Roman" w:eastAsia="Times New Roman" w:cs="Times New Roman"/>
          <w:i/>
          <w:iCs/>
          <w:color w:val="000000" w:themeColor="text1"/>
          <w:sz w:val="24"/>
          <w:szCs w:val="24"/>
          <w:lang w:val="en-US"/>
          <w14:textFill>
            <w14:solidFill>
              <w14:schemeClr w14:val="tx1"/>
            </w14:solidFill>
          </w14:textFill>
        </w:rPr>
        <w:t xml:space="preserve">ood </w:t>
      </w:r>
      <w:r>
        <w:rPr>
          <w:rFonts w:ascii="Times New Roman" w:hAnsi="Times New Roman" w:eastAsia="Times New Roman" w:cs="Times New Roman"/>
          <w:i/>
          <w:iCs/>
          <w:color w:val="000000" w:themeColor="text1"/>
          <w:sz w:val="24"/>
          <w:szCs w:val="24"/>
          <w14:textFill>
            <w14:solidFill>
              <w14:schemeClr w14:val="tx1"/>
            </w14:solidFill>
          </w14:textFill>
        </w:rPr>
        <w:t>C</w:t>
      </w:r>
      <w:r>
        <w:rPr>
          <w:rFonts w:ascii="Times New Roman" w:hAnsi="Times New Roman" w:eastAsia="Times New Roman" w:cs="Times New Roman"/>
          <w:i/>
          <w:iCs/>
          <w:color w:val="000000" w:themeColor="text1"/>
          <w:sz w:val="24"/>
          <w:szCs w:val="24"/>
          <w:lang w:val="en-US"/>
          <w14:textFill>
            <w14:solidFill>
              <w14:schemeClr w14:val="tx1"/>
            </w14:solidFill>
          </w14:textFill>
        </w:rPr>
        <w:t xml:space="preserve">onvertion </w:t>
      </w:r>
      <w:r>
        <w:rPr>
          <w:rFonts w:ascii="Times New Roman" w:hAnsi="Times New Roman" w:eastAsia="Times New Roman" w:cs="Times New Roman"/>
          <w:i/>
          <w:iCs/>
          <w:color w:val="000000" w:themeColor="text1"/>
          <w:sz w:val="24"/>
          <w:szCs w:val="24"/>
          <w14:textFill>
            <w14:solidFill>
              <w14:schemeClr w14:val="tx1"/>
            </w14:solidFill>
          </w14:textFill>
        </w:rPr>
        <w:t>R</w:t>
      </w:r>
      <w:r>
        <w:rPr>
          <w:rFonts w:ascii="Times New Roman" w:hAnsi="Times New Roman" w:eastAsia="Times New Roman" w:cs="Times New Roman"/>
          <w:i/>
          <w:iCs/>
          <w:color w:val="000000" w:themeColor="text1"/>
          <w:sz w:val="24"/>
          <w:szCs w:val="24"/>
          <w:lang w:val="en-US"/>
          <w14:textFill>
            <w14:solidFill>
              <w14:schemeClr w14:val="tx1"/>
            </w14:solidFill>
          </w14:textFill>
        </w:rPr>
        <w:t>atio</w:t>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benih ikan bawal bintang (</w:t>
      </w:r>
      <w:r>
        <w:rPr>
          <w:rFonts w:ascii="Times New Roman" w:hAnsi="Times New Roman" w:eastAsia="Times New Roman" w:cs="Times New Roman"/>
          <w:i/>
          <w:iCs/>
          <w:color w:val="000000" w:themeColor="text1"/>
          <w:sz w:val="24"/>
          <w:szCs w:val="24"/>
          <w:lang w:val="en-US"/>
          <w14:textFill>
            <w14:solidFill>
              <w14:schemeClr w14:val="tx1"/>
            </w14:solidFill>
          </w14:textFill>
        </w:rPr>
        <w:t>Trachinotus blochii</w:t>
      </w:r>
      <w:r>
        <w:rPr>
          <w:rFonts w:ascii="Times New Roman" w:hAnsi="Times New Roman" w:eastAsia="Times New Roman" w:cs="Times New Roman"/>
          <w:color w:val="000000" w:themeColor="text1"/>
          <w:sz w:val="24"/>
          <w:szCs w:val="24"/>
          <w:lang w:val="en-US"/>
          <w14:textFill>
            <w14:solidFill>
              <w14:schemeClr w14:val="tx1"/>
            </w14:solidFill>
          </w14:textFill>
        </w:rPr>
        <w:t>) yang dipelihara dapat dilihat pada Gambar 5 berikut.</w:t>
      </w:r>
    </w:p>
    <w:p w14:paraId="656FBA36">
      <w:pPr>
        <w:tabs>
          <w:tab w:val="left" w:pos="360"/>
        </w:tabs>
        <w:spacing w:after="0" w:line="23" w:lineRule="atLeast"/>
        <w:jc w:val="center"/>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lang w:val="en-US"/>
        </w:rPr>
        <w:drawing>
          <wp:inline distT="0" distB="0" distL="0" distR="0">
            <wp:extent cx="3543300" cy="18669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45CFA6">
      <w:pPr>
        <w:tabs>
          <w:tab w:val="left" w:pos="360"/>
        </w:tabs>
        <w:spacing w:after="0" w:line="23" w:lineRule="atLeast"/>
        <w:jc w:val="center"/>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Gambar 5. Rasio Konversi Pakan (FCR)</w:t>
      </w:r>
    </w:p>
    <w:p w14:paraId="00C2F53E">
      <w:pPr>
        <w:tabs>
          <w:tab w:val="left" w:pos="360"/>
        </w:tabs>
        <w:spacing w:after="0" w:line="23" w:lineRule="atLeast"/>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 xml:space="preserve">Perlakuan D 3% ekstrak temulawak memiliki hasil </w:t>
      </w:r>
      <w:r>
        <w:rPr>
          <w:rFonts w:ascii="Times New Roman" w:hAnsi="Times New Roman" w:eastAsia="Times New Roman" w:cs="Times New Roman"/>
          <w:color w:val="000000" w:themeColor="text1"/>
          <w:sz w:val="24"/>
          <w:szCs w:val="24"/>
          <w14:textFill>
            <w14:solidFill>
              <w14:schemeClr w14:val="tx1"/>
            </w14:solidFill>
          </w14:textFill>
        </w:rPr>
        <w:t>rasio konversi pakan</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paling rendah yaitu 1,10, disusul perlakuan B 1% ekstrak temulawak memiliki </w:t>
      </w:r>
      <w:r>
        <w:rPr>
          <w:rFonts w:ascii="Times New Roman" w:hAnsi="Times New Roman" w:eastAsia="Times New Roman" w:cs="Times New Roman"/>
          <w:color w:val="000000" w:themeColor="text1"/>
          <w:sz w:val="24"/>
          <w:szCs w:val="24"/>
          <w14:textFill>
            <w14:solidFill>
              <w14:schemeClr w14:val="tx1"/>
            </w14:solidFill>
          </w14:textFill>
        </w:rPr>
        <w:t>rasio konversi pakan</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1,14, perlakuan C 2% ekstrak temulawak dengan </w:t>
      </w:r>
      <w:r>
        <w:rPr>
          <w:rFonts w:ascii="Times New Roman" w:hAnsi="Times New Roman" w:eastAsia="Times New Roman" w:cs="Times New Roman"/>
          <w:color w:val="000000" w:themeColor="text1"/>
          <w:sz w:val="24"/>
          <w:szCs w:val="24"/>
          <w14:textFill>
            <w14:solidFill>
              <w14:schemeClr w14:val="tx1"/>
            </w14:solidFill>
          </w14:textFill>
        </w:rPr>
        <w:t>rasio konversi pakan</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1,16 dan perlakuan A kontrol (pakan pelet tanpa penambahan ekstrak temulawak) memiliki </w:t>
      </w:r>
      <w:r>
        <w:rPr>
          <w:rFonts w:ascii="Times New Roman" w:hAnsi="Times New Roman" w:eastAsia="Times New Roman" w:cs="Times New Roman"/>
          <w:color w:val="000000" w:themeColor="text1"/>
          <w:sz w:val="24"/>
          <w:szCs w:val="24"/>
          <w14:textFill>
            <w14:solidFill>
              <w14:schemeClr w14:val="tx1"/>
            </w14:solidFill>
          </w14:textFill>
        </w:rPr>
        <w:t>rasio konversi pakan</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1,44. Pengaruh penambahan ekstrak temulawak pada pakan pellet komersial KAIO menunjukan pengaruh nyata (p&lt;0,05) dibanding kontrol terhadap </w:t>
      </w:r>
      <w:r>
        <w:rPr>
          <w:rFonts w:ascii="Times New Roman" w:hAnsi="Times New Roman" w:eastAsia="Times New Roman" w:cs="Times New Roman"/>
          <w:color w:val="000000" w:themeColor="text1"/>
          <w:sz w:val="24"/>
          <w:szCs w:val="24"/>
          <w14:textFill>
            <w14:solidFill>
              <w14:schemeClr w14:val="tx1"/>
            </w14:solidFill>
          </w14:textFill>
        </w:rPr>
        <w:t>rasio konversi pakan</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benih ikan bawal bintang. </w:t>
      </w:r>
    </w:p>
    <w:p w14:paraId="3612C515">
      <w:pPr>
        <w:tabs>
          <w:tab w:val="left" w:pos="360"/>
        </w:tabs>
        <w:spacing w:after="0" w:line="23" w:lineRule="atLeast"/>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 xml:space="preserve">Berdasarkan hasil penelitian terdahulu dari </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lang w:val="en-US"/>
          <w14:textFill>
            <w14:solidFill>
              <w14:schemeClr w14:val="tx1"/>
            </w14:solidFill>
          </w14:textFill>
        </w:rPr>
        <w:instrText xml:space="preserve">ADDIN CSL_CITATION {"citationItems":[{"id":"ITEM-1","itemData":{"author":[{"dropping-particle":"","family":"Fradina","given":"","non-dropping-particle":"","parse-names":false,"suffix":""}],"id":"ITEM-1","issued":{"date-parts":[["2023"]]},"title":"EFEKTIVITAS PEMBERIAN TEMULAWAK (Curcuma xanthorhiza Roxb)","type":"report"},"uris":["http://www.mendeley.com/documents/?uuid=49919136-785a-3283-9b9b-dbd3f735d5ef"]}],"mendeley":{"formattedCitation":"(Fradina 2023)","manualFormatting":"Fradina, (2023)","plainTextFormattedCitation":"(Fradina 2023)","previouslyFormattedCitation":"(Fradina 2023)"},"properties":{"noteIndex":0},"schema":"https://github.com/citation-style-language/schema/raw/master/csl-citation.json"}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separate"/>
      </w:r>
      <w:r>
        <w:rPr>
          <w:rFonts w:ascii="Times New Roman" w:hAnsi="Times New Roman" w:eastAsia="Times New Roman" w:cs="Times New Roman"/>
          <w:color w:val="000000" w:themeColor="text1"/>
          <w:sz w:val="24"/>
          <w:szCs w:val="24"/>
          <w:lang w:val="en-US"/>
          <w14:textFill>
            <w14:solidFill>
              <w14:schemeClr w14:val="tx1"/>
            </w14:solidFill>
          </w14:textFill>
        </w:rPr>
        <w:t>Fradina</w:t>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(2023)</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end"/>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perlakuan D dengan penambahan 15 gram temulawak menghasilkan nilai FCR sebesar 1,256, nilai konversi pakan yang lebih rendah menunjukkan bahwa kualitas pakan semakin baik. Perlakuan C 2% ekstrak temulawak pada pakan memberikan hasil rasio konversi pakan yang sedikit lebih tinggi dari perlakuan B dan D. Menurut </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lang w:val="en-US"/>
          <w14:textFill>
            <w14:solidFill>
              <w14:schemeClr w14:val="tx1"/>
            </w14:solidFill>
          </w14:textFill>
        </w:rPr>
        <w:instrText xml:space="preserve">ADDIN CSL_CITATION {"citationItems":[{"id":"ITEM-1","itemData":{"DOI":"10.32663/ja.v21i2.4507","abstract":"This research aims to determine the effect of adding ginger powder to artificial feed on the growth of tilapia (Oreochromis niloticus). This research was carried out from May to June 2023 for 60 days located in Margasakti Village, Padang Jaya District. The test fish used were tilapia (Oreochromis niloticus) with a size of 10-12 cm/head. The design used was a Completely Randomized Design (CRD), which consisted of 4 treatments with 6 repetitions to obtain 24 experimental units. treatment 1 (P1): without adding ginger powder, treatment 2 (P2): 1.5 gram ginger powder, treatment 3 (P3): 1.8 gram ginger powder, treatment 4 (P4): 2.1 gram ginger powder. The data obtained was tested by analysis of variance at the 5% and 1% levels, while to determine the best effect of adding ginger powder, a 5% BNT (Least Significant Difference) further test was carried out. The parameters observed were fish growth, which included absolute length and weight, feed conversion, feed efficiency and survival of the test fish. The results of the research showed that the addition of ginger powder to the growth of tilapia had a very significant effect on the growth in absolute length, absolute weight, feed conversion and feed efficiency. The addition of good ginger powder is the addition of 1.8 grams of ginger powder and the addition of 2.1 grams of ginger powder with survival reaching 100%. In cultivation development, you can use the addition of 1.8 grams of ginger powder.","author":[{"dropping-particle":"","family":"Zulkhasyni","given":"Ahmad, Nasir","non-dropping-particle":"","parse-names":false,"suffix":""},{"dropping-particle":"","family":"Badriyyah","given":"Alya","non-dropping-particle":"","parse-names":false,"suffix":""},{"dropping-particle":"","family":"Syukhriani","given":"Silvy","non-dropping-particle":"","parse-names":false,"suffix":""}],"id":"ITEM-1","issued":{"date-parts":[["2024"]]},"title":"EFEK PENAMBAHAN BUBUK TEMULAWAK (Curcuma xanthorrhiza ) PADA PAKAN BUATAN TERHADAP PERTUMBUHAN IKAN NILA (Oreochromis niloticus) (Effect of Adding Curcuma xanthorrhiza to Artificial Feeding on The Growth Of Tila Fish (Oreochromis niloticus))","type":"article-journal"},"uris":["http://www.mendeley.com/documents/?uuid=c0dc80b3-abc3-326b-8c1f-6aa11fcf64c3"]}],"mendeley":{"formattedCitation":"(Zulkhasyni, Badriyyah, and Syukhriani 2024)","manualFormatting":"Zulkhasyni, Badriyyah, dan Syukhriani, (2024)","plainTextFormattedCitation":"(Zulkhasyni, Badriyyah, and Syukhriani 2024)","previouslyFormattedCitation":"(Zulkhasyni, Badriyyah, and Syukhriani 2024)"},"properties":{"noteIndex":0},"schema":"https://github.com/citation-style-language/schema/raw/master/csl-citation.json"}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separate"/>
      </w:r>
      <w:r>
        <w:rPr>
          <w:rFonts w:ascii="Times New Roman" w:hAnsi="Times New Roman" w:eastAsia="Times New Roman" w:cs="Times New Roman"/>
          <w:color w:val="000000" w:themeColor="text1"/>
          <w:sz w:val="24"/>
          <w:szCs w:val="24"/>
          <w:lang w:val="en-US"/>
          <w14:textFill>
            <w14:solidFill>
              <w14:schemeClr w14:val="tx1"/>
            </w14:solidFill>
          </w14:textFill>
        </w:rPr>
        <w:t>Zulkhasyni, Badriyyah, dan Syukhriani</w:t>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(2024)</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end"/>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meskipun dosis 1,8 gram temulawak berpotensi terlalu tinggi bagi ikan nila merah sehingga dapat menimbulkan beban metabolik atau menurunkan palatabilitas pakan, nilai konversi pakan yang diperoleh (2,09–2,12) tetap tergolong baik karena masih berada dalam kisaran umum konversi pakan ikan budidaya, yakni 1,5–8.</w:t>
      </w:r>
    </w:p>
    <w:p w14:paraId="763A9BD3">
      <w:pPr>
        <w:tabs>
          <w:tab w:val="left" w:pos="360"/>
        </w:tabs>
        <w:spacing w:after="0" w:line="23" w:lineRule="atLeast"/>
        <w:jc w:val="both"/>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Efisiensi Pakan (FE)</w:t>
      </w:r>
    </w:p>
    <w:p w14:paraId="77EFBC84">
      <w:pPr>
        <w:tabs>
          <w:tab w:val="left" w:pos="360"/>
        </w:tabs>
        <w:spacing w:after="0" w:line="23" w:lineRule="atLeast"/>
        <w:jc w:val="both"/>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Rata-rata efisiensi pakan (</w:t>
      </w:r>
      <w:r>
        <w:rPr>
          <w:rFonts w:ascii="Times New Roman" w:hAnsi="Times New Roman" w:eastAsia="Times New Roman" w:cs="Times New Roman"/>
          <w:i/>
          <w:iCs/>
          <w:color w:val="000000" w:themeColor="text1"/>
          <w:sz w:val="24"/>
          <w:szCs w:val="24"/>
          <w:lang w:val="en-US"/>
          <w14:textFill>
            <w14:solidFill>
              <w14:schemeClr w14:val="tx1"/>
            </w14:solidFill>
          </w14:textFill>
        </w:rPr>
        <w:t>Food Eficiency</w:t>
      </w:r>
      <w:r>
        <w:rPr>
          <w:rFonts w:ascii="Times New Roman" w:hAnsi="Times New Roman" w:eastAsia="Times New Roman" w:cs="Times New Roman"/>
          <w:color w:val="000000" w:themeColor="text1"/>
          <w:sz w:val="24"/>
          <w:szCs w:val="24"/>
          <w:lang w:val="en-US"/>
          <w14:textFill>
            <w14:solidFill>
              <w14:schemeClr w14:val="tx1"/>
            </w14:solidFill>
          </w14:textFill>
        </w:rPr>
        <w:t>) benih ikan bawal bintang (</w:t>
      </w:r>
      <w:r>
        <w:rPr>
          <w:rFonts w:ascii="Times New Roman" w:hAnsi="Times New Roman" w:eastAsia="Times New Roman" w:cs="Times New Roman"/>
          <w:i/>
          <w:iCs/>
          <w:color w:val="000000" w:themeColor="text1"/>
          <w:sz w:val="24"/>
          <w:szCs w:val="24"/>
          <w:lang w:val="en-US"/>
          <w14:textFill>
            <w14:solidFill>
              <w14:schemeClr w14:val="tx1"/>
            </w14:solidFill>
          </w14:textFill>
        </w:rPr>
        <w:t>Trachinotus blochii</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yang dipelihara dapat dilihat pada Gambar </w:t>
      </w:r>
      <w:r>
        <w:rPr>
          <w:rFonts w:ascii="Times New Roman" w:hAnsi="Times New Roman" w:eastAsia="Times New Roman" w:cs="Times New Roman"/>
          <w:color w:val="000000" w:themeColor="text1"/>
          <w:sz w:val="24"/>
          <w:szCs w:val="24"/>
          <w14:textFill>
            <w14:solidFill>
              <w14:schemeClr w14:val="tx1"/>
            </w14:solidFill>
          </w14:textFill>
        </w:rPr>
        <w:t>6</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berikut.</w:t>
      </w:r>
    </w:p>
    <w:p w14:paraId="561E98C7">
      <w:pPr>
        <w:tabs>
          <w:tab w:val="left" w:pos="360"/>
        </w:tabs>
        <w:spacing w:after="0" w:line="23" w:lineRule="atLeast"/>
        <w:jc w:val="center"/>
        <w:rPr>
          <w:rFonts w:ascii="Times New Roman" w:hAnsi="Times New Roman" w:eastAsia="Times New Roman" w:cs="Times New Roman"/>
          <w:color w:val="000000" w:themeColor="text1"/>
          <w:sz w:val="24"/>
          <w:szCs w:val="24"/>
          <w14:textFill>
            <w14:solidFill>
              <w14:schemeClr w14:val="tx1"/>
            </w14:solidFill>
          </w14:textFill>
        </w:rPr>
      </w:pPr>
      <w:r>
        <w:rPr>
          <w:lang w:val="en-US"/>
        </w:rPr>
        <w:drawing>
          <wp:inline distT="0" distB="0" distL="114300" distR="114300">
            <wp:extent cx="3669030" cy="1583690"/>
            <wp:effectExtent l="4445" t="4445" r="22225" b="12065"/>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0E4C5D">
      <w:pPr>
        <w:tabs>
          <w:tab w:val="left" w:pos="360"/>
        </w:tabs>
        <w:spacing w:after="0" w:line="23" w:lineRule="atLeast"/>
        <w:jc w:val="center"/>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Gambar </w:t>
      </w:r>
      <w:r>
        <w:rPr>
          <w:rFonts w:ascii="Times New Roman" w:hAnsi="Times New Roman" w:eastAsia="Times New Roman" w:cs="Times New Roman"/>
          <w:color w:val="000000" w:themeColor="text1"/>
          <w:sz w:val="24"/>
          <w:szCs w:val="24"/>
          <w14:textFill>
            <w14:solidFill>
              <w14:schemeClr w14:val="tx1"/>
            </w14:solidFill>
          </w14:textFill>
        </w:rPr>
        <w:t>6</w:t>
      </w:r>
      <w:r>
        <w:rPr>
          <w:rFonts w:ascii="Times New Roman" w:hAnsi="Times New Roman" w:eastAsia="Times New Roman" w:cs="Times New Roman"/>
          <w:color w:val="000000" w:themeColor="text1"/>
          <w:sz w:val="24"/>
          <w:szCs w:val="24"/>
          <w:lang w:val="en-US"/>
          <w14:textFill>
            <w14:solidFill>
              <w14:schemeClr w14:val="tx1"/>
            </w14:solidFill>
          </w14:textFill>
        </w:rPr>
        <w:t>. Efisiensi Pakan</w:t>
      </w:r>
    </w:p>
    <w:p w14:paraId="2A5C396E">
      <w:pPr>
        <w:tabs>
          <w:tab w:val="left" w:pos="360"/>
        </w:tabs>
        <w:spacing w:after="0" w:line="23" w:lineRule="atLeast"/>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 xml:space="preserve">Perlakuan D 3% ekstrak temulawak memiliki hasil efisiensi pakan paling besar yaitu 74,3%, disusul perlakuan B 1% ekstrak temulawak memiliki nilai efisiensi pakan 73,3%, perlakuan C 2% ekstrak temulawak dengan nilai efisiensi pakan 71,97% dan perlakuan A kontrol (pakan pelet tanpa penambahan ekstrak temulawak) memiliki nilai efisiensi pakan 64,29%. Pengaruh penambahan ekstrak temulawak pada pakan pellet komersial KAIO menunjukan pengaruh nyata (p&lt;0,05) dibanding kontrol terhadap nilai efisiensi pakan benih ikan bawal bintang. </w:t>
      </w:r>
    </w:p>
    <w:p w14:paraId="1772D1E2">
      <w:pPr>
        <w:tabs>
          <w:tab w:val="left" w:pos="360"/>
        </w:tabs>
        <w:spacing w:after="0" w:line="23" w:lineRule="atLeast"/>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 xml:space="preserve">Hasil penelitian terdahulu oleh </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lang w:val="en-US"/>
          <w14:textFill>
            <w14:solidFill>
              <w14:schemeClr w14:val="tx1"/>
            </w14:solidFill>
          </w14:textFill>
        </w:rPr>
        <w:instrText xml:space="preserve">ADDIN CSL_CITATION {"citationItems":[{"id":"ITEM-1","itemData":{"DOI":"10.35800/jipv10i2.61033","author":[{"dropping-particle":"","family":"Indra","given":"Yuniarti Koniyo, Indra G. Ahmad","non-dropping-particle":"","parse-names":false,"suffix":""}],"id":"ITEM-1","issued":{"date-parts":[["2025"]]},"title":"Effectiveness of Kunyit (Curcuma domestica) and Temulawak (Curcuma xanthoriza) Additions in Commercial Feeding on the Growth and Life Existence of Mask Fish (Cyprinus carpio)","type":"article-journal"},"uris":["http://www.mendeley.com/documents/?uuid=a7967653-d579-362e-9c54-29545b29af11"]}],"mendeley":{"formattedCitation":"(Indra 2025)","manualFormatting":"Indra, Koniyo, dan Ahmad, (2025)","plainTextFormattedCitation":"(Indra 2025)","previouslyFormattedCitation":"(Indra 2025)"},"properties":{"noteIndex":0},"schema":"https://github.com/citation-style-language/schema/raw/master/csl-citation.json"}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separate"/>
      </w:r>
      <w:r>
        <w:rPr>
          <w:rFonts w:ascii="Times New Roman" w:hAnsi="Times New Roman" w:eastAsia="Times New Roman" w:cs="Times New Roman"/>
          <w:color w:val="000000" w:themeColor="text1"/>
          <w:sz w:val="24"/>
          <w:szCs w:val="24"/>
          <w:lang w:val="en-US"/>
          <w14:textFill>
            <w14:solidFill>
              <w14:schemeClr w14:val="tx1"/>
            </w14:solidFill>
          </w14:textFill>
        </w:rPr>
        <w:t>Indra</w:t>
      </w:r>
      <w:r>
        <w:rPr>
          <w:rFonts w:ascii="Times New Roman" w:hAnsi="Times New Roman" w:eastAsia="Times New Roman" w:cs="Times New Roman"/>
          <w:color w:val="000000" w:themeColor="text1"/>
          <w:sz w:val="24"/>
          <w:szCs w:val="24"/>
          <w14:textFill>
            <w14:solidFill>
              <w14:schemeClr w14:val="tx1"/>
            </w14:solidFill>
          </w14:textFill>
        </w:rPr>
        <w:t>, Koniyo, dan Ahmad,</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(2025)</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end"/>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nilai efisiensi pakan terbaik yang mencapai 32,43%, diperoleh pada perlakuan D dengan kombinasi 12% tepung temulawak dan 25% tepung kunyit, di mana komposisi tersebut mampu meningkatkan pemanfaatan nutrien secara optimal sehingga energi yang tersedia dapat digunakan lebih efektif untuk pertumbuhan ikan. Perlakuan C 2% ekstrak temulawak pada pakan memberikan hasil efisiensi pakan yang sedikit lebih rendah dari perlakuan B dan D. Hasil penelitian terdahulu dari </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lang w:val="en-US"/>
          <w14:textFill>
            <w14:solidFill>
              <w14:schemeClr w14:val="tx1"/>
            </w14:solidFill>
          </w14:textFill>
        </w:rPr>
        <w:instrText xml:space="preserve">ADDIN CSL_CITATION {"citationItems":[{"id":"ITEM-1","itemData":{"author":[{"dropping-particle":"","family":"Insana","given":"Nur","non-dropping-particle":"","parse-names":false,"suffix":""},{"dropping-particle":"","family":"Wahyu","given":"Dan Farhanah","non-dropping-particle":"","parse-names":false,"suffix":""}],"id":"ITEM-1","issue":"2","issued":{"date-parts":[["2015"]]},"title":"SUBTITUSI TEPUNG TEMULAWAK (Curcuma xanthorhiza sp) PADA PAKAN DENGAN DOSIS BERBEDA TERHADAP PERTUMBUHAN DAN SINTASAN BENIH IKAN NILA (Oreochromis niloticus)","type":"report","volume":"4"},"uris":["http://www.mendeley.com/documents/?uuid=5cdca2ad-ac25-3a2a-bd66-baa8a288033e"]}],"mendeley":{"formattedCitation":"(Insana and Wahyu 2015)","manualFormatting":"Insana dan Wahyu, (2015)","plainTextFormattedCitation":"(Insana and Wahyu 2015)","previouslyFormattedCitation":"(Insana and Wahyu 2015)"},"properties":{"noteIndex":0},"schema":"https://github.com/citation-style-language/schema/raw/master/csl-citation.json"}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separate"/>
      </w:r>
      <w:r>
        <w:rPr>
          <w:rFonts w:ascii="Times New Roman" w:hAnsi="Times New Roman" w:eastAsia="Times New Roman" w:cs="Times New Roman"/>
          <w:color w:val="000000" w:themeColor="text1"/>
          <w:sz w:val="24"/>
          <w:szCs w:val="24"/>
          <w:lang w:val="en-US"/>
          <w14:textFill>
            <w14:solidFill>
              <w14:schemeClr w14:val="tx1"/>
            </w14:solidFill>
          </w14:textFill>
        </w:rPr>
        <w:t>Insana dan Wahyu</w:t>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(2015)</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end"/>
      </w:r>
      <w:r>
        <w:rPr>
          <w:rFonts w:ascii="Times New Roman" w:hAnsi="Times New Roman" w:eastAsia="Times New Roman" w:cs="Times New Roman"/>
          <w:color w:val="000000" w:themeColor="text1"/>
          <w:sz w:val="24"/>
          <w:szCs w:val="24"/>
          <w14:textFill>
            <w14:solidFill>
              <w14:schemeClr w14:val="tx1"/>
            </w14:solidFill>
          </w14:textFill>
        </w:rPr>
        <w:t>,</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yaitu perlakuan A (pakan komersial ditambah dengan 3% temulawak) menunjukkan efisiensi terendah, 10,65%, menandakan pakan kurang optimal dimanfaatkan ikan. Menurut </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lang w:val="en-US"/>
          <w14:textFill>
            <w14:solidFill>
              <w14:schemeClr w14:val="tx1"/>
            </w14:solidFill>
          </w14:textFill>
        </w:rPr>
        <w:instrText xml:space="preserve">ADDIN CSL_CITATION {"citationItems":[{"id":"ITEM-1","itemData":{"abstract":"The purpose of this study was to determine the optimum content of the addition of curcuma flour with different doses to the feed on the growth of gourami fry (Osphronemus gouramy). The method used in this study was a completely randomized design (CRD) experimental method, which consisted of 5 treatments with 3 replica-tions. The treatment used was treatment (A) without giving curcuma flour (con-trol), (B) giving curcuma flour at 2.5%/kg feed, (C) giving curcuma flour at 5%/kg feed, (D) giving curcuma flour ginger at 7.5%/kg feed, (E) giving cur-cuma flour at 10%/kg feed. The results of analysis of variance (Anova) showed that the addition of the flour at different doses had a significant effect (P&lt;0.05) on the growth of gouramy fish fry. The results showed that the addition of cur-cuma flour at 7.5%/kg of feed gave the best results with the highest absolute weight growth of 15.11 ± 0,42 g, the highest absolute length growth of 3.92 ± 0,42 cm, the feed conversion ratio of 1.95 ± 0.11, and survival of 100%.","author":[{"dropping-particle":"","family":"Maulina Wardani","given":"Rizka","non-dropping-particle":"","parse-names":false,"suffix":""},{"dropping-particle":"","family":"Grandiosa Herman","given":"Roffi","non-dropping-particle":"","parse-names":false,"suffix":""},{"dropping-particle":"","family":"Haetami","given":"Kiki","non-dropping-particle":"","parse-names":false,"suffix":""}],"container-title":"Jurnal Ilmu Perikanan dan Sumberdaya Perairan","id":"ITEM-1","issue":"2","issued":{"date-parts":[["2024"]]},"title":"THE EFFECT OF ADDITIONAL DOSES OF CURCUMA FLOUR (Curcuma xanthorrhiza Roxb) IN FEED ON THE GROWTH OF GOURAMY (Osphronemus gouramy) FRY","type":"report","volume":"12"},"uris":["http://www.mendeley.com/documents/?uuid=b3667840-1a39-34cb-ab32-4fcdb19c8350"]}],"mendeley":{"formattedCitation":"(Maulina Wardani, Grandiosa Herman, and Haetami 2024)","manualFormatting":"Wardani, Herman, Haetami dan Isakandar, (2024)","plainTextFormattedCitation":"(Maulina Wardani, Grandiosa Herman, and Haetami 2024)","previouslyFormattedCitation":"(Maulina Wardani, Grandiosa Herman, and Haetami 2024)"},"properties":{"noteIndex":0},"schema":"https://github.com/citation-style-language/schema/raw/master/csl-citation.json"}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separate"/>
      </w:r>
      <w:r>
        <w:rPr>
          <w:rFonts w:ascii="Times New Roman" w:hAnsi="Times New Roman" w:eastAsia="Times New Roman" w:cs="Times New Roman"/>
          <w:color w:val="000000" w:themeColor="text1"/>
          <w:sz w:val="24"/>
          <w:szCs w:val="24"/>
          <w:lang w:val="en-US"/>
          <w14:textFill>
            <w14:solidFill>
              <w14:schemeClr w14:val="tx1"/>
            </w14:solidFill>
          </w14:textFill>
        </w:rPr>
        <w:t xml:space="preserve">Wardani, Herman, Haetami dan </w:t>
      </w:r>
      <w:r>
        <w:rPr>
          <w:rFonts w:ascii="Times New Roman" w:hAnsi="Times New Roman" w:eastAsia="Times New Roman" w:cs="Times New Roman"/>
          <w:color w:val="000000" w:themeColor="text1"/>
          <w:sz w:val="24"/>
          <w:szCs w:val="24"/>
          <w14:textFill>
            <w14:solidFill>
              <w14:schemeClr w14:val="tx1"/>
            </w14:solidFill>
          </w14:textFill>
        </w:rPr>
        <w:t xml:space="preserve">Isakandar, </w:t>
      </w:r>
      <w:r>
        <w:rPr>
          <w:rFonts w:ascii="Times New Roman" w:hAnsi="Times New Roman" w:eastAsia="Times New Roman" w:cs="Times New Roman"/>
          <w:color w:val="000000" w:themeColor="text1"/>
          <w:sz w:val="24"/>
          <w:szCs w:val="24"/>
          <w:lang w:val="en-US"/>
          <w14:textFill>
            <w14:solidFill>
              <w14:schemeClr w14:val="tx1"/>
            </w14:solidFill>
          </w14:textFill>
        </w:rPr>
        <w:t>(2024)</w:t>
      </w:r>
      <w:r>
        <w:rPr>
          <w:rFonts w:ascii="Times New Roman" w:hAnsi="Times New Roman" w:eastAsia="Times New Roman" w:cs="Times New Roman"/>
          <w:color w:val="000000" w:themeColor="text1"/>
          <w:sz w:val="24"/>
          <w:szCs w:val="24"/>
          <w:lang w:val="en-US"/>
          <w14:textFill>
            <w14:solidFill>
              <w14:schemeClr w14:val="tx1"/>
            </w14:solidFill>
          </w14:textFill>
        </w:rPr>
        <w:fldChar w:fldCharType="end"/>
      </w:r>
      <w:r>
        <w:rPr>
          <w:rFonts w:ascii="Times New Roman" w:hAnsi="Times New Roman" w:eastAsia="Times New Roman" w:cs="Times New Roman"/>
          <w:color w:val="000000" w:themeColor="text1"/>
          <w:sz w:val="24"/>
          <w:szCs w:val="24"/>
          <w:lang w:val="en-US"/>
          <w14:textFill>
            <w14:solidFill>
              <w14:schemeClr w14:val="tx1"/>
            </w14:solidFill>
          </w14:textFill>
        </w:rPr>
        <w:t>, efisiensi pakan mencapai titik optimal ketika nilai efisiensinya tinggi, artinya penambahan temulawak terbukti secara signifikan meningkatkan kualitas pakan dibandingkan dengan pakan tanpa tambahan bahan temulawak.</w:t>
      </w:r>
    </w:p>
    <w:p w14:paraId="28A2E8C8">
      <w:pPr>
        <w:pStyle w:val="13"/>
        <w:tabs>
          <w:tab w:val="left" w:pos="360"/>
        </w:tabs>
        <w:spacing w:after="0" w:line="23" w:lineRule="atLeast"/>
        <w:ind w:left="0"/>
        <w:jc w:val="both"/>
        <w:rPr>
          <w:rFonts w:ascii="Times New Roman" w:hAnsi="Times New Roman" w:eastAsia="Times New Roman" w:cs="Times New Roman"/>
          <w:b/>
          <w:bCs/>
          <w:color w:val="000000" w:themeColor="text1"/>
          <w:sz w:val="24"/>
          <w:szCs w:val="24"/>
          <w:lang w:val="en-US"/>
          <w14:textFill>
            <w14:solidFill>
              <w14:schemeClr w14:val="tx1"/>
            </w14:solidFill>
          </w14:textFill>
        </w:rPr>
      </w:pPr>
      <w:r>
        <w:rPr>
          <w:rFonts w:ascii="Times New Roman" w:hAnsi="Times New Roman" w:eastAsia="Times New Roman" w:cs="Times New Roman"/>
          <w:b/>
          <w:bCs/>
          <w:color w:val="000000" w:themeColor="text1"/>
          <w:sz w:val="24"/>
          <w:szCs w:val="24"/>
          <w:lang w:val="en-US"/>
          <w14:textFill>
            <w14:solidFill>
              <w14:schemeClr w14:val="tx1"/>
            </w14:solidFill>
          </w14:textFill>
        </w:rPr>
        <w:t>Kualitas Air</w:t>
      </w:r>
    </w:p>
    <w:p w14:paraId="1EAA2D89">
      <w:pPr>
        <w:pStyle w:val="13"/>
        <w:tabs>
          <w:tab w:val="left" w:pos="360"/>
        </w:tabs>
        <w:spacing w:after="0" w:line="23" w:lineRule="atLeast"/>
        <w:ind w:left="0"/>
        <w:jc w:val="both"/>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lang w:val="en-US"/>
          <w14:textFill>
            <w14:solidFill>
              <w14:schemeClr w14:val="tx1"/>
            </w14:solidFill>
          </w14:textFill>
        </w:rPr>
        <w:tab/>
      </w:r>
      <w:r>
        <w:rPr>
          <w:rFonts w:ascii="Times New Roman" w:hAnsi="Times New Roman" w:eastAsia="Times New Roman" w:cs="Times New Roman"/>
          <w:color w:val="000000" w:themeColor="text1"/>
          <w:sz w:val="24"/>
          <w:szCs w:val="24"/>
          <w:lang w:val="en-US"/>
          <w14:textFill>
            <w14:solidFill>
              <w14:schemeClr w14:val="tx1"/>
            </w14:solidFill>
          </w14:textFill>
        </w:rPr>
        <w:t xml:space="preserve">Kualitas air </w:t>
      </w:r>
      <w:r>
        <w:rPr>
          <w:rFonts w:ascii="Times New Roman" w:hAnsi="Times New Roman" w:eastAsia="Times New Roman" w:cs="Times New Roman"/>
          <w:color w:val="000000" w:themeColor="text1"/>
          <w:sz w:val="24"/>
          <w:szCs w:val="24"/>
          <w14:textFill>
            <w14:solidFill>
              <w14:schemeClr w14:val="tx1"/>
            </w14:solidFill>
          </w14:textFill>
        </w:rPr>
        <w:t>merupakan salah satu faktor penting dalam menunjang kegiatan budidaya benih ikan bawal bintang selama 60 hari masa pemeliharaan. Kualitas air yang dijaga selama penelitian dilakukan melalui uji kualitas air, penyiponan dan pergantian air. Rata-rata hasil uji kualitas air yang diperoleh selama masa penelitian dapat dilihat pada Tabel</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1 </w:t>
      </w:r>
      <w:r>
        <w:rPr>
          <w:rFonts w:ascii="Times New Roman" w:hAnsi="Times New Roman" w:eastAsia="Times New Roman" w:cs="Times New Roman"/>
          <w:color w:val="000000" w:themeColor="text1"/>
          <w:sz w:val="24"/>
          <w:szCs w:val="24"/>
          <w14:textFill>
            <w14:solidFill>
              <w14:schemeClr w14:val="tx1"/>
            </w14:solidFill>
          </w14:textFill>
        </w:rPr>
        <w:t>berikut.</w:t>
      </w:r>
    </w:p>
    <w:p w14:paraId="4F07DEE5">
      <w:pPr>
        <w:spacing w:after="0" w:line="23" w:lineRule="atLeast"/>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 xml:space="preserve">Tabel </w:t>
      </w:r>
      <w:r>
        <w:rPr>
          <w:rFonts w:ascii="Times New Roman" w:hAnsi="Times New Roman" w:eastAsia="Times New Roman" w:cs="Times New Roman"/>
          <w:b/>
          <w:bCs/>
          <w:color w:val="000000" w:themeColor="text1"/>
          <w:sz w:val="24"/>
          <w:szCs w:val="24"/>
          <w:lang w:val="en-US"/>
          <w14:textFill>
            <w14:solidFill>
              <w14:schemeClr w14:val="tx1"/>
            </w14:solidFill>
          </w14:textFill>
        </w:rPr>
        <w:t>1</w:t>
      </w:r>
      <w:r>
        <w:rPr>
          <w:rFonts w:ascii="Times New Roman" w:hAnsi="Times New Roman" w:eastAsia="Times New Roman" w:cs="Times New Roman"/>
          <w:b/>
          <w:bCs/>
          <w:color w:val="000000" w:themeColor="text1"/>
          <w:sz w:val="24"/>
          <w:szCs w:val="24"/>
          <w14:textFill>
            <w14:solidFill>
              <w14:schemeClr w14:val="tx1"/>
            </w14:solidFill>
          </w14:textFill>
        </w:rPr>
        <w:t>. Hasil uji kualitas air</w:t>
      </w:r>
    </w:p>
    <w:tbl>
      <w:tblPr>
        <w:tblStyle w:val="14"/>
        <w:tblW w:w="8941" w:type="dxa"/>
        <w:tblInd w:w="-345"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51"/>
        <w:gridCol w:w="1080"/>
        <w:gridCol w:w="1245"/>
        <w:gridCol w:w="1095"/>
        <w:gridCol w:w="1125"/>
        <w:gridCol w:w="1140"/>
        <w:gridCol w:w="1905"/>
      </w:tblGrid>
      <w:tr w14:paraId="357E671D">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51" w:type="dxa"/>
            <w:vMerge w:val="restart"/>
            <w:tcBorders>
              <w:bottom w:val="single" w:color="7E7E7E" w:themeColor="text1" w:themeTint="80" w:sz="4" w:space="0"/>
              <w:insideH w:val="single" w:sz="4" w:space="0"/>
            </w:tcBorders>
            <w:tcMar>
              <w:left w:w="105" w:type="dxa"/>
              <w:right w:w="105" w:type="dxa"/>
            </w:tcMar>
            <w:vAlign w:val="center"/>
          </w:tcPr>
          <w:p w14:paraId="7EBC3F15">
            <w:pPr>
              <w:spacing w:after="0" w:line="23" w:lineRule="atLeast"/>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Parameter</w:t>
            </w:r>
          </w:p>
        </w:tc>
        <w:tc>
          <w:tcPr>
            <w:tcW w:w="1080" w:type="dxa"/>
            <w:vMerge w:val="restart"/>
            <w:tcBorders>
              <w:bottom w:val="single" w:color="7E7E7E" w:themeColor="text1" w:themeTint="80" w:sz="4" w:space="0"/>
              <w:insideH w:val="single" w:sz="4" w:space="0"/>
            </w:tcBorders>
            <w:tcMar>
              <w:left w:w="105" w:type="dxa"/>
              <w:right w:w="105" w:type="dxa"/>
            </w:tcMar>
            <w:vAlign w:val="center"/>
          </w:tcPr>
          <w:p w14:paraId="0204EBC8">
            <w:pPr>
              <w:spacing w:after="0" w:line="23" w:lineRule="atLeast"/>
              <w:jc w:val="center"/>
              <w:rPr>
                <w:rFonts w:ascii="Times New Roman" w:hAnsi="Times New Roman" w:eastAsia="Times New Roman" w:cs="Times New Roman"/>
                <w:b w:val="0"/>
                <w:bCs w:val="0"/>
                <w:sz w:val="24"/>
                <w:szCs w:val="24"/>
              </w:rPr>
            </w:pPr>
            <w:r>
              <w:rPr>
                <w:rFonts w:ascii="Times New Roman" w:hAnsi="Times New Roman" w:eastAsia="Times New Roman" w:cs="Times New Roman"/>
                <w:b/>
                <w:bCs/>
                <w:sz w:val="24"/>
                <w:szCs w:val="24"/>
              </w:rPr>
              <w:t>Satuan</w:t>
            </w:r>
          </w:p>
        </w:tc>
        <w:tc>
          <w:tcPr>
            <w:tcW w:w="4605" w:type="dxa"/>
            <w:gridSpan w:val="4"/>
            <w:tcBorders>
              <w:bottom w:val="single" w:color="7E7E7E" w:themeColor="text1" w:themeTint="80" w:sz="4" w:space="0"/>
              <w:insideH w:val="single" w:sz="4" w:space="0"/>
            </w:tcBorders>
            <w:tcMar>
              <w:left w:w="105" w:type="dxa"/>
              <w:right w:w="105" w:type="dxa"/>
            </w:tcMar>
            <w:vAlign w:val="center"/>
          </w:tcPr>
          <w:p w14:paraId="730219A4">
            <w:pPr>
              <w:spacing w:after="0" w:line="23" w:lineRule="atLeast"/>
              <w:jc w:val="center"/>
              <w:rPr>
                <w:rFonts w:ascii="Times New Roman" w:hAnsi="Times New Roman" w:eastAsia="Times New Roman" w:cs="Times New Roman"/>
                <w:b w:val="0"/>
                <w:bCs w:val="0"/>
                <w:sz w:val="24"/>
                <w:szCs w:val="24"/>
              </w:rPr>
            </w:pPr>
            <w:r>
              <w:rPr>
                <w:rFonts w:ascii="Times New Roman" w:hAnsi="Times New Roman" w:eastAsia="Times New Roman" w:cs="Times New Roman"/>
                <w:b/>
                <w:bCs/>
                <w:sz w:val="24"/>
                <w:szCs w:val="24"/>
              </w:rPr>
              <w:t>Perlakuan</w:t>
            </w:r>
          </w:p>
        </w:tc>
        <w:tc>
          <w:tcPr>
            <w:tcW w:w="1905" w:type="dxa"/>
            <w:tcBorders>
              <w:bottom w:val="single" w:color="7E7E7E" w:themeColor="text1" w:themeTint="80" w:sz="4" w:space="0"/>
              <w:insideH w:val="single" w:sz="4" w:space="0"/>
            </w:tcBorders>
            <w:tcMar>
              <w:left w:w="105" w:type="dxa"/>
              <w:right w:w="105" w:type="dxa"/>
            </w:tcMar>
            <w:vAlign w:val="center"/>
          </w:tcPr>
          <w:p w14:paraId="568D25AF">
            <w:pPr>
              <w:spacing w:after="0" w:line="23" w:lineRule="atLeast"/>
              <w:jc w:val="center"/>
              <w:rPr>
                <w:rFonts w:ascii="Times New Roman" w:hAnsi="Times New Roman" w:eastAsia="Times New Roman" w:cs="Times New Roman"/>
                <w:b w:val="0"/>
                <w:bCs w:val="0"/>
                <w:sz w:val="24"/>
                <w:szCs w:val="24"/>
              </w:rPr>
            </w:pPr>
            <w:r>
              <w:rPr>
                <w:rFonts w:ascii="Times New Roman" w:hAnsi="Times New Roman" w:eastAsia="Times New Roman" w:cs="Times New Roman"/>
                <w:b/>
                <w:bCs/>
                <w:sz w:val="24"/>
                <w:szCs w:val="24"/>
              </w:rPr>
              <w:t>Kisaran optimal</w:t>
            </w:r>
          </w:p>
        </w:tc>
      </w:tr>
      <w:tr w14:paraId="6BE4D482">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51" w:type="dxa"/>
            <w:vMerge w:val="continue"/>
            <w:tcBorders>
              <w:top w:val="single" w:color="7E7E7E" w:themeColor="text1" w:themeTint="80" w:sz="4" w:space="0"/>
              <w:bottom w:val="single" w:color="7E7E7E" w:themeColor="text1" w:themeTint="80" w:sz="4" w:space="0"/>
            </w:tcBorders>
            <w:vAlign w:val="center"/>
          </w:tcPr>
          <w:p w14:paraId="33B5C49F">
            <w:pPr>
              <w:spacing w:after="0" w:line="23" w:lineRule="atLeast"/>
              <w:rPr>
                <w:rFonts w:ascii="Times New Roman" w:hAnsi="Times New Roman" w:cs="Times New Roman"/>
                <w:b w:val="0"/>
                <w:bCs w:val="0"/>
                <w:sz w:val="24"/>
                <w:szCs w:val="24"/>
              </w:rPr>
            </w:pPr>
          </w:p>
        </w:tc>
        <w:tc>
          <w:tcPr>
            <w:tcW w:w="1080" w:type="dxa"/>
            <w:vMerge w:val="continue"/>
            <w:tcBorders>
              <w:top w:val="single" w:color="7E7E7E" w:themeColor="text1" w:themeTint="80" w:sz="4" w:space="0"/>
              <w:bottom w:val="single" w:color="7E7E7E" w:themeColor="text1" w:themeTint="80" w:sz="4" w:space="0"/>
            </w:tcBorders>
            <w:vAlign w:val="center"/>
          </w:tcPr>
          <w:p w14:paraId="14FDD275">
            <w:pPr>
              <w:spacing w:after="0" w:line="23" w:lineRule="atLeast"/>
              <w:rPr>
                <w:rFonts w:ascii="Times New Roman" w:hAnsi="Times New Roman" w:cs="Times New Roman"/>
                <w:sz w:val="24"/>
                <w:szCs w:val="24"/>
              </w:rPr>
            </w:pPr>
          </w:p>
        </w:tc>
        <w:tc>
          <w:tcPr>
            <w:tcW w:w="1245" w:type="dxa"/>
            <w:tcBorders>
              <w:top w:val="single" w:color="7E7E7E" w:themeColor="text1" w:themeTint="80" w:sz="4" w:space="0"/>
              <w:bottom w:val="single" w:color="7E7E7E" w:themeColor="text1" w:themeTint="80" w:sz="4" w:space="0"/>
            </w:tcBorders>
            <w:tcMar>
              <w:left w:w="105" w:type="dxa"/>
              <w:right w:w="105" w:type="dxa"/>
            </w:tcMar>
          </w:tcPr>
          <w:p w14:paraId="18BDD2E5">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A</w:t>
            </w:r>
          </w:p>
        </w:tc>
        <w:tc>
          <w:tcPr>
            <w:tcW w:w="1095" w:type="dxa"/>
            <w:tcBorders>
              <w:top w:val="single" w:color="7E7E7E" w:themeColor="text1" w:themeTint="80" w:sz="4" w:space="0"/>
              <w:bottom w:val="single" w:color="7E7E7E" w:themeColor="text1" w:themeTint="80" w:sz="4" w:space="0"/>
            </w:tcBorders>
            <w:tcMar>
              <w:left w:w="105" w:type="dxa"/>
              <w:right w:w="105" w:type="dxa"/>
            </w:tcMar>
          </w:tcPr>
          <w:p w14:paraId="6BB65FF9">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B</w:t>
            </w:r>
          </w:p>
        </w:tc>
        <w:tc>
          <w:tcPr>
            <w:tcW w:w="1125" w:type="dxa"/>
            <w:tcBorders>
              <w:top w:val="single" w:color="7E7E7E" w:themeColor="text1" w:themeTint="80" w:sz="4" w:space="0"/>
              <w:bottom w:val="single" w:color="7E7E7E" w:themeColor="text1" w:themeTint="80" w:sz="4" w:space="0"/>
            </w:tcBorders>
            <w:tcMar>
              <w:left w:w="105" w:type="dxa"/>
              <w:right w:w="105" w:type="dxa"/>
            </w:tcMar>
          </w:tcPr>
          <w:p w14:paraId="3297F9AD">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C</w:t>
            </w:r>
          </w:p>
        </w:tc>
        <w:tc>
          <w:tcPr>
            <w:tcW w:w="1140" w:type="dxa"/>
            <w:tcBorders>
              <w:top w:val="single" w:color="7E7E7E" w:themeColor="text1" w:themeTint="80" w:sz="4" w:space="0"/>
              <w:bottom w:val="single" w:color="7E7E7E" w:themeColor="text1" w:themeTint="80" w:sz="4" w:space="0"/>
            </w:tcBorders>
            <w:tcMar>
              <w:left w:w="105" w:type="dxa"/>
              <w:right w:w="105" w:type="dxa"/>
            </w:tcMar>
          </w:tcPr>
          <w:p w14:paraId="78EFC17B">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D</w:t>
            </w:r>
          </w:p>
        </w:tc>
        <w:tc>
          <w:tcPr>
            <w:tcW w:w="1905" w:type="dxa"/>
            <w:tcBorders>
              <w:top w:val="single" w:color="7E7E7E" w:themeColor="text1" w:themeTint="80" w:sz="4" w:space="0"/>
              <w:bottom w:val="single" w:color="7E7E7E" w:themeColor="text1" w:themeTint="80" w:sz="4" w:space="0"/>
            </w:tcBorders>
            <w:tcMar>
              <w:left w:w="105" w:type="dxa"/>
              <w:right w:w="105" w:type="dxa"/>
            </w:tcMar>
          </w:tcPr>
          <w:p w14:paraId="5F3FE952">
            <w:pPr>
              <w:spacing w:after="0" w:line="23" w:lineRule="atLeast"/>
              <w:jc w:val="center"/>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fldChar w:fldCharType="begin" w:fldLock="1"/>
            </w:r>
            <w:r>
              <w:rPr>
                <w:rFonts w:ascii="Times New Roman" w:hAnsi="Times New Roman" w:eastAsia="Times New Roman" w:cs="Times New Roman"/>
                <w:b/>
                <w:bCs/>
                <w:sz w:val="24"/>
                <w:szCs w:val="24"/>
              </w:rPr>
              <w:instrText xml:space="preserve">ADDIN CSL_CITATION {"citationItems":[{"id":"ITEM-1","itemData":{"DOI":"10.29303/jp.v14i3.872","ISSN":"2302-6049","abstract":"Bawal bintang merupakan ikan introduksi dari Taiwan dan memiliki prospek yang cukup bagus di Kawasan Asia Pasifik dengan harga yang cukup tinggi. Kegiatan Kerja Praktik Akhir (KPA) ini bertujuan untuk dilakukan Uji-t dan untuk mengetahui pengaruh kualitas air terhadap pertumbuhan dilakukan penghitungan koefisien korelasi (r hitung). Parameter kualitas air yang yang diamati meliputi suhu, pH, dan salinitas  Hasil Uji-t menunjukan bahwa t hitung (0,008) &lt; t tabel (     ), hal ini berarti tidak ada perbedaan yang signifikan antara kedua pola pertumbuhan panjang dan berat. Sedangkan hasil koefisien korelasi antara kualitas air dan pertumbuhan menunjukan bahwa tidak ada pengaruh yang nyata antara parameter kualitas air yang diamati terhadap pertumbuhan bawal bintang.","author":[{"dropping-particle":"","family":"Adi","given":"Catur","non-dropping-particle":"","parse-names":false,"suffix":""},{"dropping-particle":"","family":"Fauzan","given":"Muhamad","non-dropping-particle":"","parse-names":false,"suffix":""},{"dropping-particle":"","family":"Aripudin","given":"Aripudin","non-dropping-particle":"","parse-names":false,"suffix":""},{"dropping-particle":"","family":"Kristiany","given":"Maria Goreti Eny","non-dropping-particle":"","parse-names":false,"suffix":""}],"container-title":"Jurnal Perikanan Unram","id":"ITEM-1","issue":"3","issued":{"date-parts":[["2024","9","29"]]},"page":"1560-1566","publisher":"Universitas Mataram","title":"Korelasi Kualitas Air Pada Pertumbuhan Larva Ikan Bawal Bintang (Trachinotus Blochi) Di Balai Benih Ikan Laut (Bbil), Pulau Tidung Kepulauan Seribu","type":"article-journal","volume":"14"},"uris":["http://www.mendeley.com/documents/?uuid=b90ee01c-cf5e-3e2c-a1af-1b5141ba89b1"]}],"mendeley":{"formattedCitation":"(Adi et al. 2024)","manualFormatting":"(Adi dkk, 2024)","plainTextFormattedCitation":"(Adi et al. 2024)","previouslyFormattedCitation":"(Adi et al. 2024)"},"properties":{"noteIndex":0},"schema":"https://github.com/citation-style-language/schema/raw/master/csl-citation.json"}</w:instrText>
            </w:r>
            <w:r>
              <w:rPr>
                <w:rFonts w:ascii="Times New Roman" w:hAnsi="Times New Roman" w:eastAsia="Times New Roman" w:cs="Times New Roman"/>
                <w:b/>
                <w:bCs/>
                <w:sz w:val="24"/>
                <w:szCs w:val="24"/>
              </w:rPr>
              <w:fldChar w:fldCharType="separate"/>
            </w:r>
            <w:r>
              <w:rPr>
                <w:rFonts w:ascii="Times New Roman" w:hAnsi="Times New Roman" w:eastAsia="Times New Roman" w:cs="Times New Roman"/>
                <w:bCs/>
                <w:sz w:val="24"/>
                <w:szCs w:val="24"/>
              </w:rPr>
              <w:t xml:space="preserve">(Adi </w:t>
            </w:r>
            <w:r>
              <w:rPr>
                <w:rFonts w:ascii="Times New Roman" w:hAnsi="Times New Roman" w:eastAsia="Times New Roman" w:cs="Times New Roman"/>
                <w:bCs/>
                <w:i/>
                <w:sz w:val="24"/>
                <w:szCs w:val="24"/>
              </w:rPr>
              <w:t>dkk,</w:t>
            </w:r>
            <w:r>
              <w:rPr>
                <w:rFonts w:ascii="Times New Roman" w:hAnsi="Times New Roman" w:eastAsia="Times New Roman" w:cs="Times New Roman"/>
                <w:bCs/>
                <w:sz w:val="24"/>
                <w:szCs w:val="24"/>
              </w:rPr>
              <w:t xml:space="preserve"> 2024)</w:t>
            </w:r>
            <w:r>
              <w:rPr>
                <w:rFonts w:ascii="Times New Roman" w:hAnsi="Times New Roman" w:eastAsia="Times New Roman" w:cs="Times New Roman"/>
                <w:b/>
                <w:bCs/>
                <w:sz w:val="24"/>
                <w:szCs w:val="24"/>
              </w:rPr>
              <w:fldChar w:fldCharType="end"/>
            </w:r>
          </w:p>
        </w:tc>
      </w:tr>
      <w:tr w14:paraId="531CBE5C">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51" w:type="dxa"/>
            <w:tcMar>
              <w:left w:w="105" w:type="dxa"/>
              <w:right w:w="105" w:type="dxa"/>
            </w:tcMar>
          </w:tcPr>
          <w:p w14:paraId="1498D1A5">
            <w:pPr>
              <w:spacing w:after="0" w:line="23" w:lineRule="atLeast"/>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 xml:space="preserve">Suhu </w:t>
            </w:r>
          </w:p>
        </w:tc>
        <w:tc>
          <w:tcPr>
            <w:tcW w:w="1080" w:type="dxa"/>
            <w:tcMar>
              <w:left w:w="105" w:type="dxa"/>
              <w:right w:w="105" w:type="dxa"/>
            </w:tcMar>
          </w:tcPr>
          <w:p w14:paraId="0F558094">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vertAlign w:val="superscript"/>
              </w:rPr>
              <w:t>o</w:t>
            </w:r>
            <w:r>
              <w:rPr>
                <w:rFonts w:ascii="Times New Roman" w:hAnsi="Times New Roman" w:eastAsia="Times New Roman" w:cs="Times New Roman"/>
                <w:sz w:val="24"/>
                <w:szCs w:val="24"/>
              </w:rPr>
              <w:t>C</w:t>
            </w:r>
          </w:p>
        </w:tc>
        <w:tc>
          <w:tcPr>
            <w:tcW w:w="1245" w:type="dxa"/>
            <w:tcMar>
              <w:left w:w="105" w:type="dxa"/>
              <w:right w:w="105" w:type="dxa"/>
            </w:tcMar>
            <w:vAlign w:val="center"/>
          </w:tcPr>
          <w:p w14:paraId="73BF4FD6">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26 - 29</w:t>
            </w:r>
          </w:p>
        </w:tc>
        <w:tc>
          <w:tcPr>
            <w:tcW w:w="1095" w:type="dxa"/>
            <w:tcMar>
              <w:left w:w="105" w:type="dxa"/>
              <w:right w:w="105" w:type="dxa"/>
            </w:tcMar>
          </w:tcPr>
          <w:p w14:paraId="11CBA40A">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26 - 29 </w:t>
            </w:r>
          </w:p>
        </w:tc>
        <w:tc>
          <w:tcPr>
            <w:tcW w:w="1125" w:type="dxa"/>
            <w:tcMar>
              <w:left w:w="105" w:type="dxa"/>
              <w:right w:w="105" w:type="dxa"/>
            </w:tcMar>
          </w:tcPr>
          <w:p w14:paraId="2649CF9A">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26 - 29 </w:t>
            </w:r>
          </w:p>
        </w:tc>
        <w:tc>
          <w:tcPr>
            <w:tcW w:w="1140" w:type="dxa"/>
            <w:tcMar>
              <w:left w:w="105" w:type="dxa"/>
              <w:right w:w="105" w:type="dxa"/>
            </w:tcMar>
          </w:tcPr>
          <w:p w14:paraId="761D7FEC">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26 - 29 </w:t>
            </w:r>
          </w:p>
        </w:tc>
        <w:tc>
          <w:tcPr>
            <w:tcW w:w="1905" w:type="dxa"/>
            <w:tcMar>
              <w:left w:w="105" w:type="dxa"/>
              <w:right w:w="105" w:type="dxa"/>
            </w:tcMar>
            <w:vAlign w:val="center"/>
          </w:tcPr>
          <w:p w14:paraId="2FE98621">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 – 32</w:t>
            </w:r>
          </w:p>
        </w:tc>
      </w:tr>
      <w:tr w14:paraId="185AA879">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51" w:type="dxa"/>
            <w:tcBorders>
              <w:top w:val="single" w:color="7E7E7E" w:themeColor="text1" w:themeTint="80" w:sz="4" w:space="0"/>
              <w:bottom w:val="single" w:color="7E7E7E" w:themeColor="text1" w:themeTint="80" w:sz="4" w:space="0"/>
            </w:tcBorders>
            <w:tcMar>
              <w:left w:w="105" w:type="dxa"/>
              <w:right w:w="105" w:type="dxa"/>
            </w:tcMar>
          </w:tcPr>
          <w:p w14:paraId="6E92EDFC">
            <w:pPr>
              <w:spacing w:after="0" w:line="23" w:lineRule="atLeast"/>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Salinitas</w:t>
            </w:r>
          </w:p>
        </w:tc>
        <w:tc>
          <w:tcPr>
            <w:tcW w:w="1080" w:type="dxa"/>
            <w:tcBorders>
              <w:top w:val="single" w:color="7E7E7E" w:themeColor="text1" w:themeTint="80" w:sz="4" w:space="0"/>
              <w:bottom w:val="single" w:color="7E7E7E" w:themeColor="text1" w:themeTint="80" w:sz="4" w:space="0"/>
            </w:tcBorders>
            <w:tcMar>
              <w:left w:w="105" w:type="dxa"/>
              <w:right w:w="105" w:type="dxa"/>
            </w:tcMar>
          </w:tcPr>
          <w:p w14:paraId="3237D641">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ppt</w:t>
            </w:r>
          </w:p>
        </w:tc>
        <w:tc>
          <w:tcPr>
            <w:tcW w:w="1245" w:type="dxa"/>
            <w:tcBorders>
              <w:top w:val="single" w:color="7E7E7E" w:themeColor="text1" w:themeTint="80" w:sz="4" w:space="0"/>
              <w:bottom w:val="single" w:color="7E7E7E" w:themeColor="text1" w:themeTint="80" w:sz="4" w:space="0"/>
            </w:tcBorders>
            <w:tcMar>
              <w:left w:w="105" w:type="dxa"/>
              <w:right w:w="105" w:type="dxa"/>
            </w:tcMar>
            <w:vAlign w:val="center"/>
          </w:tcPr>
          <w:p w14:paraId="03B6EACE">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35 - 37</w:t>
            </w:r>
          </w:p>
        </w:tc>
        <w:tc>
          <w:tcPr>
            <w:tcW w:w="1095" w:type="dxa"/>
            <w:tcBorders>
              <w:top w:val="single" w:color="7E7E7E" w:themeColor="text1" w:themeTint="80" w:sz="4" w:space="0"/>
              <w:bottom w:val="single" w:color="7E7E7E" w:themeColor="text1" w:themeTint="80" w:sz="4" w:space="0"/>
            </w:tcBorders>
            <w:tcMar>
              <w:left w:w="105" w:type="dxa"/>
              <w:right w:w="105" w:type="dxa"/>
            </w:tcMar>
          </w:tcPr>
          <w:p w14:paraId="50213AB7">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35 - 37</w:t>
            </w:r>
          </w:p>
        </w:tc>
        <w:tc>
          <w:tcPr>
            <w:tcW w:w="1125" w:type="dxa"/>
            <w:tcBorders>
              <w:top w:val="single" w:color="7E7E7E" w:themeColor="text1" w:themeTint="80" w:sz="4" w:space="0"/>
              <w:bottom w:val="single" w:color="7E7E7E" w:themeColor="text1" w:themeTint="80" w:sz="4" w:space="0"/>
            </w:tcBorders>
            <w:tcMar>
              <w:left w:w="105" w:type="dxa"/>
              <w:right w:w="105" w:type="dxa"/>
            </w:tcMar>
          </w:tcPr>
          <w:p w14:paraId="5A598110">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35 - 37</w:t>
            </w:r>
          </w:p>
        </w:tc>
        <w:tc>
          <w:tcPr>
            <w:tcW w:w="1140" w:type="dxa"/>
            <w:tcBorders>
              <w:top w:val="single" w:color="7E7E7E" w:themeColor="text1" w:themeTint="80" w:sz="4" w:space="0"/>
              <w:bottom w:val="single" w:color="7E7E7E" w:themeColor="text1" w:themeTint="80" w:sz="4" w:space="0"/>
            </w:tcBorders>
            <w:tcMar>
              <w:left w:w="105" w:type="dxa"/>
              <w:right w:w="105" w:type="dxa"/>
            </w:tcMar>
          </w:tcPr>
          <w:p w14:paraId="325E8144">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35 - 37</w:t>
            </w:r>
          </w:p>
        </w:tc>
        <w:tc>
          <w:tcPr>
            <w:tcW w:w="1905" w:type="dxa"/>
            <w:tcBorders>
              <w:top w:val="single" w:color="7E7E7E" w:themeColor="text1" w:themeTint="80" w:sz="4" w:space="0"/>
              <w:bottom w:val="single" w:color="7E7E7E" w:themeColor="text1" w:themeTint="80" w:sz="4" w:space="0"/>
            </w:tcBorders>
            <w:tcMar>
              <w:left w:w="105" w:type="dxa"/>
              <w:right w:w="105" w:type="dxa"/>
            </w:tcMar>
            <w:vAlign w:val="center"/>
          </w:tcPr>
          <w:p w14:paraId="4A27680E">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31 - 41 </w:t>
            </w:r>
          </w:p>
        </w:tc>
      </w:tr>
      <w:tr w14:paraId="07F5C5DF">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51" w:type="dxa"/>
            <w:tcMar>
              <w:left w:w="105" w:type="dxa"/>
              <w:right w:w="105" w:type="dxa"/>
            </w:tcMar>
          </w:tcPr>
          <w:p w14:paraId="7B10744D">
            <w:pPr>
              <w:spacing w:after="0" w:line="23" w:lineRule="atLeast"/>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pH</w:t>
            </w:r>
          </w:p>
        </w:tc>
        <w:tc>
          <w:tcPr>
            <w:tcW w:w="1080" w:type="dxa"/>
            <w:tcMar>
              <w:left w:w="105" w:type="dxa"/>
              <w:right w:w="105" w:type="dxa"/>
            </w:tcMar>
          </w:tcPr>
          <w:p w14:paraId="45FF68B0">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45" w:type="dxa"/>
            <w:tcMar>
              <w:left w:w="105" w:type="dxa"/>
              <w:right w:w="105" w:type="dxa"/>
            </w:tcMar>
            <w:vAlign w:val="center"/>
          </w:tcPr>
          <w:p w14:paraId="251367CD">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7,5 - 8,3</w:t>
            </w:r>
          </w:p>
        </w:tc>
        <w:tc>
          <w:tcPr>
            <w:tcW w:w="1095" w:type="dxa"/>
            <w:tcMar>
              <w:left w:w="105" w:type="dxa"/>
              <w:right w:w="105" w:type="dxa"/>
            </w:tcMar>
          </w:tcPr>
          <w:p w14:paraId="59873280">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7,5 - 8,3</w:t>
            </w:r>
          </w:p>
        </w:tc>
        <w:tc>
          <w:tcPr>
            <w:tcW w:w="1125" w:type="dxa"/>
            <w:tcMar>
              <w:left w:w="105" w:type="dxa"/>
              <w:right w:w="105" w:type="dxa"/>
            </w:tcMar>
          </w:tcPr>
          <w:p w14:paraId="24C10387">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7,5 - 8,3</w:t>
            </w:r>
          </w:p>
        </w:tc>
        <w:tc>
          <w:tcPr>
            <w:tcW w:w="1140" w:type="dxa"/>
            <w:tcMar>
              <w:left w:w="105" w:type="dxa"/>
              <w:right w:w="105" w:type="dxa"/>
            </w:tcMar>
          </w:tcPr>
          <w:p w14:paraId="73760DA3">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7,5 - 8,3</w:t>
            </w:r>
          </w:p>
        </w:tc>
        <w:tc>
          <w:tcPr>
            <w:tcW w:w="1905" w:type="dxa"/>
            <w:tcMar>
              <w:left w:w="105" w:type="dxa"/>
              <w:right w:w="105" w:type="dxa"/>
            </w:tcMar>
            <w:vAlign w:val="center"/>
          </w:tcPr>
          <w:p w14:paraId="02C11039">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6,5 - 9,0 </w:t>
            </w:r>
          </w:p>
        </w:tc>
      </w:tr>
      <w:tr w14:paraId="49AEB922">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51" w:type="dxa"/>
            <w:tcBorders>
              <w:top w:val="single" w:color="7E7E7E" w:themeColor="text1" w:themeTint="80" w:sz="4" w:space="0"/>
              <w:bottom w:val="single" w:color="7E7E7E" w:themeColor="text1" w:themeTint="80" w:sz="4" w:space="0"/>
            </w:tcBorders>
            <w:tcMar>
              <w:left w:w="105" w:type="dxa"/>
              <w:right w:w="105" w:type="dxa"/>
            </w:tcMar>
          </w:tcPr>
          <w:p w14:paraId="6528584E">
            <w:pPr>
              <w:spacing w:after="0" w:line="23" w:lineRule="atLeast"/>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 xml:space="preserve">DO </w:t>
            </w:r>
          </w:p>
        </w:tc>
        <w:tc>
          <w:tcPr>
            <w:tcW w:w="1080" w:type="dxa"/>
            <w:tcBorders>
              <w:top w:val="single" w:color="7E7E7E" w:themeColor="text1" w:themeTint="80" w:sz="4" w:space="0"/>
              <w:bottom w:val="single" w:color="7E7E7E" w:themeColor="text1" w:themeTint="80" w:sz="4" w:space="0"/>
            </w:tcBorders>
            <w:tcMar>
              <w:left w:w="105" w:type="dxa"/>
              <w:right w:w="105" w:type="dxa"/>
            </w:tcMar>
          </w:tcPr>
          <w:p w14:paraId="27233C35">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mg/L</w:t>
            </w:r>
          </w:p>
        </w:tc>
        <w:tc>
          <w:tcPr>
            <w:tcW w:w="1245" w:type="dxa"/>
            <w:tcBorders>
              <w:top w:val="single" w:color="7E7E7E" w:themeColor="text1" w:themeTint="80" w:sz="4" w:space="0"/>
              <w:bottom w:val="single" w:color="7E7E7E" w:themeColor="text1" w:themeTint="80" w:sz="4" w:space="0"/>
            </w:tcBorders>
            <w:tcMar>
              <w:left w:w="105" w:type="dxa"/>
              <w:right w:w="105" w:type="dxa"/>
            </w:tcMar>
            <w:vAlign w:val="center"/>
          </w:tcPr>
          <w:p w14:paraId="53A61CBC">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6 - 8 </w:t>
            </w:r>
          </w:p>
        </w:tc>
        <w:tc>
          <w:tcPr>
            <w:tcW w:w="1095" w:type="dxa"/>
            <w:tcBorders>
              <w:top w:val="single" w:color="7E7E7E" w:themeColor="text1" w:themeTint="80" w:sz="4" w:space="0"/>
              <w:bottom w:val="single" w:color="7E7E7E" w:themeColor="text1" w:themeTint="80" w:sz="4" w:space="0"/>
            </w:tcBorders>
            <w:tcMar>
              <w:left w:w="105" w:type="dxa"/>
              <w:right w:w="105" w:type="dxa"/>
            </w:tcMar>
          </w:tcPr>
          <w:p w14:paraId="073DD2E2">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6 - 8 </w:t>
            </w:r>
          </w:p>
        </w:tc>
        <w:tc>
          <w:tcPr>
            <w:tcW w:w="1125" w:type="dxa"/>
            <w:tcBorders>
              <w:top w:val="single" w:color="7E7E7E" w:themeColor="text1" w:themeTint="80" w:sz="4" w:space="0"/>
              <w:bottom w:val="single" w:color="7E7E7E" w:themeColor="text1" w:themeTint="80" w:sz="4" w:space="0"/>
            </w:tcBorders>
            <w:tcMar>
              <w:left w:w="105" w:type="dxa"/>
              <w:right w:w="105" w:type="dxa"/>
            </w:tcMar>
          </w:tcPr>
          <w:p w14:paraId="212A1EEE">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6 - 8 </w:t>
            </w:r>
          </w:p>
        </w:tc>
        <w:tc>
          <w:tcPr>
            <w:tcW w:w="1140" w:type="dxa"/>
            <w:tcBorders>
              <w:top w:val="single" w:color="7E7E7E" w:themeColor="text1" w:themeTint="80" w:sz="4" w:space="0"/>
              <w:bottom w:val="single" w:color="7E7E7E" w:themeColor="text1" w:themeTint="80" w:sz="4" w:space="0"/>
            </w:tcBorders>
            <w:tcMar>
              <w:left w:w="105" w:type="dxa"/>
              <w:right w:w="105" w:type="dxa"/>
            </w:tcMar>
          </w:tcPr>
          <w:p w14:paraId="2FB7C4B0">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6 - 8 </w:t>
            </w:r>
          </w:p>
        </w:tc>
        <w:tc>
          <w:tcPr>
            <w:tcW w:w="1905" w:type="dxa"/>
            <w:tcBorders>
              <w:top w:val="single" w:color="7E7E7E" w:themeColor="text1" w:themeTint="80" w:sz="4" w:space="0"/>
              <w:bottom w:val="single" w:color="7E7E7E" w:themeColor="text1" w:themeTint="80" w:sz="4" w:space="0"/>
            </w:tcBorders>
            <w:tcMar>
              <w:left w:w="105" w:type="dxa"/>
              <w:right w:w="105" w:type="dxa"/>
            </w:tcMar>
            <w:vAlign w:val="center"/>
          </w:tcPr>
          <w:p w14:paraId="222AFC46">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5 - 9,5</w:t>
            </w:r>
          </w:p>
        </w:tc>
      </w:tr>
      <w:tr w14:paraId="1F6EF335">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51" w:type="dxa"/>
            <w:tcMar>
              <w:left w:w="105" w:type="dxa"/>
              <w:right w:w="105" w:type="dxa"/>
            </w:tcMar>
          </w:tcPr>
          <w:p w14:paraId="1C2ACA4B">
            <w:pPr>
              <w:spacing w:after="0" w:line="23" w:lineRule="atLeast"/>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Ammonia (NH</w:t>
            </w:r>
            <w:r>
              <w:rPr>
                <w:rFonts w:ascii="Times New Roman" w:hAnsi="Times New Roman" w:eastAsia="Times New Roman" w:cs="Times New Roman"/>
                <w:b w:val="0"/>
                <w:bCs w:val="0"/>
                <w:sz w:val="24"/>
                <w:szCs w:val="24"/>
                <w:vertAlign w:val="subscript"/>
              </w:rPr>
              <w:t>3</w:t>
            </w:r>
            <w:r>
              <w:rPr>
                <w:rFonts w:ascii="Times New Roman" w:hAnsi="Times New Roman" w:eastAsia="Times New Roman" w:cs="Times New Roman"/>
                <w:b w:val="0"/>
                <w:bCs w:val="0"/>
                <w:sz w:val="24"/>
                <w:szCs w:val="24"/>
              </w:rPr>
              <w:t>)</w:t>
            </w:r>
          </w:p>
        </w:tc>
        <w:tc>
          <w:tcPr>
            <w:tcW w:w="1080" w:type="dxa"/>
            <w:tcMar>
              <w:left w:w="105" w:type="dxa"/>
              <w:right w:w="105" w:type="dxa"/>
            </w:tcMar>
          </w:tcPr>
          <w:p w14:paraId="15B5D963">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mg/L</w:t>
            </w:r>
          </w:p>
        </w:tc>
        <w:tc>
          <w:tcPr>
            <w:tcW w:w="1245" w:type="dxa"/>
            <w:tcMar>
              <w:left w:w="105" w:type="dxa"/>
              <w:right w:w="105" w:type="dxa"/>
            </w:tcMar>
            <w:vAlign w:val="center"/>
          </w:tcPr>
          <w:p w14:paraId="4CDC757E">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0,01 - 0,1 </w:t>
            </w:r>
          </w:p>
        </w:tc>
        <w:tc>
          <w:tcPr>
            <w:tcW w:w="1095" w:type="dxa"/>
            <w:tcMar>
              <w:left w:w="105" w:type="dxa"/>
              <w:right w:w="105" w:type="dxa"/>
            </w:tcMar>
            <w:vAlign w:val="center"/>
          </w:tcPr>
          <w:p w14:paraId="193F7E2C">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0,01 - 0,1</w:t>
            </w:r>
          </w:p>
        </w:tc>
        <w:tc>
          <w:tcPr>
            <w:tcW w:w="1125" w:type="dxa"/>
            <w:tcMar>
              <w:left w:w="105" w:type="dxa"/>
              <w:right w:w="105" w:type="dxa"/>
            </w:tcMar>
            <w:vAlign w:val="center"/>
          </w:tcPr>
          <w:p w14:paraId="1B2C469B">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0,01 - 0,1</w:t>
            </w:r>
          </w:p>
        </w:tc>
        <w:tc>
          <w:tcPr>
            <w:tcW w:w="1140" w:type="dxa"/>
            <w:tcMar>
              <w:left w:w="105" w:type="dxa"/>
              <w:right w:w="105" w:type="dxa"/>
            </w:tcMar>
            <w:vAlign w:val="center"/>
          </w:tcPr>
          <w:p w14:paraId="3508FDD4">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0,01 - 0,1</w:t>
            </w:r>
          </w:p>
        </w:tc>
        <w:tc>
          <w:tcPr>
            <w:tcW w:w="1905" w:type="dxa"/>
            <w:tcMar>
              <w:left w:w="105" w:type="dxa"/>
              <w:right w:w="105" w:type="dxa"/>
            </w:tcMar>
            <w:vAlign w:val="center"/>
          </w:tcPr>
          <w:p w14:paraId="5D5D191A">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5AF06397">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51" w:type="dxa"/>
            <w:tcBorders>
              <w:top w:val="single" w:color="7E7E7E" w:themeColor="text1" w:themeTint="80" w:sz="4" w:space="0"/>
              <w:bottom w:val="single" w:color="7E7E7E" w:themeColor="text1" w:themeTint="80" w:sz="4" w:space="0"/>
            </w:tcBorders>
            <w:tcMar>
              <w:left w:w="105" w:type="dxa"/>
              <w:right w:w="105" w:type="dxa"/>
            </w:tcMar>
          </w:tcPr>
          <w:p w14:paraId="76E4643C">
            <w:pPr>
              <w:spacing w:after="0" w:line="23" w:lineRule="atLeast"/>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 xml:space="preserve">Nitrit </w:t>
            </w:r>
          </w:p>
          <w:p w14:paraId="04493900">
            <w:pPr>
              <w:spacing w:after="0" w:line="23" w:lineRule="atLeast"/>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(NO</w:t>
            </w:r>
            <w:r>
              <w:rPr>
                <w:rFonts w:ascii="Times New Roman" w:hAnsi="Times New Roman" w:eastAsia="Times New Roman" w:cs="Times New Roman"/>
                <w:b w:val="0"/>
                <w:bCs w:val="0"/>
                <w:sz w:val="24"/>
                <w:szCs w:val="24"/>
                <w:vertAlign w:val="subscript"/>
              </w:rPr>
              <w:t>2</w:t>
            </w:r>
            <w:r>
              <w:rPr>
                <w:rFonts w:ascii="Times New Roman" w:hAnsi="Times New Roman" w:eastAsia="Times New Roman" w:cs="Times New Roman"/>
                <w:b w:val="0"/>
                <w:bCs w:val="0"/>
                <w:sz w:val="24"/>
                <w:szCs w:val="24"/>
                <w:vertAlign w:val="superscript"/>
              </w:rPr>
              <w:t>-</w:t>
            </w:r>
            <w:r>
              <w:rPr>
                <w:rFonts w:ascii="Times New Roman" w:hAnsi="Times New Roman" w:eastAsia="Times New Roman" w:cs="Times New Roman"/>
                <w:b w:val="0"/>
                <w:bCs w:val="0"/>
                <w:sz w:val="24"/>
                <w:szCs w:val="24"/>
              </w:rPr>
              <w:t>)</w:t>
            </w:r>
          </w:p>
        </w:tc>
        <w:tc>
          <w:tcPr>
            <w:tcW w:w="1080" w:type="dxa"/>
            <w:tcBorders>
              <w:top w:val="single" w:color="7E7E7E" w:themeColor="text1" w:themeTint="80" w:sz="4" w:space="0"/>
              <w:bottom w:val="single" w:color="7E7E7E" w:themeColor="text1" w:themeTint="80" w:sz="4" w:space="0"/>
            </w:tcBorders>
            <w:tcMar>
              <w:left w:w="105" w:type="dxa"/>
              <w:right w:w="105" w:type="dxa"/>
            </w:tcMar>
          </w:tcPr>
          <w:p w14:paraId="5AA794D4">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mg/L</w:t>
            </w:r>
          </w:p>
        </w:tc>
        <w:tc>
          <w:tcPr>
            <w:tcW w:w="1245" w:type="dxa"/>
            <w:tcBorders>
              <w:top w:val="single" w:color="7E7E7E" w:themeColor="text1" w:themeTint="80" w:sz="4" w:space="0"/>
              <w:bottom w:val="single" w:color="7E7E7E" w:themeColor="text1" w:themeTint="80" w:sz="4" w:space="0"/>
            </w:tcBorders>
            <w:tcMar>
              <w:left w:w="105" w:type="dxa"/>
              <w:right w:w="105" w:type="dxa"/>
            </w:tcMar>
            <w:vAlign w:val="center"/>
          </w:tcPr>
          <w:p w14:paraId="27F78A11">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0,012 - 0,015</w:t>
            </w:r>
          </w:p>
        </w:tc>
        <w:tc>
          <w:tcPr>
            <w:tcW w:w="1095" w:type="dxa"/>
            <w:tcBorders>
              <w:top w:val="single" w:color="7E7E7E" w:themeColor="text1" w:themeTint="80" w:sz="4" w:space="0"/>
              <w:bottom w:val="single" w:color="7E7E7E" w:themeColor="text1" w:themeTint="80" w:sz="4" w:space="0"/>
            </w:tcBorders>
            <w:tcMar>
              <w:left w:w="105" w:type="dxa"/>
              <w:right w:w="105" w:type="dxa"/>
            </w:tcMar>
            <w:vAlign w:val="center"/>
          </w:tcPr>
          <w:p w14:paraId="515F64D2">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0,012 - 0,015</w:t>
            </w:r>
          </w:p>
        </w:tc>
        <w:tc>
          <w:tcPr>
            <w:tcW w:w="1125" w:type="dxa"/>
            <w:tcBorders>
              <w:top w:val="single" w:color="7E7E7E" w:themeColor="text1" w:themeTint="80" w:sz="4" w:space="0"/>
              <w:bottom w:val="single" w:color="7E7E7E" w:themeColor="text1" w:themeTint="80" w:sz="4" w:space="0"/>
            </w:tcBorders>
            <w:tcMar>
              <w:left w:w="105" w:type="dxa"/>
              <w:right w:w="105" w:type="dxa"/>
            </w:tcMar>
          </w:tcPr>
          <w:p w14:paraId="29173F03">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0,012 - 0,015</w:t>
            </w:r>
          </w:p>
        </w:tc>
        <w:tc>
          <w:tcPr>
            <w:tcW w:w="1140" w:type="dxa"/>
            <w:tcBorders>
              <w:top w:val="single" w:color="7E7E7E" w:themeColor="text1" w:themeTint="80" w:sz="4" w:space="0"/>
              <w:bottom w:val="single" w:color="7E7E7E" w:themeColor="text1" w:themeTint="80" w:sz="4" w:space="0"/>
            </w:tcBorders>
            <w:tcMar>
              <w:left w:w="105" w:type="dxa"/>
              <w:right w:w="105" w:type="dxa"/>
            </w:tcMar>
          </w:tcPr>
          <w:p w14:paraId="131F8BF1">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0,012 - 0,015</w:t>
            </w:r>
          </w:p>
        </w:tc>
        <w:tc>
          <w:tcPr>
            <w:tcW w:w="1905" w:type="dxa"/>
            <w:tcBorders>
              <w:top w:val="single" w:color="7E7E7E" w:themeColor="text1" w:themeTint="80" w:sz="4" w:space="0"/>
              <w:bottom w:val="single" w:color="7E7E7E" w:themeColor="text1" w:themeTint="80" w:sz="4" w:space="0"/>
            </w:tcBorders>
            <w:tcMar>
              <w:left w:w="105" w:type="dxa"/>
              <w:right w:w="105" w:type="dxa"/>
            </w:tcMar>
            <w:vAlign w:val="center"/>
          </w:tcPr>
          <w:p w14:paraId="2C1FB26F">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62E09823">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51" w:type="dxa"/>
            <w:tcMar>
              <w:left w:w="105" w:type="dxa"/>
              <w:right w:w="105" w:type="dxa"/>
            </w:tcMar>
          </w:tcPr>
          <w:p w14:paraId="3C90CD82">
            <w:pPr>
              <w:spacing w:after="0" w:line="23" w:lineRule="atLeast"/>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 xml:space="preserve">Nitrat </w:t>
            </w:r>
          </w:p>
          <w:p w14:paraId="54FE73E0">
            <w:pPr>
              <w:spacing w:after="0" w:line="23" w:lineRule="atLeast"/>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(NO</w:t>
            </w:r>
            <w:r>
              <w:rPr>
                <w:rFonts w:ascii="Times New Roman" w:hAnsi="Times New Roman" w:eastAsia="Times New Roman" w:cs="Times New Roman"/>
                <w:b w:val="0"/>
                <w:bCs w:val="0"/>
                <w:sz w:val="24"/>
                <w:szCs w:val="24"/>
                <w:vertAlign w:val="subscript"/>
              </w:rPr>
              <w:t>3</w:t>
            </w:r>
            <w:r>
              <w:rPr>
                <w:rFonts w:ascii="Times New Roman" w:hAnsi="Times New Roman" w:eastAsia="Times New Roman" w:cs="Times New Roman"/>
                <w:b w:val="0"/>
                <w:bCs w:val="0"/>
                <w:sz w:val="24"/>
                <w:szCs w:val="24"/>
                <w:vertAlign w:val="superscript"/>
              </w:rPr>
              <w:t>-</w:t>
            </w:r>
            <w:r>
              <w:rPr>
                <w:rFonts w:ascii="Times New Roman" w:hAnsi="Times New Roman" w:eastAsia="Times New Roman" w:cs="Times New Roman"/>
                <w:b w:val="0"/>
                <w:bCs w:val="0"/>
                <w:sz w:val="24"/>
                <w:szCs w:val="24"/>
              </w:rPr>
              <w:t>)</w:t>
            </w:r>
          </w:p>
        </w:tc>
        <w:tc>
          <w:tcPr>
            <w:tcW w:w="1080" w:type="dxa"/>
            <w:tcMar>
              <w:left w:w="105" w:type="dxa"/>
              <w:right w:w="105" w:type="dxa"/>
            </w:tcMar>
          </w:tcPr>
          <w:p w14:paraId="5F7E5149">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mg/L</w:t>
            </w:r>
          </w:p>
        </w:tc>
        <w:tc>
          <w:tcPr>
            <w:tcW w:w="1245" w:type="dxa"/>
            <w:tcMar>
              <w:left w:w="105" w:type="dxa"/>
              <w:right w:w="105" w:type="dxa"/>
            </w:tcMar>
            <w:vAlign w:val="center"/>
          </w:tcPr>
          <w:p w14:paraId="7360911A">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0,01 - 0,06</w:t>
            </w:r>
          </w:p>
        </w:tc>
        <w:tc>
          <w:tcPr>
            <w:tcW w:w="1095" w:type="dxa"/>
            <w:tcMar>
              <w:left w:w="105" w:type="dxa"/>
              <w:right w:w="105" w:type="dxa"/>
            </w:tcMar>
            <w:vAlign w:val="center"/>
          </w:tcPr>
          <w:p w14:paraId="0AF823DF">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0,01 - 0,06</w:t>
            </w:r>
          </w:p>
        </w:tc>
        <w:tc>
          <w:tcPr>
            <w:tcW w:w="1125" w:type="dxa"/>
            <w:tcMar>
              <w:left w:w="105" w:type="dxa"/>
              <w:right w:w="105" w:type="dxa"/>
            </w:tcMar>
            <w:vAlign w:val="center"/>
          </w:tcPr>
          <w:p w14:paraId="28CC717F">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0,01 - 0,06</w:t>
            </w:r>
          </w:p>
        </w:tc>
        <w:tc>
          <w:tcPr>
            <w:tcW w:w="1140" w:type="dxa"/>
            <w:tcMar>
              <w:left w:w="105" w:type="dxa"/>
              <w:right w:w="105" w:type="dxa"/>
            </w:tcMar>
            <w:vAlign w:val="center"/>
          </w:tcPr>
          <w:p w14:paraId="0732B678">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0,01 - 0,06</w:t>
            </w:r>
          </w:p>
        </w:tc>
        <w:tc>
          <w:tcPr>
            <w:tcW w:w="1905" w:type="dxa"/>
            <w:tcMar>
              <w:left w:w="105" w:type="dxa"/>
              <w:right w:w="105" w:type="dxa"/>
            </w:tcMar>
            <w:vAlign w:val="center"/>
          </w:tcPr>
          <w:p w14:paraId="40C60D2D">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4375660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51" w:type="dxa"/>
            <w:tcBorders>
              <w:top w:val="single" w:color="7E7E7E" w:themeColor="text1" w:themeTint="80" w:sz="4" w:space="0"/>
              <w:bottom w:val="single" w:color="7E7E7E" w:themeColor="text1" w:themeTint="80" w:sz="4" w:space="0"/>
            </w:tcBorders>
            <w:tcMar>
              <w:left w:w="105" w:type="dxa"/>
              <w:right w:w="105" w:type="dxa"/>
            </w:tcMar>
          </w:tcPr>
          <w:p w14:paraId="138166B9">
            <w:pPr>
              <w:spacing w:after="0" w:line="23" w:lineRule="atLeast"/>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Fosfat (PO</w:t>
            </w:r>
            <w:r>
              <w:rPr>
                <w:rFonts w:ascii="Times New Roman" w:hAnsi="Times New Roman" w:eastAsia="Times New Roman" w:cs="Times New Roman"/>
                <w:b w:val="0"/>
                <w:bCs w:val="0"/>
                <w:sz w:val="24"/>
                <w:szCs w:val="24"/>
                <w:vertAlign w:val="subscript"/>
              </w:rPr>
              <w:t>4</w:t>
            </w:r>
            <w:r>
              <w:rPr>
                <w:rFonts w:ascii="Times New Roman" w:hAnsi="Times New Roman" w:eastAsia="Times New Roman" w:cs="Times New Roman"/>
                <w:b w:val="0"/>
                <w:bCs w:val="0"/>
                <w:sz w:val="24"/>
                <w:szCs w:val="24"/>
              </w:rPr>
              <w:t>)</w:t>
            </w:r>
          </w:p>
        </w:tc>
        <w:tc>
          <w:tcPr>
            <w:tcW w:w="1080" w:type="dxa"/>
            <w:tcBorders>
              <w:top w:val="single" w:color="7E7E7E" w:themeColor="text1" w:themeTint="80" w:sz="4" w:space="0"/>
              <w:bottom w:val="single" w:color="7E7E7E" w:themeColor="text1" w:themeTint="80" w:sz="4" w:space="0"/>
            </w:tcBorders>
            <w:tcMar>
              <w:left w:w="105" w:type="dxa"/>
              <w:right w:w="105" w:type="dxa"/>
            </w:tcMar>
          </w:tcPr>
          <w:p w14:paraId="7A76EB5D">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mg/L</w:t>
            </w:r>
          </w:p>
        </w:tc>
        <w:tc>
          <w:tcPr>
            <w:tcW w:w="1245" w:type="dxa"/>
            <w:tcBorders>
              <w:top w:val="single" w:color="7E7E7E" w:themeColor="text1" w:themeTint="80" w:sz="4" w:space="0"/>
              <w:bottom w:val="single" w:color="7E7E7E" w:themeColor="text1" w:themeTint="80" w:sz="4" w:space="0"/>
            </w:tcBorders>
            <w:tcMar>
              <w:left w:w="105" w:type="dxa"/>
              <w:right w:w="105" w:type="dxa"/>
            </w:tcMar>
          </w:tcPr>
          <w:p w14:paraId="6F955D06">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0,05 - 0,13</w:t>
            </w:r>
          </w:p>
        </w:tc>
        <w:tc>
          <w:tcPr>
            <w:tcW w:w="1095" w:type="dxa"/>
            <w:tcBorders>
              <w:top w:val="single" w:color="7E7E7E" w:themeColor="text1" w:themeTint="80" w:sz="4" w:space="0"/>
              <w:bottom w:val="single" w:color="7E7E7E" w:themeColor="text1" w:themeTint="80" w:sz="4" w:space="0"/>
            </w:tcBorders>
            <w:tcMar>
              <w:left w:w="105" w:type="dxa"/>
              <w:right w:w="105" w:type="dxa"/>
            </w:tcMar>
          </w:tcPr>
          <w:p w14:paraId="7F79D9CA">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0,05 - 0,13</w:t>
            </w:r>
          </w:p>
        </w:tc>
        <w:tc>
          <w:tcPr>
            <w:tcW w:w="1125" w:type="dxa"/>
            <w:tcBorders>
              <w:top w:val="single" w:color="7E7E7E" w:themeColor="text1" w:themeTint="80" w:sz="4" w:space="0"/>
              <w:bottom w:val="single" w:color="7E7E7E" w:themeColor="text1" w:themeTint="80" w:sz="4" w:space="0"/>
            </w:tcBorders>
            <w:tcMar>
              <w:left w:w="105" w:type="dxa"/>
              <w:right w:w="105" w:type="dxa"/>
            </w:tcMar>
          </w:tcPr>
          <w:p w14:paraId="51741E8B">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0,05 - 0,13</w:t>
            </w:r>
          </w:p>
        </w:tc>
        <w:tc>
          <w:tcPr>
            <w:tcW w:w="1140" w:type="dxa"/>
            <w:tcBorders>
              <w:top w:val="single" w:color="7E7E7E" w:themeColor="text1" w:themeTint="80" w:sz="4" w:space="0"/>
              <w:bottom w:val="single" w:color="7E7E7E" w:themeColor="text1" w:themeTint="80" w:sz="4" w:space="0"/>
            </w:tcBorders>
            <w:tcMar>
              <w:left w:w="105" w:type="dxa"/>
              <w:right w:w="105" w:type="dxa"/>
            </w:tcMar>
            <w:vAlign w:val="center"/>
          </w:tcPr>
          <w:p w14:paraId="182C66B9">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0,05 - 0,13</w:t>
            </w:r>
          </w:p>
        </w:tc>
        <w:tc>
          <w:tcPr>
            <w:tcW w:w="1905" w:type="dxa"/>
            <w:tcBorders>
              <w:top w:val="single" w:color="7E7E7E" w:themeColor="text1" w:themeTint="80" w:sz="4" w:space="0"/>
              <w:bottom w:val="single" w:color="7E7E7E" w:themeColor="text1" w:themeTint="80" w:sz="4" w:space="0"/>
            </w:tcBorders>
            <w:tcMar>
              <w:left w:w="105" w:type="dxa"/>
              <w:right w:w="105" w:type="dxa"/>
            </w:tcMar>
            <w:vAlign w:val="center"/>
          </w:tcPr>
          <w:p w14:paraId="616864A8">
            <w:pPr>
              <w:spacing w:after="0" w:line="23"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bl>
    <w:p w14:paraId="0441AA02">
      <w:pPr>
        <w:spacing w:after="0" w:line="23" w:lineRule="atLeast"/>
        <w:ind w:firstLine="720"/>
        <w:jc w:val="both"/>
        <w:rPr>
          <w:rFonts w:ascii="Times New Roman" w:hAnsi="Times New Roman" w:eastAsia="Times New Roman" w:cs="Times New Roman"/>
          <w:color w:val="000000" w:themeColor="text1"/>
          <w:sz w:val="24"/>
          <w:szCs w:val="24"/>
          <w14:textFill>
            <w14:solidFill>
              <w14:schemeClr w14:val="tx1"/>
            </w14:solidFill>
          </w14:textFill>
        </w:rPr>
      </w:pPr>
    </w:p>
    <w:p w14:paraId="42E63385">
      <w:pPr>
        <w:spacing w:after="0" w:line="23" w:lineRule="atLeast"/>
        <w:ind w:firstLine="44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Kualitas air yang baik sangat menentukan keberhasilan kegiatan budidaya, karena benih ikan bawal bintang akan bertumbuh dengan baik dalam lingkungan yang optimal </w:t>
      </w:r>
      <w:r>
        <w:rPr>
          <w:rFonts w:ascii="Times New Roman" w:hAnsi="Times New Roman" w:eastAsia="Times New Roman" w:cs="Times New Roman"/>
          <w:bCs/>
          <w:sz w:val="24"/>
          <w:szCs w:val="24"/>
        </w:rPr>
        <w:fldChar w:fldCharType="begin" w:fldLock="1"/>
      </w:r>
      <w:r>
        <w:rPr>
          <w:rFonts w:ascii="Times New Roman" w:hAnsi="Times New Roman" w:eastAsia="Times New Roman" w:cs="Times New Roman"/>
          <w:bCs/>
          <w:sz w:val="24"/>
          <w:szCs w:val="24"/>
        </w:rPr>
        <w:instrText xml:space="preserve">ADDIN CSL_CITATION {"citationItems":[{"id":"ITEM-1","itemData":{"DOI":"10.29303/jp.v14i3.872","ISSN":"2302-6049","abstract":"Bawal bintang merupakan ikan introduksi dari Taiwan dan memiliki prospek yang cukup bagus di Kawasan Asia Pasifik dengan harga yang cukup tinggi. Kegiatan Kerja Praktik Akhir (KPA) ini bertujuan untuk dilakukan Uji-t dan untuk mengetahui pengaruh kualitas air terhadap pertumbuhan dilakukan penghitungan koefisien korelasi (r hitung). Parameter kualitas air yang yang diamati meliputi suhu, pH, dan salinitas  Hasil Uji-t menunjukan bahwa t hitung (0,008) &lt; t tabel (     ), hal ini berarti tidak ada perbedaan yang signifikan antara kedua pola pertumbuhan panjang dan berat. Sedangkan hasil koefisien korelasi antara kualitas air dan pertumbuhan menunjukan bahwa tidak ada pengaruh yang nyata antara parameter kualitas air yang diamati terhadap pertumbuhan bawal bintang.","author":[{"dropping-particle":"","family":"Adi","given":"Catur","non-dropping-particle":"","parse-names":false,"suffix":""},{"dropping-particle":"","family":"Fauzan","given":"Muhamad","non-dropping-particle":"","parse-names":false,"suffix":""},{"dropping-particle":"","family":"Aripudin","given":"Aripudin","non-dropping-particle":"","parse-names":false,"suffix":""},{"dropping-particle":"","family":"Kristiany","given":"Maria Goreti Eny","non-dropping-particle":"","parse-names":false,"suffix":""}],"container-title":"Jurnal Perikanan Unram","id":"ITEM-1","issue":"3","issued":{"date-parts":[["2024","9","29"]]},"page":"1560-1566","publisher":"Universitas Mataram","title":"Korelasi Kualitas Air Pada Pertumbuhan Larva Ikan Bawal Bintang (Trachinotus Blochi) Di Balai Benih Ikan Laut (Bbil), Pulau Tidung Kepulauan Seribu","type":"article-journal","volume":"14"},"uris":["http://www.mendeley.com/documents/?uuid=b90ee01c-cf5e-3e2c-a1af-1b5141ba89b1"]}],"mendeley":{"formattedCitation":"(Adi et al. 2024)","manualFormatting":"(Adi dkk, 2024)","plainTextFormattedCitation":"(Adi et al. 2024)","previouslyFormattedCitation":"(Adi et al. 2024)"},"properties":{"noteIndex":0},"schema":"https://github.com/citation-style-language/schema/raw/master/csl-citation.json"}</w:instrText>
      </w:r>
      <w:r>
        <w:rPr>
          <w:rFonts w:ascii="Times New Roman" w:hAnsi="Times New Roman" w:eastAsia="Times New Roman" w:cs="Times New Roman"/>
          <w:bCs/>
          <w:sz w:val="24"/>
          <w:szCs w:val="24"/>
        </w:rPr>
        <w:fldChar w:fldCharType="separate"/>
      </w:r>
      <w:r>
        <w:rPr>
          <w:rFonts w:ascii="Times New Roman" w:hAnsi="Times New Roman" w:eastAsia="Times New Roman" w:cs="Times New Roman"/>
          <w:bCs/>
          <w:sz w:val="24"/>
          <w:szCs w:val="24"/>
        </w:rPr>
        <w:t xml:space="preserve">(Adi </w:t>
      </w:r>
      <w:r>
        <w:rPr>
          <w:rFonts w:ascii="Times New Roman" w:hAnsi="Times New Roman" w:eastAsia="Times New Roman" w:cs="Times New Roman"/>
          <w:bCs/>
          <w:i/>
          <w:sz w:val="24"/>
          <w:szCs w:val="24"/>
        </w:rPr>
        <w:t>dkk,</w:t>
      </w:r>
      <w:r>
        <w:rPr>
          <w:rFonts w:ascii="Times New Roman" w:hAnsi="Times New Roman" w:eastAsia="Times New Roman" w:cs="Times New Roman"/>
          <w:bCs/>
          <w:sz w:val="24"/>
          <w:szCs w:val="24"/>
        </w:rPr>
        <w:t xml:space="preserve"> 2024)</w:t>
      </w:r>
      <w:r>
        <w:rPr>
          <w:rFonts w:ascii="Times New Roman" w:hAnsi="Times New Roman" w:eastAsia="Times New Roman" w:cs="Times New Roman"/>
          <w:bCs/>
          <w:sz w:val="24"/>
          <w:szCs w:val="24"/>
        </w:rPr>
        <w:fldChar w:fldCharType="end"/>
      </w:r>
      <w:r>
        <w:rPr>
          <w:rFonts w:ascii="Times New Roman" w:hAnsi="Times New Roman" w:eastAsia="Times New Roman" w:cs="Times New Roman"/>
          <w:color w:val="000000" w:themeColor="text1"/>
          <w:sz w:val="24"/>
          <w:szCs w:val="24"/>
          <w14:textFill>
            <w14:solidFill>
              <w14:schemeClr w14:val="tx1"/>
            </w14:solidFill>
          </w14:textFill>
        </w:rPr>
        <w:t xml:space="preserve">. Berdasarkan </w:t>
      </w:r>
      <w:r>
        <w:rPr>
          <w:rFonts w:ascii="Times New Roman" w:hAnsi="Times New Roman" w:eastAsia="Times New Roman" w:cs="Times New Roman"/>
          <w:color w:val="000000" w:themeColor="text1"/>
          <w:sz w:val="24"/>
          <w:szCs w:val="24"/>
          <w14:textFill>
            <w14:solidFill>
              <w14:schemeClr w14:val="tx1"/>
            </w14:solidFill>
          </w14:textFill>
        </w:rPr>
        <w:fldChar w:fldCharType="begin" w:fldLock="1"/>
      </w:r>
      <w:r>
        <w:rPr>
          <w:rFonts w:ascii="Times New Roman" w:hAnsi="Times New Roman" w:eastAsia="Times New Roman" w:cs="Times New Roman"/>
          <w:color w:val="000000" w:themeColor="text1"/>
          <w:sz w:val="24"/>
          <w:szCs w:val="24"/>
          <w14:textFill>
            <w14:solidFill>
              <w14:schemeClr w14:val="tx1"/>
            </w14:solidFill>
          </w14:textFill>
        </w:rPr>
        <w:instrText xml:space="preserve">ADDIN CSL_CITATION {"citationItems":[{"id":"ITEM-1","itemData":{"author":[{"dropping-particle":"","family":"SNI 7901.4:2013","given":"","non-dropping-particle":"","parse-names":false,"suffix":""}],"container-title":"Ikan Bawal Bintang (Trachinotus blochii, Lacepede) - Bagian 4 : Produksi benih. Badan Standardisasi Nasional.","id":"ITEM-1","issued":{"date-parts":[["2013"]]},"title":"Ikan Bawal Bintang (Trachinotus blochii, Lacepede) - Bagian 4 : Produksi benih. Badan Standardisasi Nasional.","type":"article-journal"},"uris":["http://www.mendeley.com/documents/?uuid=4b9cc044-9c1b-4ad8-8085-887c658d15e0"]}],"mendeley":{"formattedCitation":"(SNI 7901.4:2013 2013)","manualFormatting":"SNI, (2013)","plainTextFormattedCitation":"(SNI 7901.4:2013 2013)","previouslyFormattedCitation":"(SNI 7901.4:2013 2013)"},"properties":{"noteIndex":0},"schema":"https://github.com/citation-style-language/schema/raw/master/csl-citation.json"}</w:instrText>
      </w:r>
      <w:r>
        <w:rPr>
          <w:rFonts w:ascii="Times New Roman" w:hAnsi="Times New Roman" w:eastAsia="Times New Roman" w:cs="Times New Roman"/>
          <w:color w:val="000000" w:themeColor="text1"/>
          <w:sz w:val="24"/>
          <w:szCs w:val="24"/>
          <w14:textFill>
            <w14:solidFill>
              <w14:schemeClr w14:val="tx1"/>
            </w14:solidFill>
          </w14:textFill>
        </w:rPr>
        <w:fldChar w:fldCharType="separate"/>
      </w:r>
      <w:r>
        <w:rPr>
          <w:rFonts w:ascii="Times New Roman" w:hAnsi="Times New Roman" w:eastAsia="Times New Roman" w:cs="Times New Roman"/>
          <w:color w:val="000000" w:themeColor="text1"/>
          <w:sz w:val="24"/>
          <w:szCs w:val="24"/>
          <w14:textFill>
            <w14:solidFill>
              <w14:schemeClr w14:val="tx1"/>
            </w14:solidFill>
          </w14:textFill>
        </w:rPr>
        <w:t>SNI, (2013)</w:t>
      </w:r>
      <w:r>
        <w:rPr>
          <w:rFonts w:ascii="Times New Roman" w:hAnsi="Times New Roman" w:eastAsia="Times New Roman" w:cs="Times New Roman"/>
          <w:color w:val="000000" w:themeColor="text1"/>
          <w:sz w:val="24"/>
          <w:szCs w:val="24"/>
          <w14:textFill>
            <w14:solidFill>
              <w14:schemeClr w14:val="tx1"/>
            </w14:solidFill>
          </w14:textFill>
        </w:rPr>
        <w:fldChar w:fldCharType="end"/>
      </w:r>
      <w:r>
        <w:rPr>
          <w:rFonts w:ascii="Times New Roman" w:hAnsi="Times New Roman" w:eastAsia="Times New Roman" w:cs="Times New Roman"/>
          <w:color w:val="000000" w:themeColor="text1"/>
          <w:sz w:val="24"/>
          <w:szCs w:val="24"/>
          <w14:textFill>
            <w14:solidFill>
              <w14:schemeClr w14:val="tx1"/>
            </w14:solidFill>
          </w14:textFill>
        </w:rPr>
        <w:t>, kualitas air yang optimal untuk pemeliharaan benih ikan bawal bintang yaitu, suhu di kisaran 28 – 32</w:t>
      </w:r>
      <w:r>
        <w:rPr>
          <w:rFonts w:ascii="Times New Roman" w:hAnsi="Times New Roman" w:eastAsia="Times New Roman" w:cs="Times New Roman"/>
          <w:color w:val="000000" w:themeColor="text1"/>
          <w:sz w:val="24"/>
          <w:szCs w:val="24"/>
          <w:vertAlign w:val="superscript"/>
          <w14:textFill>
            <w14:solidFill>
              <w14:schemeClr w14:val="tx1"/>
            </w14:solidFill>
          </w14:textFill>
        </w:rPr>
        <w:t>o</w:t>
      </w:r>
      <w:r>
        <w:rPr>
          <w:rFonts w:ascii="Times New Roman" w:hAnsi="Times New Roman" w:eastAsia="Times New Roman" w:cs="Times New Roman"/>
          <w:color w:val="000000" w:themeColor="text1"/>
          <w:sz w:val="24"/>
          <w:szCs w:val="24"/>
          <w14:textFill>
            <w14:solidFill>
              <w14:schemeClr w14:val="tx1"/>
            </w14:solidFill>
          </w14:textFill>
        </w:rPr>
        <w:t>C, salinitas di kisaran minimal 28 ppt, pH di kisaran 7,5 – 8,5 dan DO minimal 5, sedangkan kandungan TAN maksimal 1 mg/L, Nitrit (NO</w:t>
      </w:r>
      <w:r>
        <w:rPr>
          <w:rFonts w:ascii="Times New Roman" w:hAnsi="Times New Roman" w:eastAsia="Times New Roman" w:cs="Times New Roman"/>
          <w:color w:val="000000" w:themeColor="text1"/>
          <w:sz w:val="24"/>
          <w:szCs w:val="24"/>
          <w:vertAlign w:val="subscript"/>
          <w14:textFill>
            <w14:solidFill>
              <w14:schemeClr w14:val="tx1"/>
            </w14:solidFill>
          </w14:textFill>
        </w:rPr>
        <w:t>2</w:t>
      </w:r>
      <w:r>
        <w:rPr>
          <w:rFonts w:ascii="Times New Roman" w:hAnsi="Times New Roman" w:eastAsia="Times New Roman" w:cs="Times New Roman"/>
          <w:color w:val="000000" w:themeColor="text1"/>
          <w:sz w:val="24"/>
          <w:szCs w:val="24"/>
          <w:vertAlign w:val="superscript"/>
          <w14:textFill>
            <w14:solidFill>
              <w14:schemeClr w14:val="tx1"/>
            </w14:solidFill>
          </w14:textFill>
        </w:rPr>
        <w:t>-</w:t>
      </w:r>
      <w:r>
        <w:rPr>
          <w:rFonts w:ascii="Times New Roman" w:hAnsi="Times New Roman" w:eastAsia="Times New Roman" w:cs="Times New Roman"/>
          <w:color w:val="000000" w:themeColor="text1"/>
          <w:sz w:val="24"/>
          <w:szCs w:val="24"/>
          <w14:textFill>
            <w14:solidFill>
              <w14:schemeClr w14:val="tx1"/>
            </w14:solidFill>
          </w14:textFill>
        </w:rPr>
        <w:t xml:space="preserve">) maksimal 1 mg/L dan klorin (Cl) maksimal 0,8 mg/L. </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hasil uji kualitas air selama masa penelitian telah sesuai dengan </w:t>
      </w:r>
    </w:p>
    <w:p w14:paraId="4E123570">
      <w:pPr>
        <w:pStyle w:val="13"/>
        <w:spacing w:after="0" w:line="23" w:lineRule="atLeast"/>
        <w:ind w:left="0"/>
        <w:rPr>
          <w:rFonts w:ascii="Times New Roman" w:hAnsi="Times New Roman" w:eastAsia="Times New Roman" w:cs="Times New Roman"/>
          <w:b/>
          <w:bCs/>
          <w:color w:val="000000" w:themeColor="text1"/>
          <w:sz w:val="24"/>
          <w:szCs w:val="24"/>
          <w14:textFill>
            <w14:solidFill>
              <w14:schemeClr w14:val="tx1"/>
            </w14:solidFill>
          </w14:textFill>
        </w:rPr>
      </w:pPr>
    </w:p>
    <w:p w14:paraId="4DB795BB">
      <w:pPr>
        <w:pStyle w:val="13"/>
        <w:spacing w:after="0" w:line="23" w:lineRule="atLeast"/>
        <w:ind w:left="0"/>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KESIMPULAN</w:t>
      </w:r>
    </w:p>
    <w:p w14:paraId="0865BD13">
      <w:pPr>
        <w:spacing w:after="0" w:line="23" w:lineRule="atLeast"/>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Berdasarkan hasil penelitian yang dilakukan mengenai efektifitas penambahan ekstrak temulawak (</w:t>
      </w:r>
      <w:r>
        <w:rPr>
          <w:rFonts w:ascii="Times New Roman" w:hAnsi="Times New Roman" w:eastAsia="Times New Roman" w:cs="Times New Roman"/>
          <w:i/>
          <w:iCs/>
          <w:color w:val="000000" w:themeColor="text1"/>
          <w:sz w:val="24"/>
          <w:szCs w:val="24"/>
          <w14:textFill>
            <w14:solidFill>
              <w14:schemeClr w14:val="tx1"/>
            </w14:solidFill>
          </w14:textFill>
        </w:rPr>
        <w:t>Curcuma xanthorrhiza Roxb.</w:t>
      </w:r>
      <w:r>
        <w:rPr>
          <w:rFonts w:ascii="Times New Roman" w:hAnsi="Times New Roman" w:eastAsia="Times New Roman" w:cs="Times New Roman"/>
          <w:color w:val="000000" w:themeColor="text1"/>
          <w:sz w:val="24"/>
          <w:szCs w:val="24"/>
          <w14:textFill>
            <w14:solidFill>
              <w14:schemeClr w14:val="tx1"/>
            </w14:solidFill>
          </w14:textFill>
        </w:rPr>
        <w:t>) pada pakan komersial terhadap pertumbuhan dan kelulushidupan benih ikan bawal bintang (</w:t>
      </w:r>
      <w:r>
        <w:rPr>
          <w:rFonts w:ascii="Times New Roman" w:hAnsi="Times New Roman" w:eastAsia="Times New Roman" w:cs="Times New Roman"/>
          <w:i/>
          <w:iCs/>
          <w:color w:val="000000" w:themeColor="text1"/>
          <w:sz w:val="24"/>
          <w:szCs w:val="24"/>
          <w14:textFill>
            <w14:solidFill>
              <w14:schemeClr w14:val="tx1"/>
            </w14:solidFill>
          </w14:textFill>
        </w:rPr>
        <w:t>Trachinotus blochii</w:t>
      </w:r>
      <w:r>
        <w:rPr>
          <w:rFonts w:ascii="Times New Roman" w:hAnsi="Times New Roman" w:eastAsia="Times New Roman" w:cs="Times New Roman"/>
          <w:color w:val="000000" w:themeColor="text1"/>
          <w:sz w:val="24"/>
          <w:szCs w:val="24"/>
          <w14:textFill>
            <w14:solidFill>
              <w14:schemeClr w14:val="tx1"/>
            </w14:solidFill>
          </w14:textFill>
        </w:rPr>
        <w:t>) dapat disimpulkan bahwa penambahan ekstrak temulawak pada pakan komersial berpengaruh secara signifikan terhadap pertumbuhan dan kelulushidupan benih ikan bawal bintang dengan dosis terbaik dalam penambahan ekstrak temulawak adalah pada perlakuan D (3% ekstrak temulawak).</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w:t>
      </w:r>
      <w:r>
        <w:rPr>
          <w:rFonts w:ascii="Times New Roman" w:hAnsi="Times New Roman" w:eastAsia="Times New Roman" w:cs="Times New Roman"/>
          <w:color w:val="000000" w:themeColor="text1"/>
          <w:sz w:val="24"/>
          <w:szCs w:val="24"/>
          <w14:textFill>
            <w14:solidFill>
              <w14:schemeClr w14:val="tx1"/>
            </w14:solidFill>
          </w14:textFill>
        </w:rPr>
        <w:t>Hasil penelitian diharapkan penambahan ekstrak temulawak pada pakan komersial terhadap pertumbuhan dan kelulushidupan benih ikan bawal bintang, dapat menjadi acuan untuk pengembangan penggunaan bahan alami untuk meningkatkan pertumbuhan dan kelulushidupan benih ikan bawal bintang. Penelitian lanjutan mengenai efektivitas temulawak sangat disarankan baik melalui kombinasi dengan bahan lain, maupun pembuatan ekstrak dalam bentuk lainnya agar semakin melengkapi hasil penelitian yang sudah ada.</w:t>
      </w:r>
    </w:p>
    <w:p w14:paraId="3E41B13E">
      <w:pPr>
        <w:spacing w:after="0" w:line="23" w:lineRule="atLeast"/>
        <w:ind w:firstLine="720"/>
        <w:jc w:val="both"/>
        <w:rPr>
          <w:rFonts w:ascii="Times New Roman" w:hAnsi="Times New Roman" w:eastAsia="Times New Roman" w:cs="Times New Roman"/>
          <w:color w:val="000000" w:themeColor="text1"/>
          <w:sz w:val="24"/>
          <w:szCs w:val="24"/>
          <w:lang w:val="en-US"/>
          <w14:textFill>
            <w14:solidFill>
              <w14:schemeClr w14:val="tx1"/>
            </w14:solidFill>
          </w14:textFill>
        </w:rPr>
      </w:pPr>
    </w:p>
    <w:p w14:paraId="384A11B3">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UCAPAN TERIMA KASIH</w:t>
      </w:r>
      <w:r>
        <w:rPr>
          <w:rFonts w:ascii="Times New Roman" w:hAnsi="Times New Roman" w:cs="Times New Roman"/>
          <w:sz w:val="24"/>
          <w:szCs w:val="24"/>
          <w:lang w:val="en-US"/>
        </w:rPr>
        <w:t xml:space="preserve"> </w:t>
      </w:r>
    </w:p>
    <w:p w14:paraId="5BFBC3A7">
      <w:pPr>
        <w:spacing w:after="0" w:line="276"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Penulis mengucapkan limpah terima kasih kepada kedua dosen pembimbing serta dosen penguji yang telah membimbing dan memberikan banyak masukan untuk penyempurnaan tulisan ini. Penulis juga berterimakasih atas bantuan dan dukungan dari Balai Perikanan Budidaya Laut Lombok yang telah mengizinkan penulis melaksanakan penelitian.</w:t>
      </w:r>
    </w:p>
    <w:p w14:paraId="082DA4B1">
      <w:pPr>
        <w:spacing w:after="0" w:line="276" w:lineRule="auto"/>
        <w:jc w:val="both"/>
        <w:rPr>
          <w:rFonts w:ascii="Times New Roman" w:hAnsi="Times New Roman" w:cs="Times New Roman"/>
          <w:b/>
          <w:color w:val="000000"/>
          <w:sz w:val="24"/>
          <w:szCs w:val="24"/>
        </w:rPr>
      </w:pPr>
    </w:p>
    <w:p w14:paraId="0F348AD0">
      <w:pPr>
        <w:spacing w:after="0" w:line="276" w:lineRule="auto"/>
        <w:jc w:val="both"/>
        <w:rPr>
          <w:lang w:eastAsia="ko-KR"/>
        </w:rPr>
      </w:pPr>
      <w:r>
        <w:rPr>
          <w:rFonts w:ascii="Times New Roman" w:hAnsi="Times New Roman" w:cs="Times New Roman"/>
          <w:b/>
          <w:color w:val="000000"/>
          <w:sz w:val="24"/>
          <w:szCs w:val="24"/>
        </w:rPr>
        <w:t xml:space="preserve">DAFTAR PUSTAKA </w:t>
      </w:r>
    </w:p>
    <w:p w14:paraId="366F9C7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olor w:val="000000"/>
          <w:sz w:val="24"/>
          <w:szCs w:val="24"/>
        </w:rPr>
        <w:fldChar w:fldCharType="begin" w:fldLock="1"/>
      </w:r>
      <w:r>
        <w:rPr>
          <w:rFonts w:ascii="Times New Roman" w:hAnsi="Times New Roman"/>
          <w:color w:val="000000"/>
          <w:sz w:val="24"/>
          <w:szCs w:val="24"/>
        </w:rPr>
        <w:instrText xml:space="preserve">ADDIN Mendeley Bibliography CSL_BIBLIOGRAPHY </w:instrText>
      </w:r>
      <w:r>
        <w:rPr>
          <w:rFonts w:ascii="Times New Roman" w:hAnsi="Times New Roman"/>
          <w:color w:val="000000"/>
          <w:sz w:val="24"/>
          <w:szCs w:val="24"/>
        </w:rPr>
        <w:fldChar w:fldCharType="separate"/>
      </w:r>
      <w:r>
        <w:t xml:space="preserve"> </w:t>
      </w:r>
      <w:r>
        <w:rPr>
          <w:rFonts w:ascii="Times New Roman" w:hAnsi="Times New Roman" w:cs="Times New Roman"/>
          <w:sz w:val="24"/>
          <w:szCs w:val="24"/>
        </w:rPr>
        <w:t>Adi, C., Fauzan, M., Aripudin, A., &amp; Kristiany, M. G. E. (2024). Korelasi Kualitas Air Pada Pertumbuhan Larva Ikan Bawal Bintang (</w:t>
      </w:r>
      <w:r>
        <w:rPr>
          <w:rFonts w:ascii="Times New Roman" w:hAnsi="Times New Roman" w:cs="Times New Roman"/>
          <w:i/>
          <w:sz w:val="24"/>
          <w:szCs w:val="24"/>
        </w:rPr>
        <w:t>Trachinotus Blochi</w:t>
      </w:r>
      <w:r>
        <w:rPr>
          <w:rFonts w:ascii="Times New Roman" w:hAnsi="Times New Roman" w:cs="Times New Roman"/>
          <w:sz w:val="24"/>
          <w:szCs w:val="24"/>
        </w:rPr>
        <w:t xml:space="preserve">) Di Balai Benih Ikan Laut (BBIL), Pulau Tidung Kepulauan Seribu. </w:t>
      </w:r>
      <w:r>
        <w:rPr>
          <w:rFonts w:ascii="Times New Roman" w:hAnsi="Times New Roman" w:cs="Times New Roman"/>
          <w:i/>
          <w:iCs/>
          <w:sz w:val="24"/>
          <w:szCs w:val="24"/>
        </w:rPr>
        <w:t>Jurnal Perikanan Unram,</w:t>
      </w:r>
      <w:r>
        <w:rPr>
          <w:rFonts w:ascii="Times New Roman" w:hAnsi="Times New Roman" w:cs="Times New Roman"/>
          <w:sz w:val="24"/>
          <w:szCs w:val="24"/>
        </w:rPr>
        <w:t xml:space="preserve"> 14(3), 1560–66. doi: 10.29303/jp.v14i3.872.</w:t>
      </w:r>
    </w:p>
    <w:p w14:paraId="744DD64B">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Astuti, A. P. K., Hastuti, S., &amp; Haditomo, A. H. C. (2017). </w:t>
      </w:r>
      <w:r>
        <w:rPr>
          <w:rFonts w:ascii="Times New Roman" w:hAnsi="Times New Roman" w:cs="Times New Roman"/>
          <w:iCs/>
          <w:sz w:val="24"/>
          <w:szCs w:val="24"/>
        </w:rPr>
        <w:t>The Effect of Extracts Curcuma in the Diets as Immunostimulant for Java Barb (</w:t>
      </w:r>
      <w:r>
        <w:rPr>
          <w:rFonts w:ascii="Times New Roman" w:hAnsi="Times New Roman" w:cs="Times New Roman"/>
          <w:i/>
          <w:iCs/>
          <w:sz w:val="24"/>
          <w:szCs w:val="24"/>
        </w:rPr>
        <w:t>Puntius javanicus</w:t>
      </w:r>
      <w:r>
        <w:rPr>
          <w:rFonts w:ascii="Times New Roman" w:hAnsi="Times New Roman" w:cs="Times New Roman"/>
          <w:iCs/>
          <w:sz w:val="24"/>
          <w:szCs w:val="24"/>
        </w:rPr>
        <w:t>) with Bacterial Challenge Test</w:t>
      </w:r>
      <w:r>
        <w:rPr>
          <w:rFonts w:ascii="Times New Roman" w:hAnsi="Times New Roman" w:cs="Times New Roman"/>
          <w:sz w:val="24"/>
          <w:szCs w:val="24"/>
        </w:rPr>
        <w:t xml:space="preserve">. </w:t>
      </w:r>
      <w:r>
        <w:rPr>
          <w:rFonts w:ascii="Times New Roman" w:hAnsi="Times New Roman" w:cs="Times New Roman"/>
          <w:i/>
          <w:sz w:val="24"/>
          <w:szCs w:val="24"/>
        </w:rPr>
        <w:t>Journal of Aquaculture Management and Technology</w:t>
      </w:r>
      <w:r>
        <w:rPr>
          <w:rFonts w:ascii="Times New Roman" w:hAnsi="Times New Roman" w:cs="Times New Roman"/>
          <w:sz w:val="24"/>
          <w:szCs w:val="24"/>
        </w:rPr>
        <w:t xml:space="preserve">, </w:t>
      </w:r>
      <w:r>
        <w:rPr>
          <w:rFonts w:ascii="Times New Roman" w:hAnsi="Times New Roman" w:cs="Times New Roman"/>
          <w:i/>
          <w:sz w:val="24"/>
          <w:szCs w:val="24"/>
        </w:rPr>
        <w:t>6</w:t>
      </w:r>
      <w:r>
        <w:rPr>
          <w:rFonts w:ascii="Times New Roman" w:hAnsi="Times New Roman" w:cs="Times New Roman"/>
          <w:sz w:val="24"/>
          <w:szCs w:val="24"/>
        </w:rPr>
        <w:t xml:space="preserve">(3), 10-19. </w:t>
      </w:r>
      <w:r>
        <w:rPr>
          <w:rFonts w:ascii="Times New Roman" w:hAnsi="Times New Roman" w:cs="Times New Roman"/>
          <w:sz w:val="24"/>
          <w:szCs w:val="24"/>
          <w:u w:val="single"/>
        </w:rPr>
        <w:t>http://ejournal-s1.undip.ac.id/index.php/jamt</w:t>
      </w:r>
      <w:r>
        <w:rPr>
          <w:rFonts w:ascii="Times New Roman" w:hAnsi="Times New Roman" w:cs="Times New Roman"/>
          <w:sz w:val="24"/>
          <w:szCs w:val="24"/>
        </w:rPr>
        <w:t xml:space="preserve"> </w:t>
      </w:r>
    </w:p>
    <w:p w14:paraId="60D0BCFB">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rPr>
        <w:t xml:space="preserve">Faqih, U. (2023). </w:t>
      </w:r>
      <w:r>
        <w:rPr>
          <w:rStyle w:val="4"/>
          <w:rFonts w:ascii="Times New Roman" w:hAnsi="Times New Roman" w:cs="Times New Roman"/>
          <w:spacing w:val="6"/>
        </w:rPr>
        <w:t>Pembesaran Ikan Bawal Bintang (Trachinotus blochii) Di Keramba Jaring Apung.</w:t>
      </w:r>
      <w:r>
        <w:rPr>
          <w:rFonts w:ascii="Times New Roman" w:hAnsi="Times New Roman" w:cs="Times New Roman"/>
          <w:i/>
          <w:spacing w:val="6"/>
        </w:rPr>
        <w:t> </w:t>
      </w:r>
      <w:r>
        <w:rPr>
          <w:rFonts w:ascii="Times New Roman" w:hAnsi="Times New Roman" w:cs="Times New Roman"/>
          <w:spacing w:val="6"/>
        </w:rPr>
        <w:t>Diploma Thesis, Politeknik Negeri Lampung</w:t>
      </w:r>
      <w:r>
        <w:rPr>
          <w:rFonts w:ascii="Times New Roman" w:hAnsi="Times New Roman" w:cs="Times New Roman"/>
          <w:sz w:val="24"/>
          <w:szCs w:val="24"/>
        </w:rPr>
        <w:t xml:space="preserve"> </w:t>
      </w:r>
    </w:p>
    <w:p w14:paraId="1459E2F3">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Febriany, B. S., Mulyana, Lesmana, D. (2022). Pertumbuhan dan Kelangsungan Hidup Benih Ikan Bawal Bintang (</w:t>
      </w:r>
      <w:r>
        <w:rPr>
          <w:rFonts w:ascii="Times New Roman" w:hAnsi="Times New Roman" w:cs="Times New Roman"/>
          <w:i/>
          <w:sz w:val="24"/>
          <w:szCs w:val="24"/>
        </w:rPr>
        <w:t>Trachinotus blochii</w:t>
      </w:r>
      <w:r>
        <w:rPr>
          <w:rFonts w:ascii="Times New Roman" w:hAnsi="Times New Roman" w:cs="Times New Roman"/>
          <w:sz w:val="24"/>
          <w:szCs w:val="24"/>
        </w:rPr>
        <w:t xml:space="preserve">) dengan Penambahan Dosis Probiotik yang Berbeda. </w:t>
      </w:r>
      <w:r>
        <w:rPr>
          <w:rFonts w:ascii="Times New Roman" w:hAnsi="Times New Roman" w:cs="Times New Roman"/>
          <w:i/>
          <w:sz w:val="24"/>
          <w:szCs w:val="24"/>
        </w:rPr>
        <w:t>Jurnal Mina Sains 8</w:t>
      </w:r>
      <w:r>
        <w:rPr>
          <w:rFonts w:ascii="Times New Roman" w:hAnsi="Times New Roman" w:cs="Times New Roman"/>
          <w:sz w:val="24"/>
          <w:szCs w:val="24"/>
        </w:rPr>
        <w:t xml:space="preserve">(1), 11 – 18. </w:t>
      </w:r>
    </w:p>
    <w:p w14:paraId="315CBC3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Fradina, I. T., (2023). </w:t>
      </w:r>
      <w:r>
        <w:rPr>
          <w:rFonts w:ascii="Times New Roman" w:hAnsi="Times New Roman" w:cs="Times New Roman"/>
          <w:i/>
          <w:sz w:val="24"/>
          <w:szCs w:val="24"/>
        </w:rPr>
        <w:t>Efektivitas Pemberian Temulawak (Curcuma xanthorhiza Roxb) Pada Pakan Pelet Terhadap Laju Pertumbuhan dan Sintasan Ikan Nila (Oreochromis niloticus)</w:t>
      </w:r>
      <w:r>
        <w:t xml:space="preserve">. </w:t>
      </w:r>
      <w:r>
        <w:rPr>
          <w:rFonts w:ascii="Times New Roman" w:hAnsi="Times New Roman" w:cs="Times New Roman"/>
          <w:sz w:val="24"/>
          <w:szCs w:val="24"/>
        </w:rPr>
        <w:t xml:space="preserve">Universitas Islam Malang. </w:t>
      </w:r>
    </w:p>
    <w:p w14:paraId="01A79652">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Halawa, C. G., Siswoyo, B. H., &amp; Syafitri, E. (2023). Pengaruh Penambahan Ekstrak Temulawak (</w:t>
      </w:r>
      <w:r>
        <w:rPr>
          <w:rFonts w:ascii="Times New Roman" w:hAnsi="Times New Roman" w:cs="Times New Roman"/>
          <w:i/>
          <w:sz w:val="24"/>
          <w:szCs w:val="24"/>
        </w:rPr>
        <w:t>Curcuma xanthorhiza Roxb</w:t>
      </w:r>
      <w:r>
        <w:rPr>
          <w:rFonts w:ascii="Times New Roman" w:hAnsi="Times New Roman" w:cs="Times New Roman"/>
          <w:sz w:val="24"/>
          <w:szCs w:val="24"/>
        </w:rPr>
        <w:t>) pada Pakan Buatan Terhadap Pertumbuhan dan Kelangsungan Hidup Benih Ikan Mas (</w:t>
      </w:r>
      <w:r>
        <w:rPr>
          <w:rFonts w:ascii="Times New Roman" w:hAnsi="Times New Roman" w:cs="Times New Roman"/>
          <w:i/>
          <w:sz w:val="24"/>
          <w:szCs w:val="24"/>
        </w:rPr>
        <w:t>Cyprinus carpio</w:t>
      </w:r>
      <w:r>
        <w:rPr>
          <w:rFonts w:ascii="Times New Roman" w:hAnsi="Times New Roman" w:cs="Times New Roman"/>
          <w:sz w:val="24"/>
          <w:szCs w:val="24"/>
        </w:rPr>
        <w:t xml:space="preserve">). </w:t>
      </w:r>
      <w:r>
        <w:rPr>
          <w:rFonts w:ascii="Times New Roman" w:hAnsi="Times New Roman" w:cs="Times New Roman"/>
          <w:i/>
          <w:iCs/>
          <w:sz w:val="24"/>
          <w:szCs w:val="24"/>
        </w:rPr>
        <w:t>Jurnal Aquaculture Indonesia</w:t>
      </w:r>
      <w:r>
        <w:rPr>
          <w:rFonts w:ascii="Times New Roman" w:hAnsi="Times New Roman" w:cs="Times New Roman"/>
          <w:sz w:val="24"/>
          <w:szCs w:val="24"/>
        </w:rPr>
        <w:t>,</w:t>
      </w:r>
      <w:r>
        <w:rPr>
          <w:rFonts w:ascii="Times New Roman" w:hAnsi="Times New Roman" w:cs="Times New Roman"/>
          <w:i/>
          <w:sz w:val="24"/>
          <w:szCs w:val="24"/>
        </w:rPr>
        <w:t xml:space="preserve"> 3</w:t>
      </w:r>
      <w:r>
        <w:rPr>
          <w:rFonts w:ascii="Times New Roman" w:hAnsi="Times New Roman" w:cs="Times New Roman"/>
          <w:sz w:val="24"/>
          <w:szCs w:val="24"/>
        </w:rPr>
        <w:t>(1), 15–25. doi:10.46576/jai.v3i1.3261.</w:t>
      </w:r>
    </w:p>
    <w:p w14:paraId="6E7D2D9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Handayani, P., Akhrianti, I., </w:t>
      </w:r>
      <w:r>
        <w:rPr>
          <w:rFonts w:hint="default" w:ascii="Times New Roman" w:hAnsi="Times New Roman" w:cs="Times New Roman"/>
          <w:sz w:val="24"/>
          <w:szCs w:val="24"/>
          <w:lang w:val="en-US"/>
        </w:rPr>
        <w:t xml:space="preserve">&amp; </w:t>
      </w:r>
      <w:r>
        <w:rPr>
          <w:rFonts w:ascii="Times New Roman" w:hAnsi="Times New Roman" w:cs="Times New Roman"/>
          <w:sz w:val="24"/>
          <w:szCs w:val="24"/>
        </w:rPr>
        <w:t>Putro, H</w:t>
      </w:r>
      <w:r>
        <w:rPr>
          <w:rFonts w:hint="default" w:ascii="Times New Roman" w:hAnsi="Times New Roman" w:cs="Times New Roman"/>
          <w:sz w:val="24"/>
          <w:szCs w:val="24"/>
          <w:lang w:val="en-US"/>
        </w:rPr>
        <w:t>.</w:t>
      </w:r>
      <w:r>
        <w:rPr>
          <w:rFonts w:ascii="Times New Roman" w:hAnsi="Times New Roman" w:cs="Times New Roman"/>
          <w:sz w:val="24"/>
          <w:szCs w:val="24"/>
        </w:rPr>
        <w:t xml:space="preserve"> (2021). Aquatic Science Enlargement Technique carped cod (</w:t>
      </w:r>
      <w:r>
        <w:rPr>
          <w:rFonts w:ascii="Times New Roman" w:hAnsi="Times New Roman" w:cs="Times New Roman"/>
          <w:i/>
          <w:sz w:val="24"/>
          <w:szCs w:val="24"/>
        </w:rPr>
        <w:t>Epinephelus fuscoguttatus</w:t>
      </w:r>
      <w:r>
        <w:rPr>
          <w:rFonts w:ascii="Times New Roman" w:hAnsi="Times New Roman" w:cs="Times New Roman"/>
          <w:sz w:val="24"/>
          <w:szCs w:val="24"/>
        </w:rPr>
        <w:t xml:space="preserve">) at the Lampung Sea Fishing Fisheries Center (BBPBL). </w:t>
      </w:r>
      <w:r>
        <w:rPr>
          <w:rFonts w:ascii="Times New Roman" w:hAnsi="Times New Roman" w:cs="Times New Roman"/>
          <w:i/>
          <w:sz w:val="24"/>
          <w:szCs w:val="24"/>
        </w:rPr>
        <w:t>Aquatic Science: Junal Ilmu Perairan, 3</w:t>
      </w:r>
      <w:r>
        <w:rPr>
          <w:rFonts w:ascii="Times New Roman" w:hAnsi="Times New Roman" w:cs="Times New Roman"/>
          <w:sz w:val="24"/>
          <w:szCs w:val="24"/>
        </w:rPr>
        <w:t>(1), 20-30.</w:t>
      </w:r>
      <w:r>
        <w:t xml:space="preserve"> </w:t>
      </w:r>
      <w:r>
        <w:rPr>
          <w:rFonts w:ascii="Times New Roman" w:hAnsi="Times New Roman" w:cs="Times New Roman"/>
          <w:sz w:val="24"/>
          <w:szCs w:val="24"/>
          <w:u w:val="single"/>
        </w:rPr>
        <w:t>http://journal.ubb.ac.id/index.php/aquaticscience</w:t>
      </w:r>
    </w:p>
    <w:p w14:paraId="023D195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Hossain, M. A., Almatar, S. M., &amp; James, C. M. (2010). Optimum Dietary Protein Level </w:t>
      </w:r>
      <w:bookmarkStart w:id="0" w:name="_GoBack"/>
      <w:bookmarkEnd w:id="0"/>
      <w:r>
        <w:rPr>
          <w:rFonts w:ascii="Times New Roman" w:hAnsi="Times New Roman" w:cs="Times New Roman"/>
          <w:sz w:val="24"/>
          <w:szCs w:val="24"/>
        </w:rPr>
        <w:t>for Juvenile Silver Pomfret, Pampus argenteus (</w:t>
      </w:r>
      <w:r>
        <w:rPr>
          <w:rFonts w:ascii="Times New Roman" w:hAnsi="Times New Roman" w:cs="Times New Roman"/>
          <w:i/>
          <w:sz w:val="24"/>
          <w:szCs w:val="24"/>
        </w:rPr>
        <w:t>Euphrasen</w:t>
      </w:r>
      <w:r>
        <w:rPr>
          <w:rFonts w:ascii="Times New Roman" w:hAnsi="Times New Roman" w:cs="Times New Roman"/>
          <w:sz w:val="24"/>
          <w:szCs w:val="24"/>
        </w:rPr>
        <w:t xml:space="preserve">). </w:t>
      </w:r>
      <w:r>
        <w:rPr>
          <w:rFonts w:ascii="Times New Roman" w:hAnsi="Times New Roman" w:cs="Times New Roman"/>
          <w:i/>
          <w:sz w:val="24"/>
          <w:szCs w:val="24"/>
        </w:rPr>
        <w:t>Journal Of The World Aquaculture Society, 41</w:t>
      </w:r>
      <w:r>
        <w:rPr>
          <w:rFonts w:ascii="Times New Roman" w:hAnsi="Times New Roman" w:cs="Times New Roman"/>
          <w:sz w:val="24"/>
          <w:szCs w:val="24"/>
        </w:rPr>
        <w:t>(5), 710-720.</w:t>
      </w:r>
    </w:p>
    <w:p w14:paraId="4E00441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Indra, Koniyo, Y., &amp; Ahmad. I. G. (2025). Effectiveness of Kunyit (</w:t>
      </w:r>
      <w:r>
        <w:rPr>
          <w:rFonts w:ascii="Times New Roman" w:hAnsi="Times New Roman" w:cs="Times New Roman"/>
          <w:i/>
          <w:sz w:val="24"/>
          <w:szCs w:val="24"/>
        </w:rPr>
        <w:t>Curcuma domestica</w:t>
      </w:r>
      <w:r>
        <w:rPr>
          <w:rFonts w:ascii="Times New Roman" w:hAnsi="Times New Roman" w:cs="Times New Roman"/>
          <w:sz w:val="24"/>
          <w:szCs w:val="24"/>
        </w:rPr>
        <w:t>) and Temulawak (</w:t>
      </w:r>
      <w:r>
        <w:rPr>
          <w:rFonts w:ascii="Times New Roman" w:hAnsi="Times New Roman" w:cs="Times New Roman"/>
          <w:i/>
          <w:sz w:val="24"/>
          <w:szCs w:val="24"/>
        </w:rPr>
        <w:t>Curcuma xanthoriza</w:t>
      </w:r>
      <w:r>
        <w:rPr>
          <w:rFonts w:ascii="Times New Roman" w:hAnsi="Times New Roman" w:cs="Times New Roman"/>
          <w:sz w:val="24"/>
          <w:szCs w:val="24"/>
        </w:rPr>
        <w:t>) Additions in Commercial Feeding on the Growth and Life Existence of Mask Fish (</w:t>
      </w:r>
      <w:r>
        <w:rPr>
          <w:rFonts w:ascii="Times New Roman" w:hAnsi="Times New Roman" w:cs="Times New Roman"/>
          <w:i/>
          <w:sz w:val="24"/>
          <w:szCs w:val="24"/>
        </w:rPr>
        <w:t>Cyprinus carpio</w:t>
      </w:r>
      <w:r>
        <w:rPr>
          <w:rFonts w:ascii="Times New Roman" w:hAnsi="Times New Roman" w:cs="Times New Roman"/>
          <w:sz w:val="24"/>
          <w:szCs w:val="24"/>
        </w:rPr>
        <w:t>).</w:t>
      </w:r>
      <w:r>
        <w:t xml:space="preserve"> </w:t>
      </w:r>
      <w:r>
        <w:rPr>
          <w:rFonts w:ascii="Times New Roman" w:hAnsi="Times New Roman" w:cs="Times New Roman"/>
          <w:i/>
          <w:sz w:val="24"/>
          <w:szCs w:val="24"/>
        </w:rPr>
        <w:t>Jurnal Ilmiah PLATAX, 13</w:t>
      </w:r>
      <w:r>
        <w:rPr>
          <w:rFonts w:ascii="Times New Roman" w:hAnsi="Times New Roman" w:cs="Times New Roman"/>
          <w:sz w:val="24"/>
          <w:szCs w:val="24"/>
        </w:rPr>
        <w:t>(2), 262-276. doi: 10.35800/jipv10i2.61033.</w:t>
      </w:r>
    </w:p>
    <w:p w14:paraId="3B1199C6">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Insana, N., &amp; Wahyu, F. (2015). </w:t>
      </w:r>
      <w:r>
        <w:rPr>
          <w:rFonts w:ascii="Times New Roman" w:hAnsi="Times New Roman" w:cs="Times New Roman"/>
          <w:iCs/>
          <w:sz w:val="24"/>
          <w:szCs w:val="24"/>
        </w:rPr>
        <w:t>Subtitusi Tepung Temulawak (</w:t>
      </w:r>
      <w:r>
        <w:rPr>
          <w:rFonts w:ascii="Times New Roman" w:hAnsi="Times New Roman" w:cs="Times New Roman"/>
          <w:i/>
          <w:iCs/>
          <w:sz w:val="24"/>
          <w:szCs w:val="24"/>
        </w:rPr>
        <w:t>Curcuma xanthorhiza sp.</w:t>
      </w:r>
      <w:r>
        <w:rPr>
          <w:rFonts w:ascii="Times New Roman" w:hAnsi="Times New Roman" w:cs="Times New Roman"/>
          <w:iCs/>
          <w:sz w:val="24"/>
          <w:szCs w:val="24"/>
        </w:rPr>
        <w:t>) Pada Pakan Dengan Dosis Berbeda Terhadap Pertumbuhan Dan Sintasan Benih Ikan Nila (</w:t>
      </w:r>
      <w:r>
        <w:rPr>
          <w:rFonts w:ascii="Times New Roman" w:hAnsi="Times New Roman" w:cs="Times New Roman"/>
          <w:i/>
          <w:iCs/>
          <w:sz w:val="24"/>
          <w:szCs w:val="24"/>
        </w:rPr>
        <w:t>Oreochromis niloticus</w:t>
      </w:r>
      <w:r>
        <w:rPr>
          <w:rFonts w:ascii="Times New Roman" w:hAnsi="Times New Roman" w:cs="Times New Roman"/>
          <w:iCs/>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Jurnal Octopus, 4</w:t>
      </w:r>
      <w:r>
        <w:rPr>
          <w:rFonts w:ascii="Times New Roman" w:hAnsi="Times New Roman" w:cs="Times New Roman"/>
          <w:sz w:val="24"/>
          <w:szCs w:val="24"/>
        </w:rPr>
        <w:t>(2), 381-391.</w:t>
      </w:r>
    </w:p>
    <w:p w14:paraId="1974B5CB">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Islamiyah, D., Rachmawati, D., &amp; Susilowati, T. (2017). Pengaruh penambahan madu pada pakan buatan dengan dosis yang berbeda terhadap performa laju pertumbuhan relatif, efisiensi pemanfaatan pakan dan kelulushidupan ikan bandeng (</w:t>
      </w:r>
      <w:r>
        <w:rPr>
          <w:rFonts w:ascii="Times New Roman" w:hAnsi="Times New Roman" w:cs="Times New Roman"/>
          <w:i/>
          <w:sz w:val="24"/>
          <w:szCs w:val="24"/>
        </w:rPr>
        <w:t>Chanos chanos</w:t>
      </w:r>
      <w:r>
        <w:rPr>
          <w:rFonts w:ascii="Times New Roman" w:hAnsi="Times New Roman" w:cs="Times New Roman"/>
          <w:sz w:val="24"/>
          <w:szCs w:val="24"/>
        </w:rPr>
        <w:t xml:space="preserve">). </w:t>
      </w:r>
      <w:r>
        <w:rPr>
          <w:rFonts w:ascii="Times New Roman" w:hAnsi="Times New Roman" w:cs="Times New Roman"/>
          <w:i/>
          <w:sz w:val="24"/>
          <w:szCs w:val="24"/>
        </w:rPr>
        <w:t>Journal of Aquaculture Management and Technology, 6</w:t>
      </w:r>
      <w:r>
        <w:rPr>
          <w:rFonts w:ascii="Times New Roman" w:hAnsi="Times New Roman" w:cs="Times New Roman"/>
          <w:sz w:val="24"/>
          <w:szCs w:val="24"/>
        </w:rPr>
        <w:t>(4), 67–76.</w:t>
      </w:r>
      <w:r>
        <w:t xml:space="preserve"> </w:t>
      </w:r>
      <w:r>
        <w:rPr>
          <w:rFonts w:ascii="Times New Roman" w:hAnsi="Times New Roman" w:cs="Times New Roman"/>
          <w:sz w:val="24"/>
          <w:szCs w:val="24"/>
          <w:u w:val="single"/>
        </w:rPr>
        <w:t>http://ejournal-s1.undip.ac.id/index.php/jamt</w:t>
      </w:r>
    </w:p>
    <w:p w14:paraId="5DACF5F6">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Jullianty, I., Yulianto, T., Miranti, S., (2020). Pengaruh penambahan ragi (</w:t>
      </w:r>
      <w:r>
        <w:rPr>
          <w:rFonts w:ascii="Times New Roman" w:hAnsi="Times New Roman" w:cs="Times New Roman"/>
          <w:i/>
          <w:sz w:val="24"/>
          <w:szCs w:val="24"/>
        </w:rPr>
        <w:t>Saccharomyces cerevisiae</w:t>
      </w:r>
      <w:r>
        <w:rPr>
          <w:rFonts w:ascii="Times New Roman" w:hAnsi="Times New Roman" w:cs="Times New Roman"/>
          <w:sz w:val="24"/>
          <w:szCs w:val="24"/>
        </w:rPr>
        <w:t>) pada pakan terhadap pertumbuhan benih ikan bawal bintang (</w:t>
      </w:r>
      <w:r>
        <w:rPr>
          <w:rFonts w:ascii="Times New Roman" w:hAnsi="Times New Roman" w:cs="Times New Roman"/>
          <w:i/>
          <w:sz w:val="24"/>
          <w:szCs w:val="24"/>
        </w:rPr>
        <w:t>Trachinotus blochii</w:t>
      </w:r>
      <w:r>
        <w:rPr>
          <w:rFonts w:ascii="Times New Roman" w:hAnsi="Times New Roman" w:cs="Times New Roman"/>
          <w:sz w:val="24"/>
          <w:szCs w:val="24"/>
        </w:rPr>
        <w:t xml:space="preserve">). </w:t>
      </w:r>
      <w:r>
        <w:rPr>
          <w:rFonts w:ascii="Times New Roman" w:hAnsi="Times New Roman" w:cs="Times New Roman"/>
          <w:i/>
          <w:sz w:val="24"/>
          <w:szCs w:val="24"/>
        </w:rPr>
        <w:t>Jurnal Intek Akuakultur, 4</w:t>
      </w:r>
      <w:r>
        <w:rPr>
          <w:rFonts w:ascii="Times New Roman" w:hAnsi="Times New Roman" w:cs="Times New Roman"/>
          <w:sz w:val="24"/>
          <w:szCs w:val="24"/>
        </w:rPr>
        <w:t>(1), 44–57.</w:t>
      </w:r>
    </w:p>
    <w:p w14:paraId="1C1DC9FB">
      <w:pPr>
        <w:widowControl w:val="0"/>
        <w:autoSpaceDE w:val="0"/>
        <w:autoSpaceDN w:val="0"/>
        <w:adjustRightInd w:val="0"/>
        <w:spacing w:after="0" w:line="240" w:lineRule="auto"/>
        <w:ind w:left="480" w:hanging="480"/>
        <w:jc w:val="both"/>
        <w:rPr>
          <w:rFonts w:ascii="Times New Roman" w:hAnsi="Times New Roman" w:cs="Times New Roman"/>
          <w:sz w:val="24"/>
        </w:rPr>
      </w:pPr>
      <w:r>
        <w:rPr>
          <w:rFonts w:ascii="Times New Roman" w:hAnsi="Times New Roman" w:cs="Times New Roman"/>
          <w:sz w:val="24"/>
        </w:rPr>
        <w:t>KKP. (2023). Keputusan Menteri Kelautan dan Perikanan Nomor 140 Tahun 2023 Tentang Harga Acuan Ikan. Kepmen KP Tentang Harga Acuan Ikan.</w:t>
      </w:r>
    </w:p>
    <w:p w14:paraId="798E786A">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Oktaviana, R. P., Kawiji,. &amp; Atmaka, W. (2015). Kadar Kurkuminoid, Total Fenol Dan Aktivitas Antioksidan Ekstrak Temulawak (</w:t>
      </w:r>
      <w:r>
        <w:rPr>
          <w:rFonts w:ascii="Times New Roman" w:hAnsi="Times New Roman" w:cs="Times New Roman"/>
          <w:i/>
          <w:sz w:val="24"/>
          <w:szCs w:val="24"/>
        </w:rPr>
        <w:t>Curcuma xanthorrhiza</w:t>
      </w:r>
      <w:r>
        <w:rPr>
          <w:rFonts w:ascii="Times New Roman" w:hAnsi="Times New Roman" w:cs="Times New Roman"/>
          <w:sz w:val="24"/>
          <w:szCs w:val="24"/>
        </w:rPr>
        <w:t xml:space="preserve">) Pada Berbagai Teknik Pengeringan Dan Proporsi Pelarutan. </w:t>
      </w:r>
      <w:r>
        <w:rPr>
          <w:rFonts w:ascii="Times New Roman" w:hAnsi="Times New Roman" w:cs="Times New Roman"/>
          <w:i/>
          <w:sz w:val="24"/>
          <w:szCs w:val="24"/>
        </w:rPr>
        <w:t>Jurnal Biofarmasi, 13</w:t>
      </w:r>
      <w:r>
        <w:rPr>
          <w:rFonts w:ascii="Times New Roman" w:hAnsi="Times New Roman" w:cs="Times New Roman"/>
          <w:sz w:val="24"/>
          <w:szCs w:val="24"/>
        </w:rPr>
        <w:t>(2), 41–49. doi: 10.13057/biofar/f130201.</w:t>
      </w:r>
    </w:p>
    <w:p w14:paraId="104E5C5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Prabowo, A. S., Madusari, B. D., &amp; Mardiana, T. Y. (2017). </w:t>
      </w:r>
      <w:r>
        <w:rPr>
          <w:rFonts w:ascii="Times New Roman" w:hAnsi="Times New Roman" w:cs="Times New Roman"/>
          <w:iCs/>
          <w:sz w:val="24"/>
          <w:szCs w:val="24"/>
        </w:rPr>
        <w:t>Pengaruh Penambahan Temulawak (</w:t>
      </w:r>
      <w:r>
        <w:rPr>
          <w:rFonts w:ascii="Times New Roman" w:hAnsi="Times New Roman" w:cs="Times New Roman"/>
          <w:i/>
          <w:iCs/>
          <w:sz w:val="24"/>
          <w:szCs w:val="24"/>
        </w:rPr>
        <w:t>Curcuma xanthorriza</w:t>
      </w:r>
      <w:r>
        <w:rPr>
          <w:rFonts w:ascii="Times New Roman" w:hAnsi="Times New Roman" w:cs="Times New Roman"/>
          <w:iCs/>
          <w:sz w:val="24"/>
          <w:szCs w:val="24"/>
        </w:rPr>
        <w:t>) Pada Pakan Buatan Terhadap Pertumbuhan Ikan Bandeng (</w:t>
      </w:r>
      <w:r>
        <w:rPr>
          <w:rFonts w:ascii="Times New Roman" w:hAnsi="Times New Roman" w:cs="Times New Roman"/>
          <w:i/>
          <w:iCs/>
          <w:sz w:val="24"/>
          <w:szCs w:val="24"/>
        </w:rPr>
        <w:t>Chanos chanos</w:t>
      </w:r>
      <w:r>
        <w:rPr>
          <w:rFonts w:ascii="Times New Roman" w:hAnsi="Times New Roman" w:cs="Times New Roman"/>
          <w:iCs/>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Jurnal Pena Akuatika</w:t>
      </w:r>
      <w:r>
        <w:rPr>
          <w:rFonts w:ascii="Times New Roman" w:hAnsi="Times New Roman" w:cs="Times New Roman"/>
          <w:sz w:val="24"/>
          <w:szCs w:val="24"/>
        </w:rPr>
        <w:t xml:space="preserve">, </w:t>
      </w:r>
      <w:r>
        <w:rPr>
          <w:rFonts w:ascii="Times New Roman" w:hAnsi="Times New Roman" w:cs="Times New Roman"/>
          <w:i/>
          <w:sz w:val="24"/>
          <w:szCs w:val="24"/>
        </w:rPr>
        <w:t>15</w:t>
      </w:r>
      <w:r>
        <w:rPr>
          <w:rFonts w:ascii="Times New Roman" w:hAnsi="Times New Roman" w:cs="Times New Roman"/>
          <w:sz w:val="24"/>
          <w:szCs w:val="24"/>
        </w:rPr>
        <w:t>(1), 40-48.</w:t>
      </w:r>
    </w:p>
    <w:p w14:paraId="45212976">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Prastito, A. N. R., &amp; Endar Herawati, V. (2018). Pengaruh penambahan ekstrak temulawak (</w:t>
      </w:r>
      <w:r>
        <w:rPr>
          <w:rFonts w:ascii="Times New Roman" w:hAnsi="Times New Roman" w:cs="Times New Roman"/>
          <w:i/>
          <w:sz w:val="24"/>
          <w:szCs w:val="24"/>
        </w:rPr>
        <w:t>Curcuma xanthorrhiza Roxb</w:t>
      </w:r>
      <w:r>
        <w:rPr>
          <w:rFonts w:ascii="Times New Roman" w:hAnsi="Times New Roman" w:cs="Times New Roman"/>
          <w:sz w:val="24"/>
          <w:szCs w:val="24"/>
        </w:rPr>
        <w:t>) untuk peningkatan konsumsi pakan, efisiensi dan pertumbuhan ikan patin (</w:t>
      </w:r>
      <w:r>
        <w:rPr>
          <w:rFonts w:ascii="Times New Roman" w:hAnsi="Times New Roman" w:cs="Times New Roman"/>
          <w:i/>
          <w:sz w:val="24"/>
          <w:szCs w:val="24"/>
        </w:rPr>
        <w:t>Pangasius sp.</w:t>
      </w:r>
      <w:r>
        <w:rPr>
          <w:rFonts w:ascii="Times New Roman" w:hAnsi="Times New Roman" w:cs="Times New Roman"/>
          <w:sz w:val="24"/>
          <w:szCs w:val="24"/>
        </w:rPr>
        <w:t xml:space="preserve">). </w:t>
      </w:r>
      <w:r>
        <w:rPr>
          <w:rFonts w:ascii="Times New Roman" w:hAnsi="Times New Roman" w:cs="Times New Roman"/>
          <w:i/>
          <w:sz w:val="24"/>
          <w:szCs w:val="24"/>
        </w:rPr>
        <w:t>Jurnal Aquasains (Ilmu Perikanan dan Sumberdaya Perairan), 7</w:t>
      </w:r>
      <w:r>
        <w:rPr>
          <w:rFonts w:ascii="Times New Roman" w:hAnsi="Times New Roman" w:cs="Times New Roman"/>
          <w:sz w:val="24"/>
          <w:szCs w:val="24"/>
        </w:rPr>
        <w:t>(1), 638–646.</w:t>
      </w:r>
    </w:p>
    <w:p w14:paraId="6CB9F2B6">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Ranggayoni, N., Purnama Febri, S., Fauzan Isma, M., &amp; Hasri, I. (2021). Pengaruh penambahan ekstrak kunyit (</w:t>
      </w:r>
      <w:r>
        <w:rPr>
          <w:rFonts w:ascii="Times New Roman" w:hAnsi="Times New Roman" w:cs="Times New Roman"/>
          <w:i/>
          <w:sz w:val="24"/>
          <w:szCs w:val="24"/>
        </w:rPr>
        <w:t>Curcuma domestica</w:t>
      </w:r>
      <w:r>
        <w:rPr>
          <w:rFonts w:ascii="Times New Roman" w:hAnsi="Times New Roman" w:cs="Times New Roman"/>
          <w:sz w:val="24"/>
          <w:szCs w:val="24"/>
        </w:rPr>
        <w:t>) pada pakan komersil terhadap pertumbuhan dan kelangsungan hidup benih ikan peres (</w:t>
      </w:r>
      <w:r>
        <w:rPr>
          <w:rFonts w:ascii="Times New Roman" w:hAnsi="Times New Roman" w:cs="Times New Roman"/>
          <w:i/>
          <w:sz w:val="24"/>
          <w:szCs w:val="24"/>
        </w:rPr>
        <w:t>Osteochillus kappeni</w:t>
      </w:r>
      <w:r>
        <w:rPr>
          <w:rFonts w:ascii="Times New Roman" w:hAnsi="Times New Roman" w:cs="Times New Roman"/>
          <w:sz w:val="24"/>
          <w:szCs w:val="24"/>
        </w:rPr>
        <w:t xml:space="preserve">). </w:t>
      </w:r>
      <w:r>
        <w:rPr>
          <w:rFonts w:ascii="Times New Roman" w:hAnsi="Times New Roman" w:cs="Times New Roman"/>
          <w:i/>
          <w:sz w:val="24"/>
          <w:szCs w:val="24"/>
        </w:rPr>
        <w:t>Arwana: Jurnal Ilmiah Program Studi Perairan, 3</w:t>
      </w:r>
      <w:r>
        <w:rPr>
          <w:rFonts w:ascii="Times New Roman" w:hAnsi="Times New Roman" w:cs="Times New Roman"/>
          <w:sz w:val="24"/>
          <w:szCs w:val="24"/>
        </w:rPr>
        <w:t>(2), 75–81. doi: 10.51179/jipsbp.v3i2.475.</w:t>
      </w:r>
    </w:p>
    <w:p w14:paraId="1E1593E2">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Sari, K. D. (2023). </w:t>
      </w:r>
      <w:r>
        <w:rPr>
          <w:rFonts w:ascii="Times New Roman" w:hAnsi="Times New Roman" w:cs="Times New Roman"/>
          <w:i/>
          <w:sz w:val="24"/>
          <w:szCs w:val="24"/>
        </w:rPr>
        <w:t>Laju Pertumbuhan dan Kelangsungan Hidup Benih Ikan Bawal Bintang (Trachinotus blochii) dengan Penambahan Ekstrak Jahe Merah (Zingiber officinale var. Rubrum) dan Ekstrak Temulawak (Curcuma Xanthorrhiza Roxb) pada Pakan Komersil</w:t>
      </w:r>
      <w:r>
        <w:rPr>
          <w:rFonts w:ascii="Times New Roman" w:hAnsi="Times New Roman" w:cs="Times New Roman"/>
          <w:sz w:val="24"/>
          <w:szCs w:val="24"/>
        </w:rPr>
        <w:t>. Universitas Sriwijaya.</w:t>
      </w:r>
    </w:p>
    <w:p w14:paraId="5AD382F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Setiawan, H. P., Mumpuni, F. S., &amp; Mulyana. (2017). </w:t>
      </w:r>
      <w:r>
        <w:rPr>
          <w:rFonts w:ascii="Times New Roman" w:hAnsi="Times New Roman" w:cs="Times New Roman"/>
          <w:i/>
          <w:iCs/>
          <w:sz w:val="24"/>
          <w:szCs w:val="24"/>
        </w:rPr>
        <w:t>Pengaruh Penambahan Tepung Rimpang Temulawak (Curcuma xanthorrhiza) Pada Pakan Dengan Dosis Berbeda Terhadap Laju Pertumbuhan Dan Tingkat Kelangsungan Hidup Benih Ikan Mas Koki (Carassius auratus)</w:t>
      </w:r>
      <w:r>
        <w:rPr>
          <w:rFonts w:ascii="Times New Roman" w:hAnsi="Times New Roman" w:cs="Times New Roman"/>
          <w:sz w:val="24"/>
          <w:szCs w:val="24"/>
        </w:rPr>
        <w:t>. Bogor.</w:t>
      </w:r>
    </w:p>
    <w:p w14:paraId="31ED57F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Sidik, M., &amp; Rozik, M. (2020). Efektivitas Pemberian Tamulawak (</w:t>
      </w:r>
      <w:r>
        <w:rPr>
          <w:rFonts w:ascii="Times New Roman" w:hAnsi="Times New Roman" w:cs="Times New Roman"/>
          <w:i/>
          <w:sz w:val="24"/>
          <w:szCs w:val="24"/>
        </w:rPr>
        <w:t>Curcuma xanthorrhiza Robx</w:t>
      </w:r>
      <w:r>
        <w:rPr>
          <w:rFonts w:ascii="Times New Roman" w:hAnsi="Times New Roman" w:cs="Times New Roman"/>
          <w:sz w:val="24"/>
          <w:szCs w:val="24"/>
        </w:rPr>
        <w:t>) Terhadap Kelangsungan Hidup dan Pertumbuhan Berat Relatif Ikan Nila (</w:t>
      </w:r>
      <w:r>
        <w:rPr>
          <w:rFonts w:ascii="Times New Roman" w:hAnsi="Times New Roman" w:cs="Times New Roman"/>
          <w:i/>
          <w:sz w:val="24"/>
          <w:szCs w:val="24"/>
        </w:rPr>
        <w:t>Oreochromis niloticus</w:t>
      </w:r>
      <w:r>
        <w:rPr>
          <w:rFonts w:ascii="Times New Roman" w:hAnsi="Times New Roman" w:cs="Times New Roman"/>
          <w:sz w:val="24"/>
          <w:szCs w:val="24"/>
        </w:rPr>
        <w:t>). Jurnal Ilmu Hewani Tropika, 9(2), 61-67.</w:t>
      </w:r>
      <w:r>
        <w:t xml:space="preserve"> </w:t>
      </w:r>
      <w:r>
        <w:rPr>
          <w:rFonts w:ascii="Times New Roman" w:hAnsi="Times New Roman" w:cs="Times New Roman"/>
          <w:sz w:val="24"/>
          <w:szCs w:val="24"/>
          <w:u w:val="single"/>
        </w:rPr>
        <w:t>https// : unkripjournal.com</w:t>
      </w:r>
    </w:p>
    <w:p w14:paraId="73997876">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SNI 7901.4:2013. (2013). </w:t>
      </w:r>
      <w:r>
        <w:rPr>
          <w:rFonts w:ascii="Times New Roman" w:hAnsi="Times New Roman" w:cs="Times New Roman"/>
          <w:i/>
          <w:sz w:val="24"/>
          <w:szCs w:val="24"/>
        </w:rPr>
        <w:t>Ikan Bawal Bintang (Trachinotus Blochii, Lacepede) - Bagian 4 : Produksi Benih.</w:t>
      </w:r>
      <w:r>
        <w:rPr>
          <w:rFonts w:ascii="Times New Roman" w:hAnsi="Times New Roman" w:cs="Times New Roman"/>
          <w:sz w:val="24"/>
          <w:szCs w:val="24"/>
        </w:rPr>
        <w:t xml:space="preserve"> Badan Standardisasi Nasional.</w:t>
      </w:r>
    </w:p>
    <w:p w14:paraId="17AE8CA2">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Tanthowi, M. I., Tang, U. M., &amp; Putra, I. (2014). </w:t>
      </w:r>
      <w:r>
        <w:rPr>
          <w:rFonts w:ascii="Times New Roman" w:hAnsi="Times New Roman" w:cs="Times New Roman"/>
          <w:i/>
          <w:iCs/>
          <w:sz w:val="24"/>
          <w:szCs w:val="24"/>
        </w:rPr>
        <w:t>Effect of Thyroxine Hormone (T4) Addition in Feed to the Growth Rate</w:t>
      </w:r>
      <w:r>
        <w:rPr>
          <w:rFonts w:ascii="Times New Roman" w:hAnsi="Times New Roman" w:cs="Times New Roman"/>
          <w:i/>
          <w:sz w:val="24"/>
          <w:szCs w:val="24"/>
        </w:rPr>
        <w:t xml:space="preserve">. </w:t>
      </w:r>
      <w:r>
        <w:rPr>
          <w:rFonts w:ascii="Times New Roman" w:hAnsi="Times New Roman" w:cs="Times New Roman"/>
          <w:sz w:val="24"/>
          <w:szCs w:val="24"/>
        </w:rPr>
        <w:t>Riau.</w:t>
      </w:r>
    </w:p>
    <w:p w14:paraId="217FA30B">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Wardani, R., Grandiosa Herman, R., &amp; Haetami, K. (2024). The Effect Of Additional Doses Of Curcuma Flour (</w:t>
      </w:r>
      <w:r>
        <w:rPr>
          <w:rFonts w:ascii="Times New Roman" w:hAnsi="Times New Roman" w:cs="Times New Roman"/>
          <w:i/>
          <w:sz w:val="24"/>
          <w:szCs w:val="24"/>
        </w:rPr>
        <w:t>Curcuma xanthorrhiza Roxb</w:t>
      </w:r>
      <w:r>
        <w:rPr>
          <w:rFonts w:ascii="Times New Roman" w:hAnsi="Times New Roman" w:cs="Times New Roman"/>
          <w:sz w:val="24"/>
          <w:szCs w:val="24"/>
        </w:rPr>
        <w:t>). Feed On The Growth Of Gouramy (</w:t>
      </w:r>
      <w:r>
        <w:rPr>
          <w:rFonts w:ascii="Times New Roman" w:hAnsi="Times New Roman" w:cs="Times New Roman"/>
          <w:i/>
          <w:sz w:val="24"/>
          <w:szCs w:val="24"/>
        </w:rPr>
        <w:t>Osphronemus gouramy</w:t>
      </w:r>
      <w:r>
        <w:rPr>
          <w:rFonts w:ascii="Times New Roman" w:hAnsi="Times New Roman" w:cs="Times New Roman"/>
          <w:sz w:val="24"/>
          <w:szCs w:val="24"/>
        </w:rPr>
        <w:t xml:space="preserve">) Fry. </w:t>
      </w:r>
      <w:r>
        <w:rPr>
          <w:rFonts w:ascii="Times New Roman" w:hAnsi="Times New Roman" w:cs="Times New Roman"/>
          <w:i/>
          <w:sz w:val="24"/>
          <w:szCs w:val="24"/>
        </w:rPr>
        <w:t>Jurnal Ilmu Perikanan dan Sumberdaya Perairan, 12</w:t>
      </w:r>
      <w:r>
        <w:rPr>
          <w:rFonts w:ascii="Times New Roman" w:hAnsi="Times New Roman" w:cs="Times New Roman"/>
          <w:sz w:val="24"/>
          <w:szCs w:val="24"/>
        </w:rPr>
        <w:t>(2), 1462-1473.</w:t>
      </w:r>
    </w:p>
    <w:p w14:paraId="696A1DB8">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Wijaya, A., Damayanti, A. A., &amp; Astriana, B. H. (2018). Pertumbuhan dan efisiensi pakan ikan bawal bintang (</w:t>
      </w:r>
      <w:r>
        <w:rPr>
          <w:rFonts w:ascii="Times New Roman" w:hAnsi="Times New Roman" w:cs="Times New Roman"/>
          <w:i/>
          <w:sz w:val="24"/>
          <w:szCs w:val="24"/>
        </w:rPr>
        <w:t>Trachinotus blochii</w:t>
      </w:r>
      <w:r>
        <w:rPr>
          <w:rFonts w:ascii="Times New Roman" w:hAnsi="Times New Roman" w:cs="Times New Roman"/>
          <w:sz w:val="24"/>
          <w:szCs w:val="24"/>
        </w:rPr>
        <w:t xml:space="preserve">) yang dipuasakan secara periodik. </w:t>
      </w:r>
      <w:r>
        <w:rPr>
          <w:rFonts w:ascii="Times New Roman" w:hAnsi="Times New Roman" w:cs="Times New Roman"/>
          <w:i/>
          <w:sz w:val="24"/>
          <w:szCs w:val="24"/>
        </w:rPr>
        <w:t>Jurnal Perikanan, 8</w:t>
      </w:r>
      <w:r>
        <w:rPr>
          <w:rFonts w:ascii="Times New Roman" w:hAnsi="Times New Roman" w:cs="Times New Roman"/>
          <w:sz w:val="24"/>
          <w:szCs w:val="24"/>
        </w:rPr>
        <w:t>(1), 1–7.</w:t>
      </w:r>
    </w:p>
    <w:p w14:paraId="260460B8">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Yandini, H. E., Agustini, M., &amp; Sumaryam. (2023). Pengaruh Pemberian Serbuk Temulawak Dengan Dosis Yang Berbeda Pada Pakan Terhadap Pertumbuhan Ikan Nila Merah (</w:t>
      </w:r>
      <w:r>
        <w:rPr>
          <w:rFonts w:ascii="Times New Roman" w:hAnsi="Times New Roman" w:cs="Times New Roman"/>
          <w:i/>
          <w:sz w:val="24"/>
          <w:szCs w:val="24"/>
        </w:rPr>
        <w:t>Orechromis Niloticus</w:t>
      </w:r>
      <w:r>
        <w:rPr>
          <w:rFonts w:ascii="Times New Roman" w:hAnsi="Times New Roman" w:cs="Times New Roman"/>
          <w:sz w:val="24"/>
          <w:szCs w:val="24"/>
        </w:rPr>
        <w:t xml:space="preserve">) Ukuran 5-10 Cm Dalam Bak Pemeliharaan. </w:t>
      </w:r>
      <w:r>
        <w:rPr>
          <w:rFonts w:ascii="Times New Roman" w:hAnsi="Times New Roman" w:cs="Times New Roman"/>
          <w:i/>
          <w:iCs/>
          <w:sz w:val="24"/>
          <w:szCs w:val="24"/>
        </w:rPr>
        <w:t>Juvenil: Jurnal Ilmiah Kelautan Dan Perikanan,</w:t>
      </w:r>
      <w:r>
        <w:rPr>
          <w:rFonts w:ascii="Times New Roman" w:hAnsi="Times New Roman" w:cs="Times New Roman"/>
          <w:sz w:val="24"/>
          <w:szCs w:val="24"/>
        </w:rPr>
        <w:t xml:space="preserve"> </w:t>
      </w:r>
      <w:r>
        <w:rPr>
          <w:rFonts w:ascii="Times New Roman" w:hAnsi="Times New Roman" w:cs="Times New Roman"/>
          <w:i/>
          <w:sz w:val="24"/>
          <w:szCs w:val="24"/>
        </w:rPr>
        <w:t>4</w:t>
      </w:r>
      <w:r>
        <w:rPr>
          <w:rFonts w:ascii="Times New Roman" w:hAnsi="Times New Roman" w:cs="Times New Roman"/>
          <w:sz w:val="24"/>
          <w:szCs w:val="24"/>
        </w:rPr>
        <w:t>(3), 227–33. doi: 10.21107/juvenil.v4i3.21013.</w:t>
      </w:r>
    </w:p>
    <w:p w14:paraId="417A51F3">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Zhou, Z., Liu, Y., He, S., Shi, P., Gao, X., Yao, B., &amp; Ringø, E. (2009). Effects of Dietary Potassium Diformate (KDF) on Growth Performance, Feed Conversion and Intestinal Bacterial Community of Hybrid Tilapia (</w:t>
      </w:r>
      <w:r>
        <w:rPr>
          <w:rFonts w:ascii="Times New Roman" w:hAnsi="Times New Roman" w:cs="Times New Roman"/>
          <w:i/>
          <w:sz w:val="24"/>
          <w:szCs w:val="24"/>
        </w:rPr>
        <w:t>Oreochromis Niloticus ♀ × O. Aureus ♂</w:t>
      </w:r>
      <w:r>
        <w:rPr>
          <w:rFonts w:ascii="Times New Roman" w:hAnsi="Times New Roman" w:cs="Times New Roman"/>
          <w:sz w:val="24"/>
          <w:szCs w:val="24"/>
        </w:rPr>
        <w:t xml:space="preserve">). </w:t>
      </w:r>
      <w:r>
        <w:rPr>
          <w:rFonts w:ascii="Times New Roman" w:hAnsi="Times New Roman" w:cs="Times New Roman"/>
          <w:i/>
          <w:iCs/>
          <w:sz w:val="24"/>
          <w:szCs w:val="24"/>
        </w:rPr>
        <w:t>Aquaculture Journal,</w:t>
      </w:r>
      <w:r>
        <w:rPr>
          <w:rFonts w:ascii="Times New Roman" w:hAnsi="Times New Roman" w:cs="Times New Roman"/>
          <w:sz w:val="24"/>
          <w:szCs w:val="24"/>
        </w:rPr>
        <w:t xml:space="preserve"> </w:t>
      </w:r>
      <w:r>
        <w:rPr>
          <w:rFonts w:ascii="Times New Roman" w:hAnsi="Times New Roman" w:cs="Times New Roman"/>
          <w:i/>
          <w:sz w:val="24"/>
          <w:szCs w:val="24"/>
        </w:rPr>
        <w:t>291</w:t>
      </w:r>
      <w:r>
        <w:rPr>
          <w:rFonts w:ascii="Times New Roman" w:hAnsi="Times New Roman" w:cs="Times New Roman"/>
          <w:sz w:val="24"/>
          <w:szCs w:val="24"/>
        </w:rPr>
        <w:t>(1–2), 89–94. doi: 10.1016/j.aquaculture.2009.02.043.</w:t>
      </w:r>
    </w:p>
    <w:p w14:paraId="19C1F03A">
      <w:pPr>
        <w:widowControl w:val="0"/>
        <w:autoSpaceDE w:val="0"/>
        <w:autoSpaceDN w:val="0"/>
        <w:adjustRightInd w:val="0"/>
        <w:spacing w:after="0" w:line="240" w:lineRule="auto"/>
        <w:ind w:left="480" w:hanging="480"/>
        <w:jc w:val="both"/>
        <w:rPr>
          <w:rFonts w:ascii="Times New Roman" w:hAnsi="Times New Roman" w:cs="Times New Roman"/>
          <w:sz w:val="24"/>
        </w:rPr>
      </w:pPr>
      <w:r>
        <w:rPr>
          <w:rFonts w:ascii="Times New Roman" w:hAnsi="Times New Roman" w:cs="Times New Roman"/>
          <w:sz w:val="24"/>
          <w:szCs w:val="24"/>
        </w:rPr>
        <w:t>Zulkhasyni, Nasir, A., Badriyyah, A., &amp; Syukhriani, S. (2024). Efek Penambahan Bubuk Temulawak (</w:t>
      </w:r>
      <w:r>
        <w:rPr>
          <w:rFonts w:ascii="Times New Roman" w:hAnsi="Times New Roman" w:cs="Times New Roman"/>
          <w:i/>
          <w:sz w:val="24"/>
          <w:szCs w:val="24"/>
        </w:rPr>
        <w:t>Curcuma xanthorrhiza</w:t>
      </w:r>
      <w:r>
        <w:rPr>
          <w:rFonts w:ascii="Times New Roman" w:hAnsi="Times New Roman" w:cs="Times New Roman"/>
          <w:sz w:val="24"/>
          <w:szCs w:val="24"/>
        </w:rPr>
        <w:t>) Pada Pakan Buatan Terhadap Pertumbuhan Ikan Nila (</w:t>
      </w:r>
      <w:r>
        <w:rPr>
          <w:rFonts w:ascii="Times New Roman" w:hAnsi="Times New Roman" w:cs="Times New Roman"/>
          <w:i/>
          <w:sz w:val="24"/>
          <w:szCs w:val="24"/>
        </w:rPr>
        <w:t>Oreochromis niloticus</w:t>
      </w:r>
      <w:r>
        <w:rPr>
          <w:rFonts w:ascii="Times New Roman" w:hAnsi="Times New Roman" w:cs="Times New Roman"/>
          <w:sz w:val="24"/>
          <w:szCs w:val="24"/>
        </w:rPr>
        <w:t xml:space="preserve">). </w:t>
      </w:r>
      <w:r>
        <w:rPr>
          <w:rFonts w:ascii="Times New Roman" w:hAnsi="Times New Roman" w:cs="Times New Roman"/>
          <w:i/>
          <w:sz w:val="24"/>
          <w:szCs w:val="24"/>
        </w:rPr>
        <w:t>Jurnal Agroqua, 22</w:t>
      </w:r>
      <w:r>
        <w:rPr>
          <w:rFonts w:ascii="Times New Roman" w:hAnsi="Times New Roman" w:cs="Times New Roman"/>
          <w:sz w:val="24"/>
          <w:szCs w:val="24"/>
        </w:rPr>
        <w:t>(1), 233-242. doi: 10.32663/ja.v21i2.4507.</w:t>
      </w:r>
    </w:p>
    <w:p w14:paraId="178B652C">
      <w:pPr>
        <w:widowControl w:val="0"/>
        <w:autoSpaceDE w:val="0"/>
        <w:autoSpaceDN w:val="0"/>
        <w:adjustRightInd w:val="0"/>
        <w:spacing w:after="0" w:line="240" w:lineRule="auto"/>
        <w:ind w:left="480" w:hanging="480"/>
        <w:rPr>
          <w:rFonts w:ascii="Times New Roman" w:hAnsi="Times New Roman"/>
          <w:color w:val="000000"/>
          <w:sz w:val="24"/>
          <w:szCs w:val="24"/>
        </w:rPr>
      </w:pPr>
      <w:r>
        <w:rPr>
          <w:rFonts w:ascii="Times New Roman" w:hAnsi="Times New Roman"/>
          <w:color w:val="000000"/>
          <w:sz w:val="24"/>
          <w:szCs w:val="24"/>
        </w:rPr>
        <w:fldChar w:fldCharType="end"/>
      </w:r>
    </w:p>
    <w:sectPr>
      <w:type w:val="continuous"/>
      <w:pgSz w:w="11906" w:h="16838"/>
      <w:pgMar w:top="1701" w:right="1985" w:bottom="1701" w:left="1985" w:header="284" w:footer="709" w:gutter="0"/>
      <w:cols w:space="567"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Avenir Book">
    <w:altName w:val="Corbel"/>
    <w:panose1 w:val="00000000000000000000"/>
    <w:charset w:val="00"/>
    <w:family w:val="auto"/>
    <w:pitch w:val="default"/>
    <w:sig w:usb0="00000000" w:usb1="00000000" w:usb2="00000000" w:usb3="00000000" w:csb0="0000009B" w:csb1="00000000"/>
  </w:font>
  <w:font w:name="Corbel">
    <w:panose1 w:val="020B0503020204020204"/>
    <w:charset w:val="00"/>
    <w:family w:val="auto"/>
    <w:pitch w:val="default"/>
    <w:sig w:usb0="A00002EF" w:usb1="4000A44B" w:usb2="00000000" w:usb3="00000000" w:csb0="2000019F" w:csb1="00000000"/>
  </w:font>
  <w:font w:name="Cambria Math">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75C56">
    <w:pPr>
      <w:pStyle w:val="6"/>
      <w:jc w:val="center"/>
      <w:rPr>
        <w:rFonts w:ascii="Times New Roman" w:hAnsi="Times New Roman" w:cs="Times New Roman"/>
        <w:i/>
        <w:iCs/>
        <w:sz w:val="20"/>
        <w:szCs w:val="20"/>
        <w:lang w:val="en-US"/>
      </w:rPr>
    </w:pPr>
  </w:p>
  <w:p w14:paraId="5C9D971C">
    <w:pPr>
      <w:pStyle w:val="6"/>
      <w:jc w:val="center"/>
      <w:rPr>
        <w:rFonts w:ascii="Times New Roman" w:hAnsi="Times New Roman" w:cs="Times New Roman"/>
        <w:i/>
        <w:iCs/>
        <w:sz w:val="20"/>
        <w:szCs w:val="20"/>
        <w:lang w:val="en-US"/>
      </w:rPr>
    </w:pPr>
  </w:p>
  <w:p w14:paraId="6A231CCE">
    <w:pPr>
      <w:pStyle w:val="6"/>
      <w:jc w:val="center"/>
      <w:rPr>
        <w:rFonts w:ascii="Times New Roman" w:hAnsi="Times New Roman" w:cs="Times New Roman"/>
        <w:i/>
        <w:iCs/>
        <w:sz w:val="20"/>
        <w:szCs w:val="20"/>
        <w:lang w:val="en-US"/>
      </w:rPr>
    </w:pPr>
    <w:r>
      <w:rPr>
        <w:rFonts w:ascii="Times New Roman" w:hAnsi="Times New Roman" w:cs="Times New Roman"/>
        <w:i/>
        <w:iCs/>
        <w:sz w:val="20"/>
        <w:szCs w:val="20"/>
        <w:lang w:val="en-US"/>
      </w:rPr>
      <w:t>Penulis et al. /</w:t>
    </w:r>
    <w:r>
      <w:rPr>
        <w:rFonts w:ascii="Times New Roman" w:hAnsi="Times New Roman" w:cs="Times New Roman"/>
        <w:i/>
        <w:iCs/>
        <w:sz w:val="20"/>
        <w:szCs w:val="20"/>
      </w:rPr>
      <w:t xml:space="preserve"> J.Aquac.Indones</w:t>
    </w:r>
    <w:r>
      <w:rPr>
        <w:rFonts w:ascii="Times New Roman" w:hAnsi="Times New Roman" w:cs="Times New Roman"/>
        <w:i/>
        <w:iCs/>
        <w:sz w:val="20"/>
        <w:szCs w:val="20"/>
        <w:lang w:val="en-US"/>
      </w:rPr>
      <w:t>. Vol (No) 2021, halaman</w:t>
    </w:r>
  </w:p>
  <w:p w14:paraId="56052062">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0"/>
      <w:tblW w:w="8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89"/>
      <w:gridCol w:w="5518"/>
    </w:tblGrid>
    <w:tr w14:paraId="1A4F0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9" w:hRule="atLeast"/>
        <w:jc w:val="center"/>
      </w:trPr>
      <w:tc>
        <w:tcPr>
          <w:tcW w:w="2689" w:type="dxa"/>
        </w:tcPr>
        <w:p w14:paraId="4B9D8033">
          <w:pPr>
            <w:spacing w:after="0" w:line="240" w:lineRule="auto"/>
            <w:jc w:val="both"/>
            <w:rPr>
              <w:rFonts w:ascii="Times New Roman" w:hAnsi="Times New Roman" w:cs="Times New Roman"/>
              <w:b/>
              <w:bCs/>
              <w:sz w:val="18"/>
              <w:szCs w:val="18"/>
              <w:lang w:val="en-US"/>
            </w:rPr>
          </w:pPr>
          <w:r>
            <w:rPr>
              <w:rFonts w:ascii="Avenir Book" w:hAnsi="Avenir Book"/>
              <w:sz w:val="20"/>
              <w:lang w:val="en-US"/>
            </w:rPr>
            <w:drawing>
              <wp:anchor distT="0" distB="0" distL="114300" distR="114300" simplePos="0" relativeHeight="251659264" behindDoc="0" locked="0" layoutInCell="1" allowOverlap="1">
                <wp:simplePos x="0" y="0"/>
                <wp:positionH relativeFrom="column">
                  <wp:posOffset>18415</wp:posOffset>
                </wp:positionH>
                <wp:positionV relativeFrom="paragraph">
                  <wp:posOffset>226060</wp:posOffset>
                </wp:positionV>
                <wp:extent cx="1518920" cy="819150"/>
                <wp:effectExtent l="0" t="0" r="5715" b="635"/>
                <wp:wrapNone/>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t="12174" b="33913"/>
                        <a:stretch>
                          <a:fillRect/>
                        </a:stretch>
                      </pic:blipFill>
                      <pic:spPr>
                        <a:xfrm>
                          <a:off x="0" y="0"/>
                          <a:ext cx="1518848" cy="819100"/>
                        </a:xfrm>
                        <a:prstGeom prst="rect">
                          <a:avLst/>
                        </a:prstGeom>
                        <a:ln>
                          <a:noFill/>
                        </a:ln>
                      </pic:spPr>
                    </pic:pic>
                  </a:graphicData>
                </a:graphic>
              </wp:anchor>
            </w:drawing>
          </w:r>
        </w:p>
      </w:tc>
      <w:tc>
        <w:tcPr>
          <w:tcW w:w="5518" w:type="dxa"/>
        </w:tcPr>
        <w:p w14:paraId="69A1EBD0">
          <w:pPr>
            <w:spacing w:after="0" w:line="240" w:lineRule="auto"/>
            <w:jc w:val="right"/>
            <w:rPr>
              <w:rFonts w:ascii="Times New Roman" w:hAnsi="Times New Roman" w:cs="Times New Roman"/>
              <w:b/>
              <w:bCs/>
              <w:sz w:val="18"/>
              <w:szCs w:val="18"/>
              <w:lang w:val="en-US"/>
            </w:rPr>
          </w:pPr>
          <w:r>
            <w:rPr>
              <w:rFonts w:ascii="Times New Roman" w:hAnsi="Times New Roman" w:cs="Times New Roman"/>
              <w:b/>
              <w:bCs/>
              <w:i/>
              <w:iCs/>
              <w:sz w:val="18"/>
              <w:szCs w:val="18"/>
              <w:lang w:val="zh-CN"/>
            </w:rPr>
            <w:t>J.Aquac.Indones</w:t>
          </w:r>
          <w:r>
            <w:rPr>
              <w:rFonts w:ascii="Times New Roman" w:hAnsi="Times New Roman" w:cs="Times New Roman"/>
              <w:b/>
              <w:bCs/>
              <w:sz w:val="18"/>
              <w:szCs w:val="18"/>
              <w:lang w:val="en-US"/>
            </w:rPr>
            <w:t>. Vol No Edisi Tahun Nomor Halaman</w:t>
          </w:r>
        </w:p>
        <w:p w14:paraId="573CE413">
          <w:pPr>
            <w:spacing w:after="0" w:line="240" w:lineRule="auto"/>
            <w:jc w:val="both"/>
            <w:rPr>
              <w:rFonts w:ascii="Times New Roman" w:hAnsi="Times New Roman" w:cs="Times New Roman"/>
              <w:b/>
              <w:bCs/>
              <w:sz w:val="36"/>
              <w:szCs w:val="36"/>
              <w:lang w:val="en-US"/>
            </w:rPr>
          </w:pPr>
        </w:p>
        <w:p w14:paraId="0AAB3210">
          <w:pPr>
            <w:spacing w:after="0" w:line="240" w:lineRule="auto"/>
            <w:ind w:left="35"/>
            <w:jc w:val="both"/>
            <w:rPr>
              <w:rFonts w:ascii="Times New Roman" w:hAnsi="Times New Roman" w:cs="Times New Roman"/>
              <w:b/>
              <w:bCs/>
              <w:sz w:val="32"/>
              <w:szCs w:val="32"/>
              <w:lang w:val="en-US"/>
            </w:rPr>
          </w:pPr>
          <w:r>
            <w:rPr>
              <w:rFonts w:ascii="Times New Roman" w:hAnsi="Times New Roman" w:cs="Times New Roman"/>
              <w:b/>
              <w:bCs/>
              <w:sz w:val="32"/>
              <w:szCs w:val="32"/>
              <w:lang w:val="en-US"/>
            </w:rPr>
            <w:t>Jurnal AQUACULTURE Indonesia</w:t>
          </w:r>
        </w:p>
        <w:p w14:paraId="0E47237C">
          <w:pPr>
            <w:spacing w:after="0" w:line="360" w:lineRule="auto"/>
            <w:ind w:left="34"/>
            <w:rPr>
              <w:rFonts w:ascii="Times New Roman" w:hAnsi="Times New Roman" w:cs="Times New Roman"/>
              <w:sz w:val="20"/>
              <w:szCs w:val="20"/>
              <w:lang w:val="en-US"/>
            </w:rPr>
          </w:pPr>
          <w:r>
            <w:fldChar w:fldCharType="begin"/>
          </w:r>
          <w:r>
            <w:instrText xml:space="preserve"> HYPERLINK "http://jurnal.dharmawangsa.ac.id/index.php/akuakultur/index" </w:instrText>
          </w:r>
          <w:r>
            <w:fldChar w:fldCharType="separate"/>
          </w:r>
          <w:r>
            <w:rPr>
              <w:rStyle w:val="7"/>
              <w:rFonts w:ascii="Times New Roman" w:hAnsi="Times New Roman" w:cs="Times New Roman"/>
              <w:sz w:val="20"/>
              <w:szCs w:val="20"/>
              <w:lang w:val="en-US"/>
            </w:rPr>
            <w:t>http://jurnal.dharmawangsa.ac.id/index.php/akuakultur/index</w:t>
          </w:r>
          <w:r>
            <w:rPr>
              <w:rStyle w:val="7"/>
              <w:rFonts w:ascii="Times New Roman" w:hAnsi="Times New Roman" w:cs="Times New Roman"/>
              <w:sz w:val="20"/>
              <w:szCs w:val="20"/>
              <w:lang w:val="en-US"/>
            </w:rPr>
            <w:fldChar w:fldCharType="end"/>
          </w:r>
        </w:p>
        <w:p w14:paraId="7F3091EE">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p-</w:t>
          </w:r>
          <w:r>
            <w:rPr>
              <w:rFonts w:ascii="Times New Roman" w:hAnsi="Times New Roman" w:cs="Times New Roman"/>
              <w:sz w:val="24"/>
              <w:szCs w:val="24"/>
            </w:rPr>
            <w:t>ISS</w:t>
          </w:r>
          <w:r>
            <w:rPr>
              <w:rFonts w:ascii="Times New Roman" w:hAnsi="Times New Roman" w:cs="Times New Roman"/>
              <w:sz w:val="24"/>
              <w:szCs w:val="24"/>
              <w:lang w:val="en-US"/>
            </w:rPr>
            <w:t xml:space="preserve">N 2808-9629                      </w:t>
          </w:r>
          <w:r>
            <w:rPr>
              <w:rFonts w:ascii="Times New Roman" w:hAnsi="Times New Roman" w:cs="Times New Roman"/>
              <w:sz w:val="24"/>
              <w:szCs w:val="24"/>
            </w:rPr>
            <w:t>e-ISSN</w:t>
          </w:r>
          <w:r>
            <w:rPr>
              <w:rFonts w:ascii="Times New Roman" w:hAnsi="Times New Roman" w:cs="Times New Roman"/>
              <w:sz w:val="24"/>
              <w:szCs w:val="24"/>
              <w:lang w:val="en-US"/>
            </w:rPr>
            <w:t xml:space="preserve"> 2808-9634</w:t>
          </w:r>
        </w:p>
      </w:tc>
    </w:tr>
  </w:tbl>
  <w:p w14:paraId="63C352CA">
    <w:pPr>
      <w:pStyle w:val="6"/>
    </w:pPr>
    <w:r>
      <w:rPr>
        <w:lang w:val="en-US"/>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113665</wp:posOffset>
              </wp:positionV>
              <wp:extent cx="5038725" cy="0"/>
              <wp:effectExtent l="0" t="6350" r="0" b="6350"/>
              <wp:wrapNone/>
              <wp:docPr id="2" name="Straight Connector 3"/>
              <wp:cNvGraphicFramePr/>
              <a:graphic xmlns:a="http://schemas.openxmlformats.org/drawingml/2006/main">
                <a:graphicData uri="http://schemas.microsoft.com/office/word/2010/wordprocessingShape">
                  <wps:wsp>
                    <wps:cNvCnPr/>
                    <wps:spPr>
                      <a:xfrm>
                        <a:off x="0" y="0"/>
                        <a:ext cx="5038725" cy="0"/>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Straight Connector 3" o:spid="_x0000_s1026" o:spt="20" style="position:absolute;left:0pt;margin-left:0pt;margin-top:8.95pt;height:0pt;width:396.75pt;mso-position-horizontal-relative:margin;z-index:251660288;mso-width-relative:page;mso-height-relative:page;" filled="f" stroked="t" coordsize="21600,21600" o:gfxdata="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5vH4V1gAAAAYBAAAP&#10;AAAAAAAAAAEAIAAAACIAAABkcnMvZG93bnJldi54bWxQSwECFAAUAAAACACHTuJArKdCmeEBAADm&#10;AwAADgAAAAAAAAABACAAAAAlAQAAZHJzL2Uyb0RvYy54bWxQSwUGAAAAAAYABgBZAQAAeAUAAAAA&#10;">
              <v:fill on="f" focussize="0,0"/>
              <v:stroke weight="1pt" color="#000000"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741A4C"/>
    <w:multiLevelType w:val="singleLevel"/>
    <w:tmpl w:val="25741A4C"/>
    <w:lvl w:ilvl="0" w:tentative="0">
      <w:start w:val="1"/>
      <w:numFmt w:val="decimal"/>
      <w:suff w:val="space"/>
      <w:lvlText w:val="%1."/>
      <w:lvlJc w:val="left"/>
      <w:pPr>
        <w:ind w:left="-81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850"/>
    <w:rsid w:val="0004501D"/>
    <w:rsid w:val="0004679D"/>
    <w:rsid w:val="00094932"/>
    <w:rsid w:val="000D7DA1"/>
    <w:rsid w:val="00104485"/>
    <w:rsid w:val="00155395"/>
    <w:rsid w:val="00191F3B"/>
    <w:rsid w:val="001B099D"/>
    <w:rsid w:val="001B1C69"/>
    <w:rsid w:val="0020115E"/>
    <w:rsid w:val="002371AE"/>
    <w:rsid w:val="00275A08"/>
    <w:rsid w:val="002F2A6D"/>
    <w:rsid w:val="00370090"/>
    <w:rsid w:val="003723FA"/>
    <w:rsid w:val="003F4C25"/>
    <w:rsid w:val="004121CF"/>
    <w:rsid w:val="004158F4"/>
    <w:rsid w:val="004930AD"/>
    <w:rsid w:val="004D05A3"/>
    <w:rsid w:val="004D1E26"/>
    <w:rsid w:val="0050778A"/>
    <w:rsid w:val="0051276B"/>
    <w:rsid w:val="005B5513"/>
    <w:rsid w:val="006075DD"/>
    <w:rsid w:val="00615086"/>
    <w:rsid w:val="00621850"/>
    <w:rsid w:val="006B2620"/>
    <w:rsid w:val="006C1BDE"/>
    <w:rsid w:val="006C483D"/>
    <w:rsid w:val="006E5398"/>
    <w:rsid w:val="006E6CB4"/>
    <w:rsid w:val="008B7334"/>
    <w:rsid w:val="009740D5"/>
    <w:rsid w:val="009C23A6"/>
    <w:rsid w:val="00A00078"/>
    <w:rsid w:val="00A04023"/>
    <w:rsid w:val="00A153F9"/>
    <w:rsid w:val="00A169F0"/>
    <w:rsid w:val="00A349A0"/>
    <w:rsid w:val="00AA05AD"/>
    <w:rsid w:val="00AB61F7"/>
    <w:rsid w:val="00B06E33"/>
    <w:rsid w:val="00B35BD8"/>
    <w:rsid w:val="00B72482"/>
    <w:rsid w:val="00B95806"/>
    <w:rsid w:val="00BD043E"/>
    <w:rsid w:val="00CF5F60"/>
    <w:rsid w:val="00DC19BF"/>
    <w:rsid w:val="00DC6509"/>
    <w:rsid w:val="00EC1160"/>
    <w:rsid w:val="00F15CA8"/>
    <w:rsid w:val="00F545FF"/>
    <w:rsid w:val="00FE0253"/>
    <w:rsid w:val="00FF43BD"/>
    <w:rsid w:val="084F3130"/>
    <w:rsid w:val="0D3F03A2"/>
    <w:rsid w:val="105F0E4E"/>
    <w:rsid w:val="173C59AC"/>
    <w:rsid w:val="1814078F"/>
    <w:rsid w:val="1E824F42"/>
    <w:rsid w:val="27CB4D6A"/>
    <w:rsid w:val="2A1275CD"/>
    <w:rsid w:val="31397BD3"/>
    <w:rsid w:val="3A9315A8"/>
    <w:rsid w:val="42DC18F8"/>
    <w:rsid w:val="4A1E65BD"/>
    <w:rsid w:val="4D852E76"/>
    <w:rsid w:val="5777740D"/>
    <w:rsid w:val="7D0351A7"/>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id-ID"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footer"/>
    <w:basedOn w:val="1"/>
    <w:link w:val="12"/>
    <w:unhideWhenUsed/>
    <w:qFormat/>
    <w:uiPriority w:val="99"/>
    <w:pPr>
      <w:tabs>
        <w:tab w:val="center" w:pos="4513"/>
        <w:tab w:val="right" w:pos="9026"/>
      </w:tabs>
      <w:spacing w:after="0" w:line="240" w:lineRule="auto"/>
    </w:pPr>
  </w:style>
  <w:style w:type="paragraph" w:styleId="6">
    <w:name w:val="header"/>
    <w:basedOn w:val="1"/>
    <w:link w:val="11"/>
    <w:unhideWhenUsed/>
    <w:qFormat/>
    <w:uiPriority w:val="99"/>
    <w:pPr>
      <w:tabs>
        <w:tab w:val="center" w:pos="4513"/>
        <w:tab w:val="right" w:pos="9026"/>
      </w:tabs>
      <w:spacing w:after="0" w:line="240" w:lineRule="auto"/>
    </w:pPr>
  </w:style>
  <w:style w:type="character" w:styleId="7">
    <w:name w:val="Hyperlink"/>
    <w:basedOn w:val="2"/>
    <w:unhideWhenUsed/>
    <w:qFormat/>
    <w:uiPriority w:val="99"/>
    <w:rPr>
      <w:color w:val="0563C1" w:themeColor="hyperlink"/>
      <w:u w:val="single"/>
      <w14:textFill>
        <w14:solidFill>
          <w14:schemeClr w14:val="hlink"/>
        </w14:solidFill>
      </w14:textFill>
    </w:rPr>
  </w:style>
  <w:style w:type="paragraph" w:styleId="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9">
    <w:name w:val="Strong"/>
    <w:basedOn w:val="2"/>
    <w:qFormat/>
    <w:uiPriority w:val="22"/>
    <w:rPr>
      <w:b/>
      <w:bCs/>
    </w:rPr>
  </w:style>
  <w:style w:type="table" w:styleId="10">
    <w:name w:val="Table Grid"/>
    <w:basedOn w:val="3"/>
    <w:qFormat/>
    <w:uiPriority w:val="39"/>
    <w:rPr>
      <w:lang w:val="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Header Char"/>
    <w:basedOn w:val="2"/>
    <w:link w:val="6"/>
    <w:qFormat/>
    <w:uiPriority w:val="99"/>
  </w:style>
  <w:style w:type="character" w:customStyle="1" w:styleId="12">
    <w:name w:val="Footer Char"/>
    <w:basedOn w:val="2"/>
    <w:link w:val="5"/>
    <w:qFormat/>
    <w:uiPriority w:val="99"/>
  </w:style>
  <w:style w:type="paragraph" w:styleId="13">
    <w:name w:val="List Paragraph"/>
    <w:basedOn w:val="1"/>
    <w:qFormat/>
    <w:uiPriority w:val="34"/>
    <w:pPr>
      <w:ind w:left="720"/>
      <w:contextualSpacing/>
    </w:pPr>
  </w:style>
  <w:style w:type="table" w:customStyle="1" w:styleId="14">
    <w:name w:val="Plain Table 2"/>
    <w:basedOn w:val="3"/>
    <w:qFormat/>
    <w:uiPriority w:val="42"/>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HASIL%20PENELITIAN%20NINI\OLAH%20DATA%20PENELITI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ALE%20LAPTOP\Documents\OLAH%20DATA%20PENELITIAN.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oleObject" Target="file:///C:\Users\BALE%20LAPTOP\Documents\OLAH%20DATA%20PENELITIA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ALE%20LAPTOP\Documents\OLAH%20DATA%20PENELITIA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okument\OLAH%20DATA%20PENELITI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5"/>
              </a:solidFill>
              <a:ln>
                <a:gradFill>
                  <a:gsLst>
                    <a:gs pos="31006">
                      <a:srgbClr val="679CCD"/>
                    </a:gs>
                    <a:gs pos="0">
                      <a:schemeClr val="accent1">
                        <a:lumMod val="7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dPt>
          <c:dPt>
            <c:idx val="1"/>
            <c:invertIfNegative val="0"/>
            <c:bubble3D val="0"/>
            <c:spPr>
              <a:solidFill>
                <a:schemeClr val="accent2"/>
              </a:solidFill>
              <a:ln>
                <a:noFill/>
              </a:ln>
              <a:effectLst/>
            </c:spPr>
          </c:dPt>
          <c:dPt>
            <c:idx val="2"/>
            <c:invertIfNegative val="0"/>
            <c:bubble3D val="0"/>
            <c:spPr>
              <a:solidFill>
                <a:schemeClr val="accent6"/>
              </a:solidFill>
              <a:ln>
                <a:noFill/>
              </a:ln>
              <a:effectLst/>
            </c:spPr>
          </c:dPt>
          <c:dPt>
            <c:idx val="3"/>
            <c:invertIfNegative val="0"/>
            <c:bubble3D val="0"/>
            <c:spPr>
              <a:solidFill>
                <a:schemeClr val="accent3"/>
              </a:solidFill>
              <a:ln>
                <a:noFill/>
              </a:ln>
              <a:effectLst/>
            </c:spPr>
          </c:dPt>
          <c:dLbls>
            <c:dLbl>
              <c:idx val="0"/>
              <c:layout/>
              <c:tx>
                <c:rich>
                  <a:bodyPr rot="0" spcFirstLastPara="0" vertOverflow="ellipsis" vert="horz" wrap="square" lIns="38100" tIns="19050" rIns="38100" bIns="19050" anchor="ctr" anchorCtr="1"/>
                  <a:lstStyle/>
                  <a:p>
                    <a:pPr>
                      <a:defRPr lang="en-US" sz="900" b="0" i="0" u="none" strike="noStrike" kern="1200" baseline="0">
                        <a:solidFill>
                          <a:sysClr val="windowText" lastClr="000000"/>
                        </a:solidFill>
                        <a:latin typeface="+mn-lt"/>
                        <a:ea typeface="+mn-ea"/>
                        <a:cs typeface="+mn-cs"/>
                      </a:defRPr>
                    </a:pPr>
                    <a:r>
                      <a:rPr lang="en-US"/>
                      <a:t>a</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en-US" sz="900" b="0" i="0" u="none" strike="noStrike" kern="1200" baseline="0">
                        <a:solidFill>
                          <a:sysClr val="windowText" lastClr="000000"/>
                        </a:solidFill>
                        <a:latin typeface="+mn-lt"/>
                        <a:ea typeface="+mn-ea"/>
                        <a:cs typeface="+mn-cs"/>
                      </a:defRPr>
                    </a:pPr>
                    <a:r>
                      <a:rPr lang="en-US"/>
                      <a:t>ab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en-US" sz="900" b="0" i="0" u="none" strike="noStrike" kern="1200" baseline="0">
                        <a:solidFill>
                          <a:sysClr val="windowText" lastClr="000000"/>
                        </a:solidFill>
                        <a:latin typeface="+mn-lt"/>
                        <a:ea typeface="+mn-ea"/>
                        <a:cs typeface="+mn-cs"/>
                      </a:defRPr>
                    </a:pPr>
                    <a:r>
                      <a:rPr lang="en-US"/>
                      <a:t>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en-US" sz="900" b="0" i="0" u="none" strike="noStrike" kern="1200" baseline="0">
                        <a:solidFill>
                          <a:sysClr val="windowText" lastClr="000000"/>
                        </a:solidFill>
                        <a:latin typeface="+mn-lt"/>
                        <a:ea typeface="+mn-ea"/>
                        <a:cs typeface="+mn-cs"/>
                      </a:defRPr>
                    </a:pPr>
                    <a:r>
                      <a:rPr lang="en-US"/>
                      <a:t>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ysClr val="windowText" lastClr="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cust"/>
            <c:noEndCap val="0"/>
            <c:plus>
              <c:numRef>
                <c:f>'[OLAH DATA PENELITIAN.xlsx]Sheet1'!$D$19:$G$19</c:f>
                <c:numCache>
                  <c:formatCode>General</c:formatCode>
                  <c:ptCount val="4"/>
                  <c:pt idx="0">
                    <c:v>0.127958392624035</c:v>
                  </c:pt>
                  <c:pt idx="1">
                    <c:v>0.0795302901864929</c:v>
                  </c:pt>
                  <c:pt idx="2">
                    <c:v>0.253805421367909</c:v>
                  </c:pt>
                  <c:pt idx="3">
                    <c:v>0.465457911031506</c:v>
                  </c:pt>
                </c:numCache>
              </c:numRef>
            </c:plus>
            <c:minus>
              <c:numRef>
                <c:f>'[OLAH DATA PENELITIAN.xlsx]Sheet1'!$D$19:$G$19</c:f>
                <c:numCache>
                  <c:formatCode>General</c:formatCode>
                  <c:ptCount val="4"/>
                  <c:pt idx="0">
                    <c:v>0.127958392624035</c:v>
                  </c:pt>
                  <c:pt idx="1">
                    <c:v>0.0795302901864929</c:v>
                  </c:pt>
                  <c:pt idx="2">
                    <c:v>0.253805421367909</c:v>
                  </c:pt>
                  <c:pt idx="3">
                    <c:v>0.465457911031506</c:v>
                  </c:pt>
                </c:numCache>
              </c:numRef>
            </c:minus>
            <c:spPr>
              <a:noFill/>
              <a:ln w="9525" cap="flat" cmpd="sng" algn="ctr">
                <a:solidFill>
                  <a:schemeClr val="tx1">
                    <a:lumMod val="65000"/>
                    <a:lumOff val="35000"/>
                  </a:schemeClr>
                </a:solidFill>
                <a:prstDash val="solid"/>
                <a:round/>
              </a:ln>
              <a:effectLst/>
            </c:spPr>
          </c:errBars>
          <c:cat>
            <c:strRef>
              <c:f>'[OLAH DATA PENELITIAN.xlsx]Sheet1'!$D$13:$G$13</c:f>
              <c:strCache>
                <c:ptCount val="4"/>
                <c:pt idx="0">
                  <c:v>A</c:v>
                </c:pt>
                <c:pt idx="1">
                  <c:v>B</c:v>
                </c:pt>
                <c:pt idx="2">
                  <c:v>C</c:v>
                </c:pt>
                <c:pt idx="3">
                  <c:v>D</c:v>
                </c:pt>
              </c:strCache>
            </c:strRef>
          </c:cat>
          <c:val>
            <c:numRef>
              <c:f>'[OLAH DATA PENELITIAN.xlsx]Sheet1'!$D$18:$G$18</c:f>
              <c:numCache>
                <c:formatCode>General</c:formatCode>
                <c:ptCount val="4"/>
                <c:pt idx="0">
                  <c:v>5.4419128899209</c:v>
                </c:pt>
                <c:pt idx="1">
                  <c:v>5.73628589391489</c:v>
                </c:pt>
                <c:pt idx="2">
                  <c:v>5.78780914066392</c:v>
                </c:pt>
                <c:pt idx="3">
                  <c:v>5.81836831521605</c:v>
                </c:pt>
              </c:numCache>
            </c:numRef>
          </c:val>
        </c:ser>
        <c:dLbls>
          <c:showLegendKey val="0"/>
          <c:showVal val="1"/>
          <c:showCatName val="0"/>
          <c:showSerName val="0"/>
          <c:showPercent val="0"/>
          <c:showBubbleSize val="0"/>
        </c:dLbls>
        <c:gapWidth val="219"/>
        <c:overlap val="-27"/>
        <c:axId val="213839872"/>
        <c:axId val="213841792"/>
      </c:barChart>
      <c:catAx>
        <c:axId val="213839872"/>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en-US">
                    <a:solidFill>
                      <a:sysClr val="windowText" lastClr="000000"/>
                    </a:solidFill>
                  </a:rPr>
                  <a:t>Perlakuan</a:t>
                </a:r>
                <a:endParaRPr lang="id-ID">
                  <a:solidFill>
                    <a:sysClr val="windowText" lastClr="000000"/>
                  </a:solidFill>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p>
        </c:txPr>
        <c:crossAx val="213841792"/>
        <c:crosses val="autoZero"/>
        <c:auto val="1"/>
        <c:lblAlgn val="ctr"/>
        <c:lblOffset val="100"/>
        <c:noMultiLvlLbl val="0"/>
      </c:catAx>
      <c:valAx>
        <c:axId val="213841792"/>
        <c:scaling>
          <c:orientation val="minMax"/>
          <c:max val="7"/>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en-US">
                    <a:solidFill>
                      <a:sysClr val="windowText" lastClr="000000"/>
                    </a:solidFill>
                  </a:rPr>
                  <a:t>Nilai SGR (%)</a:t>
                </a:r>
                <a:endParaRPr lang="id-ID">
                  <a:solidFill>
                    <a:sysClr val="windowText" lastClr="000000"/>
                  </a:solidFill>
                </a:endParaRPr>
              </a:p>
            </c:rich>
          </c:tx>
          <c:layout/>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p>
        </c:txPr>
        <c:crossAx val="213839872"/>
        <c:crosses val="autoZero"/>
        <c:crossBetween val="between"/>
      </c:valAx>
      <c:spPr>
        <a:noFill/>
        <a:ln>
          <a:noFill/>
        </a:ln>
        <a:effectLst/>
      </c:spPr>
    </c:plotArea>
    <c:plotVisOnly val="1"/>
    <c:dispBlanksAs val="gap"/>
    <c:showDLblsOverMax val="0"/>
    <c:extLst>
      <c:ext uri="{0b15fc19-7d7d-44ad-8c2d-2c3a37ce22c3}">
        <chartProps xmlns="https://web.wps.cn/et/2018/main" chartId="{d679a59b-4ae0-4a39-842f-daa5916acf34}"/>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solidFill>
            <a:sysClr val="windowText" lastClr="000000"/>
          </a:solidFill>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5"/>
              </a:solidFill>
              <a:ln>
                <a:noFill/>
              </a:ln>
              <a:effectLst/>
            </c:spPr>
          </c:dPt>
          <c:dPt>
            <c:idx val="1"/>
            <c:invertIfNegative val="0"/>
            <c:bubble3D val="0"/>
            <c:spPr>
              <a:solidFill>
                <a:schemeClr val="accent2"/>
              </a:solidFill>
              <a:ln>
                <a:noFill/>
              </a:ln>
              <a:effectLst/>
            </c:spPr>
          </c:dPt>
          <c:dPt>
            <c:idx val="2"/>
            <c:invertIfNegative val="0"/>
            <c:bubble3D val="0"/>
            <c:spPr>
              <a:solidFill>
                <a:schemeClr val="accent6"/>
              </a:solidFill>
              <a:ln>
                <a:noFill/>
              </a:ln>
              <a:effectLst/>
            </c:spPr>
          </c:dPt>
          <c:dPt>
            <c:idx val="3"/>
            <c:invertIfNegative val="0"/>
            <c:bubble3D val="0"/>
            <c:spPr>
              <a:solidFill>
                <a:schemeClr val="accent3"/>
              </a:solidFill>
              <a:ln>
                <a:noFill/>
              </a:ln>
              <a:effectLst/>
            </c:spPr>
          </c:dPt>
          <c:dLbls>
            <c:dLbl>
              <c:idx val="0"/>
              <c:layout/>
              <c:tx>
                <c:rich>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r>
                      <a:rPr lang="en-US"/>
                      <a:t>a</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r>
                      <a:rPr lang="en-US"/>
                      <a:t>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r>
                      <a:rPr lang="en-US"/>
                      <a:t>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r>
                      <a:rPr lang="en-US"/>
                      <a:t>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cust"/>
            <c:noEndCap val="0"/>
            <c:plus>
              <c:numRef>
                <c:f>Sheet1!$D$44:$G$44</c:f>
                <c:numCache>
                  <c:formatCode>General</c:formatCode>
                  <c:ptCount val="4"/>
                  <c:pt idx="0">
                    <c:v>0.324248875608434</c:v>
                  </c:pt>
                  <c:pt idx="1">
                    <c:v>0.346462600194211</c:v>
                  </c:pt>
                  <c:pt idx="2">
                    <c:v>0.267586123207713</c:v>
                  </c:pt>
                  <c:pt idx="3">
                    <c:v>0.206039640199</c:v>
                  </c:pt>
                </c:numCache>
              </c:numRef>
            </c:plus>
            <c:minus>
              <c:numRef>
                <c:f>Sheet1!$D$44:$G$44</c:f>
                <c:numCache>
                  <c:formatCode>General</c:formatCode>
                  <c:ptCount val="4"/>
                  <c:pt idx="0">
                    <c:v>0.324248875608434</c:v>
                  </c:pt>
                  <c:pt idx="1">
                    <c:v>0.346462600194211</c:v>
                  </c:pt>
                  <c:pt idx="2">
                    <c:v>0.267586123207713</c:v>
                  </c:pt>
                  <c:pt idx="3">
                    <c:v>0.206039640199</c:v>
                  </c:pt>
                </c:numCache>
              </c:numRef>
            </c:minus>
            <c:spPr>
              <a:noFill/>
              <a:ln w="9525" cap="flat" cmpd="sng" algn="ctr">
                <a:solidFill>
                  <a:schemeClr val="tx1">
                    <a:lumMod val="65000"/>
                    <a:lumOff val="35000"/>
                  </a:schemeClr>
                </a:solidFill>
                <a:prstDash val="solid"/>
                <a:round/>
              </a:ln>
              <a:effectLst/>
            </c:spPr>
          </c:errBars>
          <c:cat>
            <c:strRef>
              <c:f>Sheet1!$D$38:$G$38</c:f>
              <c:strCache>
                <c:ptCount val="4"/>
                <c:pt idx="0">
                  <c:v>A</c:v>
                </c:pt>
                <c:pt idx="1">
                  <c:v>B</c:v>
                </c:pt>
                <c:pt idx="2">
                  <c:v>C</c:v>
                </c:pt>
                <c:pt idx="3">
                  <c:v>D</c:v>
                </c:pt>
              </c:strCache>
            </c:strRef>
          </c:cat>
          <c:val>
            <c:numRef>
              <c:f>Sheet1!$D$43:$G$43</c:f>
              <c:numCache>
                <c:formatCode>General</c:formatCode>
                <c:ptCount val="4"/>
                <c:pt idx="0">
                  <c:v>6.18666666666667</c:v>
                </c:pt>
                <c:pt idx="1">
                  <c:v>7.09966666666667</c:v>
                </c:pt>
                <c:pt idx="2">
                  <c:v>6.99366666666667</c:v>
                </c:pt>
                <c:pt idx="3">
                  <c:v>7.20133333333333</c:v>
                </c:pt>
              </c:numCache>
            </c:numRef>
          </c:val>
        </c:ser>
        <c:dLbls>
          <c:showLegendKey val="0"/>
          <c:showVal val="1"/>
          <c:showCatName val="0"/>
          <c:showSerName val="0"/>
          <c:showPercent val="0"/>
          <c:showBubbleSize val="0"/>
        </c:dLbls>
        <c:gapWidth val="219"/>
        <c:overlap val="-27"/>
        <c:axId val="134116480"/>
        <c:axId val="134118400"/>
      </c:barChart>
      <c:catAx>
        <c:axId val="134116480"/>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en-US">
                    <a:solidFill>
                      <a:sysClr val="windowText" lastClr="000000"/>
                    </a:solidFill>
                  </a:rPr>
                  <a:t>Perlakuan </a:t>
                </a:r>
                <a:endParaRPr lang="id-ID">
                  <a:solidFill>
                    <a:sysClr val="windowText" lastClr="000000"/>
                  </a:solidFill>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p>
        </c:txPr>
        <c:crossAx val="134118400"/>
        <c:crosses val="autoZero"/>
        <c:auto val="1"/>
        <c:lblAlgn val="ctr"/>
        <c:lblOffset val="100"/>
        <c:noMultiLvlLbl val="0"/>
      </c:catAx>
      <c:valAx>
        <c:axId val="134118400"/>
        <c:scaling>
          <c:orientation val="minMax"/>
          <c:max val="8"/>
          <c:min val="1"/>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en-US">
                    <a:solidFill>
                      <a:sysClr val="windowText" lastClr="000000"/>
                    </a:solidFill>
                  </a:rPr>
                  <a:t>Nilai</a:t>
                </a:r>
                <a:r>
                  <a:rPr lang="en-US" baseline="0">
                    <a:solidFill>
                      <a:sysClr val="windowText" lastClr="000000"/>
                    </a:solidFill>
                  </a:rPr>
                  <a:t> berat mutlak (g)</a:t>
                </a:r>
                <a:endParaRPr lang="id-ID">
                  <a:solidFill>
                    <a:sysClr val="windowText" lastClr="000000"/>
                  </a:solidFill>
                </a:endParaRPr>
              </a:p>
            </c:rich>
          </c:tx>
          <c:layout/>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p>
        </c:txPr>
        <c:crossAx val="134116480"/>
        <c:crosses val="autoZero"/>
        <c:crossBetween val="between"/>
      </c:valAx>
      <c:spPr>
        <a:noFill/>
        <a:ln>
          <a:noFill/>
        </a:ln>
        <a:effectLst/>
      </c:spPr>
    </c:plotArea>
    <c:plotVisOnly val="1"/>
    <c:dispBlanksAs val="gap"/>
    <c:showDLblsOverMax val="0"/>
    <c:extLst>
      <c:ext uri="{0b15fc19-7d7d-44ad-8c2d-2c3a37ce22c3}">
        <chartProps xmlns="https://web.wps.cn/et/2018/main" chartId="{8149a137-a294-4b0a-a73d-6829f54a21b2}"/>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spPr>
            <a:solidFill>
              <a:schemeClr val="accent5"/>
            </a:solidFill>
            <a:ln>
              <a:noFill/>
            </a:ln>
            <a:effectLst/>
          </c:spPr>
          <c:invertIfNegative val="0"/>
          <c:dPt>
            <c:idx val="0"/>
            <c:invertIfNegative val="0"/>
            <c:bubble3D val="0"/>
          </c:dPt>
          <c:dPt>
            <c:idx val="1"/>
            <c:invertIfNegative val="0"/>
            <c:bubble3D val="0"/>
            <c:spPr>
              <a:solidFill>
                <a:schemeClr val="accent2"/>
              </a:solidFill>
              <a:ln>
                <a:noFill/>
              </a:ln>
              <a:effectLst/>
            </c:spPr>
          </c:dPt>
          <c:dPt>
            <c:idx val="2"/>
            <c:invertIfNegative val="0"/>
            <c:bubble3D val="0"/>
            <c:spPr>
              <a:solidFill>
                <a:schemeClr val="accent6"/>
              </a:solidFill>
              <a:ln>
                <a:noFill/>
              </a:ln>
              <a:effectLst/>
            </c:spPr>
          </c:dPt>
          <c:dPt>
            <c:idx val="3"/>
            <c:invertIfNegative val="0"/>
            <c:bubble3D val="0"/>
            <c:spPr>
              <a:solidFill>
                <a:schemeClr val="accent3"/>
              </a:solidFill>
              <a:ln>
                <a:noFill/>
              </a:ln>
              <a:effectLst/>
            </c:spPr>
          </c:dPt>
          <c:dLbls>
            <c:dLbl>
              <c:idx val="0"/>
              <c:layout/>
              <c:tx>
                <c:rich>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r>
                      <a:rPr lang="en-US"/>
                      <a:t>a</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r>
                      <a:rPr lang="en-US"/>
                      <a:t>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r>
                      <a:rPr lang="en-US"/>
                      <a:t>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r>
                      <a:rPr lang="en-US"/>
                      <a:t>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cust"/>
            <c:noEndCap val="0"/>
            <c:plus>
              <c:numRef>
                <c:f>Sheet2!$D$19:$G$19</c:f>
                <c:numCache>
                  <c:formatCode>General</c:formatCode>
                  <c:ptCount val="4"/>
                  <c:pt idx="0">
                    <c:v>0.156204993518134</c:v>
                  </c:pt>
                  <c:pt idx="1">
                    <c:v>0.0200000000000005</c:v>
                  </c:pt>
                  <c:pt idx="2">
                    <c:v>0.0585946527708221</c:v>
                  </c:pt>
                  <c:pt idx="3">
                    <c:v>0.104083299973306</c:v>
                  </c:pt>
                </c:numCache>
              </c:numRef>
            </c:plus>
            <c:minus>
              <c:numRef>
                <c:f>Sheet2!$D$19:$G$19</c:f>
                <c:numCache>
                  <c:formatCode>General</c:formatCode>
                  <c:ptCount val="4"/>
                  <c:pt idx="0">
                    <c:v>0.156204993518134</c:v>
                  </c:pt>
                  <c:pt idx="1">
                    <c:v>0.0200000000000005</c:v>
                  </c:pt>
                  <c:pt idx="2">
                    <c:v>0.0585946527708221</c:v>
                  </c:pt>
                  <c:pt idx="3">
                    <c:v>0.104083299973306</c:v>
                  </c:pt>
                </c:numCache>
              </c:numRef>
            </c:minus>
            <c:spPr>
              <a:noFill/>
              <a:ln w="9525" cap="flat" cmpd="sng" algn="ctr">
                <a:solidFill>
                  <a:schemeClr val="tx1">
                    <a:lumMod val="65000"/>
                    <a:lumOff val="35000"/>
                  </a:schemeClr>
                </a:solidFill>
                <a:prstDash val="solid"/>
                <a:round/>
              </a:ln>
              <a:effectLst/>
            </c:spPr>
          </c:errBars>
          <c:cat>
            <c:strRef>
              <c:f>Sheet2!$D$13:$G$13</c:f>
              <c:strCache>
                <c:ptCount val="4"/>
                <c:pt idx="0">
                  <c:v>A</c:v>
                </c:pt>
                <c:pt idx="1">
                  <c:v>B</c:v>
                </c:pt>
                <c:pt idx="2">
                  <c:v>C</c:v>
                </c:pt>
                <c:pt idx="3">
                  <c:v>D</c:v>
                </c:pt>
              </c:strCache>
            </c:strRef>
          </c:cat>
          <c:val>
            <c:numRef>
              <c:f>Sheet2!$D$18:$G$18</c:f>
              <c:numCache>
                <c:formatCode>General</c:formatCode>
                <c:ptCount val="4"/>
                <c:pt idx="0">
                  <c:v>5.16</c:v>
                </c:pt>
                <c:pt idx="1">
                  <c:v>5.72</c:v>
                </c:pt>
                <c:pt idx="2">
                  <c:v>5.68666666666667</c:v>
                </c:pt>
                <c:pt idx="3">
                  <c:v>5.72666666666667</c:v>
                </c:pt>
              </c:numCache>
            </c:numRef>
          </c:val>
        </c:ser>
        <c:dLbls>
          <c:showLegendKey val="0"/>
          <c:showVal val="1"/>
          <c:showCatName val="0"/>
          <c:showSerName val="0"/>
          <c:showPercent val="0"/>
          <c:showBubbleSize val="0"/>
        </c:dLbls>
        <c:gapWidth val="219"/>
        <c:overlap val="-27"/>
        <c:axId val="134322048"/>
        <c:axId val="134324224"/>
      </c:barChart>
      <c:catAx>
        <c:axId val="134322048"/>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en-US">
                    <a:solidFill>
                      <a:sysClr val="windowText" lastClr="000000"/>
                    </a:solidFill>
                  </a:rPr>
                  <a:t>Perlakuan </a:t>
                </a:r>
                <a:endParaRPr lang="id-ID">
                  <a:solidFill>
                    <a:sysClr val="windowText" lastClr="000000"/>
                  </a:solidFill>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p>
        </c:txPr>
        <c:crossAx val="134324224"/>
        <c:crosses val="autoZero"/>
        <c:auto val="1"/>
        <c:lblAlgn val="ctr"/>
        <c:lblOffset val="100"/>
        <c:noMultiLvlLbl val="0"/>
      </c:catAx>
      <c:valAx>
        <c:axId val="134324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en-US">
                    <a:solidFill>
                      <a:sysClr val="windowText" lastClr="000000"/>
                    </a:solidFill>
                  </a:rPr>
                  <a:t>Nilai</a:t>
                </a:r>
                <a:r>
                  <a:rPr lang="en-US" baseline="0">
                    <a:solidFill>
                      <a:sysClr val="windowText" lastClr="000000"/>
                    </a:solidFill>
                  </a:rPr>
                  <a:t> panjang mutlak (cm)</a:t>
                </a:r>
                <a:r>
                  <a:rPr lang="en-US">
                    <a:solidFill>
                      <a:sysClr val="windowText" lastClr="000000"/>
                    </a:solidFill>
                  </a:rPr>
                  <a:t> </a:t>
                </a:r>
                <a:endParaRPr lang="id-ID">
                  <a:solidFill>
                    <a:sysClr val="windowText" lastClr="000000"/>
                  </a:solidFill>
                </a:endParaRPr>
              </a:p>
            </c:rich>
          </c:tx>
          <c:layout/>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p>
        </c:txPr>
        <c:crossAx val="134322048"/>
        <c:crosses val="autoZero"/>
        <c:crossBetween val="between"/>
      </c:valAx>
      <c:spPr>
        <a:noFill/>
        <a:ln>
          <a:noFill/>
        </a:ln>
        <a:effectLst/>
      </c:spPr>
    </c:plotArea>
    <c:plotVisOnly val="1"/>
    <c:dispBlanksAs val="gap"/>
    <c:showDLblsOverMax val="0"/>
    <c:extLst>
      <c:ext uri="{0b15fc19-7d7d-44ad-8c2d-2c3a37ce22c3}">
        <chartProps xmlns="https://web.wps.cn/et/2018/main" chartId="{237d18ac-9234-4d8e-a4e1-0167b1891dd6}"/>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1"/>
        <c:ser>
          <c:idx val="0"/>
          <c:order val="0"/>
          <c:invertIfNegative val="0"/>
          <c:dPt>
            <c:idx val="0"/>
            <c:invertIfNegative val="0"/>
            <c:bubble3D val="0"/>
            <c:spPr>
              <a:solidFill>
                <a:schemeClr val="accent5"/>
              </a:solidFill>
              <a:ln>
                <a:noFill/>
              </a:ln>
              <a:effectLst/>
            </c:spPr>
          </c:dPt>
          <c:dPt>
            <c:idx val="1"/>
            <c:invertIfNegative val="0"/>
            <c:bubble3D val="0"/>
            <c:spPr>
              <a:solidFill>
                <a:schemeClr val="accent2"/>
              </a:solidFill>
              <a:ln>
                <a:noFill/>
              </a:ln>
              <a:effectLst/>
            </c:spPr>
          </c:dPt>
          <c:dPt>
            <c:idx val="2"/>
            <c:invertIfNegative val="0"/>
            <c:bubble3D val="0"/>
            <c:spPr>
              <a:solidFill>
                <a:schemeClr val="accent6"/>
              </a:solidFill>
              <a:ln>
                <a:noFill/>
              </a:ln>
              <a:effectLst/>
            </c:spPr>
          </c:dPt>
          <c:dPt>
            <c:idx val="3"/>
            <c:invertIfNegative val="0"/>
            <c:bubble3D val="0"/>
            <c:spPr>
              <a:solidFill>
                <a:schemeClr val="accent3"/>
              </a:solidFill>
              <a:ln>
                <a:noFill/>
              </a:ln>
              <a:effectLst/>
            </c:spPr>
          </c:dPt>
          <c:dLbls>
            <c:delete val="1"/>
          </c:dLbls>
          <c:cat>
            <c:strRef>
              <c:f>Sheet4!$B$3:$E$3</c:f>
              <c:strCache>
                <c:ptCount val="4"/>
                <c:pt idx="0">
                  <c:v>A</c:v>
                </c:pt>
                <c:pt idx="1">
                  <c:v>B</c:v>
                </c:pt>
                <c:pt idx="2">
                  <c:v>C</c:v>
                </c:pt>
                <c:pt idx="3">
                  <c:v>D</c:v>
                </c:pt>
              </c:strCache>
            </c:strRef>
          </c:cat>
          <c:val>
            <c:numRef>
              <c:f>Sheet4!$B$4:$E$4</c:f>
              <c:numCache>
                <c:formatCode>0%</c:formatCode>
                <c:ptCount val="4"/>
                <c:pt idx="0">
                  <c:v>1</c:v>
                </c:pt>
                <c:pt idx="1">
                  <c:v>1</c:v>
                </c:pt>
                <c:pt idx="2">
                  <c:v>1</c:v>
                </c:pt>
                <c:pt idx="3">
                  <c:v>1</c:v>
                </c:pt>
              </c:numCache>
            </c:numRef>
          </c:val>
        </c:ser>
        <c:dLbls>
          <c:showLegendKey val="0"/>
          <c:showVal val="1"/>
          <c:showCatName val="0"/>
          <c:showSerName val="0"/>
          <c:showPercent val="0"/>
          <c:showBubbleSize val="0"/>
        </c:dLbls>
        <c:gapWidth val="219"/>
        <c:overlap val="-27"/>
        <c:axId val="157248896"/>
        <c:axId val="157262208"/>
      </c:barChart>
      <c:catAx>
        <c:axId val="157248896"/>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Perlakuan </a:t>
                </a:r>
                <a:endParaRPr lang="id-ID">
                  <a:solidFill>
                    <a:sysClr val="windowText" lastClr="000000"/>
                  </a:solidFill>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p>
        </c:txPr>
        <c:crossAx val="157262208"/>
        <c:crosses val="autoZero"/>
        <c:auto val="1"/>
        <c:lblAlgn val="ctr"/>
        <c:lblOffset val="100"/>
        <c:noMultiLvlLbl val="0"/>
      </c:catAx>
      <c:valAx>
        <c:axId val="157262208"/>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Nilai SR (%)</a:t>
                </a:r>
                <a:endParaRPr lang="en-US" altLang="id-ID">
                  <a:solidFill>
                    <a:sysClr val="windowText" lastClr="000000"/>
                  </a:solidFill>
                </a:endParaRPr>
              </a:p>
            </c:rich>
          </c:tx>
          <c:layout/>
          <c:overlay val="0"/>
          <c:spPr>
            <a:noFill/>
            <a:ln>
              <a:noFill/>
            </a:ln>
            <a:effectLst/>
          </c:spPr>
        </c:title>
        <c:numFmt formatCode="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p>
        </c:txPr>
        <c:crossAx val="157248896"/>
        <c:crosses val="autoZero"/>
        <c:crossBetween val="between"/>
      </c:valAx>
      <c:spPr>
        <a:noFill/>
        <a:ln>
          <a:noFill/>
        </a:ln>
        <a:effectLst/>
      </c:spPr>
    </c:plotArea>
    <c:plotVisOnly val="1"/>
    <c:dispBlanksAs val="gap"/>
    <c:showDLblsOverMax val="0"/>
    <c:extLst>
      <c:ext uri="{0b15fc19-7d7d-44ad-8c2d-2c3a37ce22c3}">
        <chartProps xmlns="https://web.wps.cn/et/2018/main" chartId="{ceba19e0-9660-4260-b0bd-32383ccc218d}"/>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spPr>
            <a:solidFill>
              <a:schemeClr val="accent5"/>
            </a:solidFill>
            <a:ln>
              <a:noFill/>
            </a:ln>
            <a:effectLst/>
          </c:spPr>
          <c:invertIfNegative val="0"/>
          <c:dPt>
            <c:idx val="0"/>
            <c:invertIfNegative val="0"/>
            <c:bubble3D val="0"/>
          </c:dPt>
          <c:dPt>
            <c:idx val="1"/>
            <c:invertIfNegative val="0"/>
            <c:bubble3D val="0"/>
            <c:spPr>
              <a:solidFill>
                <a:schemeClr val="accent2"/>
              </a:solidFill>
              <a:ln>
                <a:noFill/>
              </a:ln>
              <a:effectLst/>
            </c:spPr>
          </c:dPt>
          <c:dPt>
            <c:idx val="2"/>
            <c:invertIfNegative val="0"/>
            <c:bubble3D val="0"/>
            <c:spPr>
              <a:solidFill>
                <a:schemeClr val="accent6"/>
              </a:solidFill>
              <a:ln>
                <a:noFill/>
              </a:ln>
              <a:effectLst/>
            </c:spPr>
          </c:dPt>
          <c:dPt>
            <c:idx val="3"/>
            <c:invertIfNegative val="0"/>
            <c:bubble3D val="0"/>
            <c:spPr>
              <a:solidFill>
                <a:schemeClr val="accent3"/>
              </a:solidFill>
              <a:ln>
                <a:noFill/>
              </a:ln>
              <a:effectLst/>
            </c:spPr>
          </c:dPt>
          <c:dLbls>
            <c:dLbl>
              <c:idx val="0"/>
              <c:layout/>
              <c:tx>
                <c:rich>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r>
                      <a:rPr lang="en-US"/>
                      <a:t>a</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r>
                      <a:rPr lang="en-US"/>
                      <a:t>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r>
                      <a:rPr lang="en-US"/>
                      <a:t>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r>
                      <a:rPr lang="en-US"/>
                      <a:t>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cust"/>
            <c:noEndCap val="0"/>
            <c:plus>
              <c:numRef>
                <c:f>Sheet2!$D$44:$G$44</c:f>
                <c:numCache>
                  <c:formatCode>General</c:formatCode>
                  <c:ptCount val="4"/>
                  <c:pt idx="0">
                    <c:v>0.15138648237023</c:v>
                  </c:pt>
                  <c:pt idx="1">
                    <c:v>0.0540556640993106</c:v>
                  </c:pt>
                  <c:pt idx="2">
                    <c:v>0.0420591271963617</c:v>
                  </c:pt>
                  <c:pt idx="3">
                    <c:v>0.0224144811119269</c:v>
                  </c:pt>
                </c:numCache>
              </c:numRef>
            </c:plus>
            <c:minus>
              <c:numRef>
                <c:f>Sheet2!$D$44:$G$44</c:f>
                <c:numCache>
                  <c:formatCode>General</c:formatCode>
                  <c:ptCount val="4"/>
                  <c:pt idx="0">
                    <c:v>0.15138648237023</c:v>
                  </c:pt>
                  <c:pt idx="1">
                    <c:v>0.0540556640993106</c:v>
                  </c:pt>
                  <c:pt idx="2">
                    <c:v>0.0420591271963617</c:v>
                  </c:pt>
                  <c:pt idx="3">
                    <c:v>0.0224144811119269</c:v>
                  </c:pt>
                </c:numCache>
              </c:numRef>
            </c:minus>
            <c:spPr>
              <a:noFill/>
              <a:ln w="9525" cap="flat" cmpd="sng" algn="ctr">
                <a:solidFill>
                  <a:schemeClr val="tx1">
                    <a:lumMod val="65000"/>
                    <a:lumOff val="35000"/>
                  </a:schemeClr>
                </a:solidFill>
                <a:prstDash val="solid"/>
                <a:round/>
              </a:ln>
              <a:effectLst/>
            </c:spPr>
          </c:errBars>
          <c:cat>
            <c:strRef>
              <c:f>Sheet2!$D$38:$G$38</c:f>
              <c:strCache>
                <c:ptCount val="4"/>
                <c:pt idx="0">
                  <c:v>A</c:v>
                </c:pt>
                <c:pt idx="1">
                  <c:v>B</c:v>
                </c:pt>
                <c:pt idx="2">
                  <c:v>C</c:v>
                </c:pt>
                <c:pt idx="3">
                  <c:v>D</c:v>
                </c:pt>
              </c:strCache>
            </c:strRef>
          </c:cat>
          <c:val>
            <c:numRef>
              <c:f>Sheet2!$D$43:$G$43</c:f>
              <c:numCache>
                <c:formatCode>General</c:formatCode>
                <c:ptCount val="4"/>
                <c:pt idx="0">
                  <c:v>1.44139333425111</c:v>
                </c:pt>
                <c:pt idx="1">
                  <c:v>1.13515845880977</c:v>
                </c:pt>
                <c:pt idx="2">
                  <c:v>1.16478028169014</c:v>
                </c:pt>
                <c:pt idx="3">
                  <c:v>1.09756927173445</c:v>
                </c:pt>
              </c:numCache>
            </c:numRef>
          </c:val>
        </c:ser>
        <c:dLbls>
          <c:showLegendKey val="0"/>
          <c:showVal val="1"/>
          <c:showCatName val="0"/>
          <c:showSerName val="0"/>
          <c:showPercent val="0"/>
          <c:showBubbleSize val="0"/>
        </c:dLbls>
        <c:gapWidth val="219"/>
        <c:overlap val="-27"/>
        <c:axId val="157777280"/>
        <c:axId val="157787648"/>
      </c:barChart>
      <c:catAx>
        <c:axId val="157777280"/>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en-US">
                    <a:solidFill>
                      <a:sysClr val="windowText" lastClr="000000"/>
                    </a:solidFill>
                  </a:rPr>
                  <a:t>Perlakuan</a:t>
                </a:r>
                <a:endParaRPr lang="id-ID">
                  <a:solidFill>
                    <a:sysClr val="windowText" lastClr="000000"/>
                  </a:solidFill>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p>
        </c:txPr>
        <c:crossAx val="157787648"/>
        <c:crosses val="autoZero"/>
        <c:auto val="1"/>
        <c:lblAlgn val="ctr"/>
        <c:lblOffset val="100"/>
        <c:noMultiLvlLbl val="0"/>
      </c:catAx>
      <c:valAx>
        <c:axId val="157787648"/>
        <c:scaling>
          <c:orientation val="minMax"/>
          <c:max val="1.6"/>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en-US">
                    <a:solidFill>
                      <a:sysClr val="windowText" lastClr="000000"/>
                    </a:solidFill>
                  </a:rPr>
                  <a:t>Nilai FCR</a:t>
                </a:r>
                <a:endParaRPr lang="id-ID">
                  <a:solidFill>
                    <a:sysClr val="windowText" lastClr="000000"/>
                  </a:solidFill>
                </a:endParaRPr>
              </a:p>
            </c:rich>
          </c:tx>
          <c:layout/>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p>
        </c:txPr>
        <c:crossAx val="157777280"/>
        <c:crosses val="autoZero"/>
        <c:crossBetween val="between"/>
        <c:minorUnit val="0.05"/>
      </c:valAx>
      <c:spPr>
        <a:noFill/>
        <a:ln>
          <a:noFill/>
        </a:ln>
        <a:effectLst/>
      </c:spPr>
    </c:plotArea>
    <c:plotVisOnly val="1"/>
    <c:dispBlanksAs val="gap"/>
    <c:showDLblsOverMax val="0"/>
    <c:extLst>
      <c:ext uri="{0b15fc19-7d7d-44ad-8c2d-2c3a37ce22c3}">
        <chartProps xmlns="https://web.wps.cn/et/2018/main" chartId="{9d519534-3fe4-4507-a5cf-d6c3db02837a}"/>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437501370112"/>
          <c:y val="0.155963127628302"/>
          <c:w val="0.798728113534804"/>
          <c:h val="0.678617460347759"/>
        </c:manualLayout>
      </c:layout>
      <c:barChart>
        <c:barDir val="col"/>
        <c:grouping val="clustered"/>
        <c:varyColors val="0"/>
        <c:ser>
          <c:idx val="0"/>
          <c:order val="0"/>
          <c:spPr>
            <a:solidFill>
              <a:schemeClr val="accent5"/>
            </a:solidFill>
            <a:ln>
              <a:noFill/>
            </a:ln>
            <a:effectLst/>
          </c:spPr>
          <c:invertIfNegative val="0"/>
          <c:dPt>
            <c:idx val="0"/>
            <c:invertIfNegative val="0"/>
            <c:bubble3D val="0"/>
          </c:dPt>
          <c:dPt>
            <c:idx val="1"/>
            <c:invertIfNegative val="0"/>
            <c:bubble3D val="0"/>
            <c:spPr>
              <a:solidFill>
                <a:schemeClr val="accent2"/>
              </a:solidFill>
              <a:ln>
                <a:noFill/>
              </a:ln>
              <a:effectLst/>
            </c:spPr>
          </c:dPt>
          <c:dPt>
            <c:idx val="2"/>
            <c:invertIfNegative val="0"/>
            <c:bubble3D val="0"/>
            <c:spPr>
              <a:solidFill>
                <a:schemeClr val="accent6"/>
              </a:solidFill>
              <a:ln>
                <a:noFill/>
              </a:ln>
              <a:effectLst/>
            </c:spPr>
          </c:dPt>
          <c:dPt>
            <c:idx val="3"/>
            <c:invertIfNegative val="0"/>
            <c:bubble3D val="0"/>
            <c:spPr>
              <a:solidFill>
                <a:schemeClr val="accent3"/>
              </a:solidFill>
              <a:ln>
                <a:noFill/>
              </a:ln>
              <a:effectLst/>
            </c:spPr>
          </c:dPt>
          <c:dLbls>
            <c:dLbl>
              <c:idx val="0"/>
              <c:layout/>
              <c:tx>
                <c:rich>
                  <a:bodyPr rot="0" spcFirstLastPara="0" vertOverflow="ellipsis" vert="horz" wrap="square" lIns="38100" tIns="19050" rIns="38100" bIns="19050" anchor="ctr" anchorCtr="1"/>
                  <a:lstStyle/>
                  <a:p>
                    <a:pPr>
                      <a:defRPr lang="en-US" sz="900" b="0" i="0" u="none" strike="noStrike" kern="1200" baseline="0">
                        <a:solidFill>
                          <a:sysClr val="windowText" lastClr="000000"/>
                        </a:solidFill>
                        <a:latin typeface="+mn-lt"/>
                        <a:ea typeface="+mn-ea"/>
                        <a:cs typeface="+mn-cs"/>
                      </a:defRPr>
                    </a:pPr>
                    <a:r>
                      <a:rPr lang="en-US"/>
                      <a:t>a</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en-US" sz="900" b="0" i="0" u="none" strike="noStrike" kern="1200" baseline="0">
                        <a:solidFill>
                          <a:sysClr val="windowText" lastClr="000000"/>
                        </a:solidFill>
                        <a:latin typeface="+mn-lt"/>
                        <a:ea typeface="+mn-ea"/>
                        <a:cs typeface="+mn-cs"/>
                      </a:defRPr>
                    </a:pPr>
                    <a:r>
                      <a:rPr lang="en-US"/>
                      <a:t>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en-US" sz="900" b="0" i="0" u="none" strike="noStrike" kern="1200" baseline="0">
                        <a:solidFill>
                          <a:sysClr val="windowText" lastClr="000000"/>
                        </a:solidFill>
                        <a:latin typeface="+mn-lt"/>
                        <a:ea typeface="+mn-ea"/>
                        <a:cs typeface="+mn-cs"/>
                      </a:defRPr>
                    </a:pPr>
                    <a:r>
                      <a:rPr lang="en-US"/>
                      <a:t>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en-US" sz="900" b="0" i="0" u="none" strike="noStrike" kern="1200" baseline="0">
                        <a:solidFill>
                          <a:sysClr val="windowText" lastClr="000000"/>
                        </a:solidFill>
                        <a:latin typeface="+mn-lt"/>
                        <a:ea typeface="+mn-ea"/>
                        <a:cs typeface="+mn-cs"/>
                      </a:defRPr>
                    </a:pPr>
                    <a:r>
                      <a:rPr lang="en-US"/>
                      <a:t>b</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ysClr val="windowText" lastClr="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cust"/>
            <c:noEndCap val="0"/>
            <c:plus>
              <c:numRef>
                <c:f>Sheet3!$D$19:$G$19</c:f>
                <c:numCache>
                  <c:formatCode>General</c:formatCode>
                  <c:ptCount val="4"/>
                  <c:pt idx="0">
                    <c:v>3.50769574619458</c:v>
                  </c:pt>
                  <c:pt idx="1">
                    <c:v>3.51075928350771</c:v>
                  </c:pt>
                  <c:pt idx="2">
                    <c:v>2.64648652114327</c:v>
                  </c:pt>
                  <c:pt idx="3">
                    <c:v>1.53475012285822</c:v>
                  </c:pt>
                </c:numCache>
              </c:numRef>
            </c:plus>
            <c:minus>
              <c:numRef>
                <c:f>Sheet3!$D$19:$G$19</c:f>
                <c:numCache>
                  <c:formatCode>General</c:formatCode>
                  <c:ptCount val="4"/>
                  <c:pt idx="0">
                    <c:v>3.50769574619458</c:v>
                  </c:pt>
                  <c:pt idx="1">
                    <c:v>3.51075928350771</c:v>
                  </c:pt>
                  <c:pt idx="2">
                    <c:v>2.64648652114327</c:v>
                  </c:pt>
                  <c:pt idx="3">
                    <c:v>1.53475012285822</c:v>
                  </c:pt>
                </c:numCache>
              </c:numRef>
            </c:minus>
            <c:spPr>
              <a:noFill/>
              <a:ln w="9525" cap="flat" cmpd="sng" algn="ctr">
                <a:solidFill>
                  <a:schemeClr val="tx1">
                    <a:lumMod val="65000"/>
                    <a:lumOff val="35000"/>
                  </a:schemeClr>
                </a:solidFill>
                <a:prstDash val="solid"/>
                <a:round/>
              </a:ln>
              <a:effectLst/>
            </c:spPr>
          </c:errBars>
          <c:cat>
            <c:strRef>
              <c:f>Sheet3!$D$13:$G$13</c:f>
              <c:strCache>
                <c:ptCount val="4"/>
                <c:pt idx="0">
                  <c:v>A</c:v>
                </c:pt>
                <c:pt idx="1">
                  <c:v>B</c:v>
                </c:pt>
                <c:pt idx="2">
                  <c:v>C</c:v>
                </c:pt>
                <c:pt idx="3">
                  <c:v>D</c:v>
                </c:pt>
              </c:strCache>
            </c:strRef>
          </c:cat>
          <c:val>
            <c:numRef>
              <c:f>Sheet3!$D$18:$G$18</c:f>
              <c:numCache>
                <c:formatCode>General</c:formatCode>
                <c:ptCount val="4"/>
                <c:pt idx="0">
                  <c:v>64.2928481509848</c:v>
                </c:pt>
                <c:pt idx="1">
                  <c:v>73.2982145835263</c:v>
                </c:pt>
                <c:pt idx="2">
                  <c:v>71.9675952787019</c:v>
                </c:pt>
                <c:pt idx="3">
                  <c:v>74.2975474361514</c:v>
                </c:pt>
              </c:numCache>
            </c:numRef>
          </c:val>
        </c:ser>
        <c:dLbls>
          <c:showLegendKey val="0"/>
          <c:showVal val="1"/>
          <c:showCatName val="0"/>
          <c:showSerName val="0"/>
          <c:showPercent val="0"/>
          <c:showBubbleSize val="0"/>
        </c:dLbls>
        <c:gapWidth val="219"/>
        <c:overlap val="-27"/>
        <c:axId val="158715904"/>
        <c:axId val="158717824"/>
      </c:barChart>
      <c:catAx>
        <c:axId val="158715904"/>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en-US">
                    <a:solidFill>
                      <a:sysClr val="windowText" lastClr="000000"/>
                    </a:solidFill>
                  </a:rPr>
                  <a:t>Perlakuan </a:t>
                </a:r>
                <a:endParaRPr lang="id-ID">
                  <a:solidFill>
                    <a:sysClr val="windowText" lastClr="000000"/>
                  </a:solidFill>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p>
        </c:txPr>
        <c:crossAx val="158717824"/>
        <c:crosses val="autoZero"/>
        <c:auto val="1"/>
        <c:lblAlgn val="ctr"/>
        <c:lblOffset val="100"/>
        <c:noMultiLvlLbl val="0"/>
      </c:catAx>
      <c:valAx>
        <c:axId val="158717824"/>
        <c:scaling>
          <c:orientation val="minMax"/>
          <c:max val="100"/>
          <c:min val="0"/>
        </c:scaling>
        <c:delete val="0"/>
        <c:axPos val="l"/>
        <c:majorGridlines>
          <c:spPr>
            <a:ln w="9525" cap="flat" cmpd="sng" algn="ctr">
              <a:solidFill>
                <a:schemeClr val="tx1">
                  <a:lumMod val="15000"/>
                  <a:lumOff val="85000"/>
                </a:schemeClr>
              </a:solidFill>
              <a:prstDash val="solid"/>
              <a:round/>
            </a:ln>
            <a:effectLst/>
          </c:spPr>
        </c:majorGridlines>
        <c:minorGridlines>
          <c:spPr>
            <a:ln w="9525" cap="flat" cmpd="sng" algn="ctr">
              <a:solidFill>
                <a:schemeClr val="tx1">
                  <a:lumMod val="5000"/>
                  <a:lumOff val="95000"/>
                </a:schemeClr>
              </a:solidFill>
              <a:prstDash val="solid"/>
              <a:round/>
            </a:ln>
            <a:effectLst/>
          </c:spPr>
        </c:min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en-US">
                    <a:solidFill>
                      <a:sysClr val="windowText" lastClr="000000"/>
                    </a:solidFill>
                  </a:rPr>
                  <a:t>Nilai Efisiensi</a:t>
                </a:r>
                <a:r>
                  <a:rPr lang="en-US" baseline="0">
                    <a:solidFill>
                      <a:sysClr val="windowText" lastClr="000000"/>
                    </a:solidFill>
                  </a:rPr>
                  <a:t> pakan (%)</a:t>
                </a:r>
                <a:endParaRPr lang="id-ID">
                  <a:solidFill>
                    <a:sysClr val="windowText" lastClr="000000"/>
                  </a:solidFill>
                </a:endParaRPr>
              </a:p>
            </c:rich>
          </c:tx>
          <c:layout/>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p>
        </c:txPr>
        <c:crossAx val="158715904"/>
        <c:crosses val="autoZero"/>
        <c:crossBetween val="between"/>
        <c:majorUnit val="10"/>
      </c:valAx>
      <c:spPr>
        <a:noFill/>
        <a:ln>
          <a:noFill/>
        </a:ln>
        <a:effectLst/>
      </c:spPr>
    </c:plotArea>
    <c:plotVisOnly val="1"/>
    <c:dispBlanksAs val="gap"/>
    <c:showDLblsOverMax val="0"/>
    <c:extLst>
      <c:ext uri="{0b15fc19-7d7d-44ad-8c2d-2c3a37ce22c3}">
        <chartProps xmlns="https://web.wps.cn/et/2018/main" chartId="{51568d3f-aa17-4f84-96a1-ea933e078c2f}"/>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solidFill>
            <a:sysClr val="windowText" lastClr="000000"/>
          </a:solidFill>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6A357E-831E-439C-B00E-31B2E84571C1}">
  <ds:schemaRefs/>
</ds:datastoreItem>
</file>

<file path=docProps/app.xml><?xml version="1.0" encoding="utf-8"?>
<Properties xmlns="http://schemas.openxmlformats.org/officeDocument/2006/extended-properties" xmlns:vt="http://schemas.openxmlformats.org/officeDocument/2006/docPropsVTypes">
  <Template>Normal</Template>
  <Pages>13</Pages>
  <Words>2069</Words>
  <Characters>12713</Characters>
  <Lines>672</Lines>
  <Paragraphs>189</Paragraphs>
  <TotalTime>2</TotalTime>
  <ScaleCrop>false</ScaleCrop>
  <LinksUpToDate>false</LinksUpToDate>
  <CharactersWithSpaces>14779</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2021-11-02T09:55:00Z</dcterms:created>
  <dc:creator>Reviewer</dc:creator>
  <cp:lastModifiedBy>MONIKA KARNINI EMBA</cp:lastModifiedBy>
  <dcterms:modified xsi:type="dcterms:W3CDTF">2026-03-28T03:02:59Z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eyJoZGlkIjoiYTVlOGYzMTc1MjViMGRlMWI2Nzk4NzU2MjY0MGFkNGQiLCJ1c2VySWQiOiI5Nzk0NjcwNDI1MDAifQ==</vt:lpwstr>
  </property>
  <property fmtid="{D5CDD505-2E9C-101B-9397-08002B2CF9AE}" pid="3" name="KSOProductBuildVer">
    <vt:lpwstr>1033-12.1.0.25242</vt:lpwstr>
  </property>
  <property fmtid="{D5CDD505-2E9C-101B-9397-08002B2CF9AE}" pid="4" name="ICV">
    <vt:lpwstr>CDF8662A92EC4906A6944BD695045DA6_13</vt:lpwstr>
  </property>
  <property fmtid="{D5CDD505-2E9C-101B-9397-08002B2CF9AE}" pid="5" name="Mendeley Document_1">
    <vt:lpwstr>True</vt:lpwstr>
  </property>
  <property fmtid="{D5CDD505-2E9C-101B-9397-08002B2CF9AE}" pid="6" name="Mendeley Unique User Id_1">
    <vt:lpwstr>bb8134ad-19b6-34a4-a914-b0350e63a7c3</vt:lpwstr>
  </property>
  <property fmtid="{D5CDD505-2E9C-101B-9397-08002B2CF9AE}" pid="7" name="Mendeley Citation Style_1">
    <vt:lpwstr>http://www.zotero.org/styles/american-sociological-association</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