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C46A18" w:rsidRPr="00BA541A" w:rsidRDefault="00C46A18"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C46A18"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C46A18" w:rsidRPr="00642B77"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C46A18" w:rsidRPr="00BA541A" w:rsidRDefault="00C46A18"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C46A18"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C46A18" w:rsidRPr="00642B77" w:rsidRDefault="00C46A18"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ED635A" w:rsidRPr="002021F8" w:rsidRDefault="002E4FCC" w:rsidP="00455BFA">
      <w:pPr>
        <w:spacing w:after="0"/>
        <w:rPr>
          <w:rFonts w:ascii="Bookman Old Style" w:hAnsi="Bookman Old Style"/>
          <w:b/>
          <w:bCs/>
          <w:sz w:val="28"/>
          <w:szCs w:val="28"/>
        </w:rPr>
      </w:pPr>
      <w:r w:rsidRPr="002E4FCC">
        <w:rPr>
          <w:rStyle w:val="ypks7kbdpwfgdykd3qb9"/>
          <w:rFonts w:ascii="Bookman Old Style" w:hAnsi="Bookman Old Style"/>
          <w:b/>
          <w:sz w:val="28"/>
          <w:szCs w:val="28"/>
        </w:rPr>
        <w:t xml:space="preserve">The Role </w:t>
      </w:r>
      <w:proofErr w:type="gramStart"/>
      <w:r w:rsidRPr="002E4FCC">
        <w:rPr>
          <w:rStyle w:val="ypks7kbdpwfgdykd3qb9"/>
          <w:rFonts w:ascii="Bookman Old Style" w:hAnsi="Bookman Old Style"/>
          <w:b/>
          <w:sz w:val="28"/>
          <w:szCs w:val="28"/>
        </w:rPr>
        <w:t>Of</w:t>
      </w:r>
      <w:proofErr w:type="gramEnd"/>
      <w:r w:rsidRPr="002E4FCC">
        <w:rPr>
          <w:rStyle w:val="ypks7kbdpwfgdykd3qb9"/>
          <w:rFonts w:ascii="Bookman Old Style" w:hAnsi="Bookman Old Style"/>
          <w:b/>
          <w:sz w:val="28"/>
          <w:szCs w:val="28"/>
        </w:rPr>
        <w:t xml:space="preserve"> The Prosecutor's Office And The </w:t>
      </w:r>
      <w:r>
        <w:rPr>
          <w:rStyle w:val="ypks7kbdpwfgdykd3qb9"/>
          <w:rFonts w:ascii="Bookman Old Style" w:hAnsi="Bookman Old Style"/>
          <w:b/>
          <w:sz w:val="28"/>
          <w:szCs w:val="28"/>
        </w:rPr>
        <w:t>BPK</w:t>
      </w:r>
      <w:r w:rsidRPr="002E4FCC">
        <w:rPr>
          <w:rStyle w:val="ypks7kbdpwfgdykd3qb9"/>
          <w:rFonts w:ascii="Bookman Old Style" w:hAnsi="Bookman Old Style"/>
          <w:b/>
          <w:sz w:val="28"/>
          <w:szCs w:val="28"/>
        </w:rPr>
        <w:t xml:space="preserve"> In The Process Of Returning State Losses Between Dominus </w:t>
      </w:r>
      <w:proofErr w:type="spellStart"/>
      <w:r w:rsidRPr="002E4FCC">
        <w:rPr>
          <w:rStyle w:val="ypks7kbdpwfgdykd3qb9"/>
          <w:rFonts w:ascii="Bookman Old Style" w:hAnsi="Bookman Old Style"/>
          <w:b/>
          <w:sz w:val="28"/>
          <w:szCs w:val="28"/>
        </w:rPr>
        <w:t>Litis</w:t>
      </w:r>
      <w:proofErr w:type="spellEnd"/>
      <w:r w:rsidRPr="002E4FCC">
        <w:rPr>
          <w:rStyle w:val="ypks7kbdpwfgdykd3qb9"/>
          <w:rFonts w:ascii="Bookman Old Style" w:hAnsi="Bookman Old Style"/>
          <w:b/>
          <w:sz w:val="28"/>
          <w:szCs w:val="28"/>
        </w:rPr>
        <w:t xml:space="preserve"> And Justice</w:t>
      </w:r>
    </w:p>
    <w:p w:rsidR="00EE6B0D" w:rsidRDefault="00EE6B0D" w:rsidP="002C2ECA">
      <w:pPr>
        <w:spacing w:after="0" w:line="240" w:lineRule="auto"/>
        <w:rPr>
          <w:rFonts w:ascii="Bookman Old Style" w:hAnsi="Bookman Old Style"/>
          <w:b/>
          <w:bCs/>
        </w:rPr>
      </w:pPr>
    </w:p>
    <w:p w:rsidR="00651447" w:rsidRPr="00DC26C7" w:rsidRDefault="004C7E39" w:rsidP="002021F8">
      <w:pPr>
        <w:tabs>
          <w:tab w:val="left" w:pos="2733"/>
        </w:tabs>
        <w:spacing w:after="0" w:line="240" w:lineRule="auto"/>
        <w:rPr>
          <w:rFonts w:ascii="Bookman Old Style" w:hAnsi="Bookman Old Style"/>
          <w:b/>
          <w:bCs/>
          <w:lang w:val="id-ID"/>
        </w:rPr>
      </w:pPr>
      <w:proofErr w:type="spellStart"/>
      <w:r>
        <w:rPr>
          <w:rFonts w:ascii="Bookman Old Style" w:hAnsi="Bookman Old Style"/>
          <w:b/>
          <w:bCs/>
        </w:rPr>
        <w:t>Ariman</w:t>
      </w:r>
      <w:proofErr w:type="spellEnd"/>
      <w:r>
        <w:rPr>
          <w:rFonts w:ascii="Bookman Old Style" w:hAnsi="Bookman Old Style"/>
          <w:b/>
          <w:bCs/>
        </w:rPr>
        <w:t xml:space="preserve"> Sitompul</w:t>
      </w:r>
      <w:r w:rsidR="00DC26C7" w:rsidRPr="00DC26C7">
        <w:rPr>
          <w:rFonts w:ascii="Bookman Old Style" w:hAnsi="Bookman Old Style"/>
          <w:b/>
          <w:bCs/>
          <w:vertAlign w:val="superscript"/>
        </w:rPr>
        <w:t>1</w:t>
      </w:r>
      <w:r w:rsidR="00DC26C7">
        <w:rPr>
          <w:rStyle w:val="FootnoteReference"/>
          <w:rFonts w:ascii="Bookman Old Style" w:hAnsi="Bookman Old Style"/>
          <w:b/>
          <w:bCs/>
        </w:rPr>
        <w:footnoteReference w:customMarkFollows="1" w:id="1"/>
        <w:t>*</w:t>
      </w:r>
      <w:r w:rsidR="002021F8">
        <w:rPr>
          <w:rStyle w:val="FootnoteReference"/>
          <w:rFonts w:ascii="Bookman Old Style" w:hAnsi="Bookman Old Style"/>
          <w:b/>
          <w:bCs/>
        </w:rPr>
        <w:tab/>
      </w:r>
    </w:p>
    <w:p w:rsidR="00651447" w:rsidRDefault="004C7E39" w:rsidP="002C2ECA">
      <w:pPr>
        <w:spacing w:after="0" w:line="240" w:lineRule="auto"/>
        <w:rPr>
          <w:rFonts w:ascii="Bookman Old Style" w:hAnsi="Bookman Old Style"/>
          <w:bCs/>
        </w:rPr>
      </w:pPr>
      <w:r>
        <w:rPr>
          <w:rFonts w:ascii="Bookman Old Style" w:hAnsi="Bookman Old Style"/>
          <w:bCs/>
        </w:rPr>
        <w:t>Magister</w:t>
      </w:r>
      <w:r w:rsidR="003B44A4">
        <w:rPr>
          <w:rFonts w:ascii="Bookman Old Style" w:hAnsi="Bookman Old Style"/>
          <w:bCs/>
        </w:rPr>
        <w:t xml:space="preserve"> </w:t>
      </w:r>
      <w:proofErr w:type="spellStart"/>
      <w:r w:rsidR="00FA3DA9">
        <w:rPr>
          <w:rFonts w:ascii="Bookman Old Style" w:hAnsi="Bookman Old Style"/>
          <w:bCs/>
        </w:rPr>
        <w:t>Hukum</w:t>
      </w:r>
      <w:proofErr w:type="spellEnd"/>
      <w:r w:rsidR="00126F95">
        <w:rPr>
          <w:rFonts w:ascii="Bookman Old Style" w:hAnsi="Bookman Old Style"/>
          <w:bCs/>
        </w:rPr>
        <w:t xml:space="preserve">, </w:t>
      </w:r>
      <w:proofErr w:type="spellStart"/>
      <w:r w:rsidR="007A5512" w:rsidRPr="007A5512">
        <w:rPr>
          <w:rFonts w:ascii="Bookman Old Style" w:hAnsi="Bookman Old Style"/>
          <w:bCs/>
        </w:rPr>
        <w:t>Universitas</w:t>
      </w:r>
      <w:proofErr w:type="spellEnd"/>
      <w:r w:rsidR="007A5512" w:rsidRPr="007A5512">
        <w:rPr>
          <w:rFonts w:ascii="Bookman Old Style" w:hAnsi="Bookman Old Style"/>
          <w:bCs/>
        </w:rPr>
        <w:t xml:space="preserve"> </w:t>
      </w:r>
      <w:proofErr w:type="spellStart"/>
      <w:r>
        <w:rPr>
          <w:rFonts w:ascii="Bookman Old Style" w:hAnsi="Bookman Old Style"/>
          <w:bCs/>
          <w:lang w:val="en-US"/>
        </w:rPr>
        <w:t>Dharmawangsa</w:t>
      </w:r>
      <w:proofErr w:type="spellEnd"/>
      <w:r w:rsidR="003B44A4">
        <w:rPr>
          <w:rFonts w:ascii="Bookman Old Style" w:hAnsi="Bookman Old Style"/>
          <w:bCs/>
          <w:lang w:val="en-US"/>
        </w:rPr>
        <w:t>,</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ED635A" w:rsidRPr="00674FA1" w:rsidRDefault="00ED635A" w:rsidP="007A1C7F">
      <w:pPr>
        <w:tabs>
          <w:tab w:val="left" w:pos="7503"/>
        </w:tabs>
        <w:spacing w:after="0" w:line="240" w:lineRule="auto"/>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6EE271"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ED635A" w:rsidRPr="00674FA1" w:rsidRDefault="00ED635A" w:rsidP="00126F95">
      <w:pPr>
        <w:spacing w:after="0"/>
        <w:rPr>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914E38" w:rsidRPr="003B44A4" w:rsidRDefault="00914E38" w:rsidP="00651E7D">
      <w:pPr>
        <w:spacing w:after="0" w:line="240" w:lineRule="auto"/>
        <w:jc w:val="both"/>
        <w:rPr>
          <w:rFonts w:ascii="Bookman Old Style" w:hAnsi="Bookman Old Style"/>
          <w:sz w:val="20"/>
          <w:szCs w:val="20"/>
        </w:rPr>
      </w:pPr>
      <w:r w:rsidRPr="00914E38">
        <w:rPr>
          <w:rFonts w:ascii="Bookman Old Style" w:hAnsi="Bookman Old Style"/>
          <w:sz w:val="20"/>
          <w:szCs w:val="20"/>
        </w:rPr>
        <w:t xml:space="preserve">This study examines the role of the prosecutor's office and the Supreme Audit Agency (BPK) in the process of returning state losses due to corruption, especially in relation to the </w:t>
      </w:r>
      <w:proofErr w:type="spellStart"/>
      <w:r w:rsidRPr="00914E38">
        <w:rPr>
          <w:rFonts w:ascii="Bookman Old Style" w:hAnsi="Bookman Old Style"/>
          <w:sz w:val="20"/>
          <w:szCs w:val="20"/>
        </w:rPr>
        <w:t>dominus</w:t>
      </w:r>
      <w:proofErr w:type="spellEnd"/>
      <w:r w:rsidRPr="00914E38">
        <w:rPr>
          <w:rFonts w:ascii="Bookman Old Style" w:hAnsi="Bookman Old Style"/>
          <w:sz w:val="20"/>
          <w:szCs w:val="20"/>
        </w:rPr>
        <w:t xml:space="preserve"> </w:t>
      </w:r>
      <w:proofErr w:type="spellStart"/>
      <w:r w:rsidRPr="00914E38">
        <w:rPr>
          <w:rFonts w:ascii="Bookman Old Style" w:hAnsi="Bookman Old Style"/>
          <w:sz w:val="20"/>
          <w:szCs w:val="20"/>
        </w:rPr>
        <w:t>litis</w:t>
      </w:r>
      <w:proofErr w:type="spellEnd"/>
      <w:r w:rsidRPr="00914E38">
        <w:rPr>
          <w:rFonts w:ascii="Bookman Old Style" w:hAnsi="Bookman Old Style"/>
          <w:sz w:val="20"/>
          <w:szCs w:val="20"/>
        </w:rPr>
        <w:t xml:space="preserve"> principle and the dimension of Justice. The method used is juridical normative approach to legislation and conceptual through the study of literature (library research). The results showed that the relationship of authority between the prosecutor's office and the BPK is complementary but has not been coordinated systematically, resulting in normative gaps that weaken the effectiveness of state asset recovery. The </w:t>
      </w:r>
      <w:proofErr w:type="spellStart"/>
      <w:r w:rsidRPr="00914E38">
        <w:rPr>
          <w:rFonts w:ascii="Bookman Old Style" w:hAnsi="Bookman Old Style"/>
          <w:sz w:val="20"/>
          <w:szCs w:val="20"/>
        </w:rPr>
        <w:t>dominus</w:t>
      </w:r>
      <w:proofErr w:type="spellEnd"/>
      <w:r w:rsidRPr="00914E38">
        <w:rPr>
          <w:rFonts w:ascii="Bookman Old Style" w:hAnsi="Bookman Old Style"/>
          <w:sz w:val="20"/>
          <w:szCs w:val="20"/>
        </w:rPr>
        <w:t xml:space="preserve"> </w:t>
      </w:r>
      <w:proofErr w:type="spellStart"/>
      <w:r w:rsidRPr="00914E38">
        <w:rPr>
          <w:rFonts w:ascii="Bookman Old Style" w:hAnsi="Bookman Old Style"/>
          <w:sz w:val="20"/>
          <w:szCs w:val="20"/>
        </w:rPr>
        <w:t>litis</w:t>
      </w:r>
      <w:proofErr w:type="spellEnd"/>
      <w:r w:rsidRPr="00914E38">
        <w:rPr>
          <w:rFonts w:ascii="Bookman Old Style" w:hAnsi="Bookman Old Style"/>
          <w:sz w:val="20"/>
          <w:szCs w:val="20"/>
        </w:rPr>
        <w:t xml:space="preserve"> principle that gives prosecutorial authority to prosecutors is in practice limited by the principle of functional differentiation that separates investigation and prosecution. The restorative justice approach and the establishment of an Asset Recovery Agency is a positive institutional breakthrough, but requires strengthening interagency coordination regulations so that the goal of returning state losses can be optimally achieved. This study concludes the need for special regulations that regulate formal coordination between the prosecutor's office and the BPK as the foundation for fair and measurable recovery of State losses.</w:t>
      </w:r>
    </w:p>
    <w:p w:rsidR="003004C8" w:rsidRPr="003004C8" w:rsidRDefault="003004C8" w:rsidP="003004C8">
      <w:pPr>
        <w:spacing w:after="0" w:line="240" w:lineRule="auto"/>
        <w:ind w:firstLine="720"/>
        <w:jc w:val="both"/>
        <w:rPr>
          <w:rFonts w:ascii="Bookman Old Style" w:hAnsi="Bookman Old Style"/>
          <w:i/>
          <w:iCs/>
          <w:color w:val="000000"/>
          <w:sz w:val="20"/>
          <w:szCs w:val="20"/>
          <w:lang w:val="id-ID"/>
        </w:rPr>
      </w:pPr>
    </w:p>
    <w:p w:rsidR="00F612E1" w:rsidRPr="004B66C2" w:rsidRDefault="00ED635A" w:rsidP="004B66C2">
      <w:pPr>
        <w:rPr>
          <w:rFonts w:ascii="Bookman Old Style" w:hAnsi="Bookman Old Style"/>
          <w:sz w:val="20"/>
          <w:szCs w:val="20"/>
        </w:rPr>
      </w:pPr>
      <w:r w:rsidRPr="00674FA1">
        <w:rPr>
          <w:rFonts w:ascii="Bookman Old Style" w:hAnsi="Bookman Old Style"/>
          <w:b/>
          <w:i/>
          <w:iCs/>
          <w:sz w:val="20"/>
          <w:szCs w:val="20"/>
        </w:rPr>
        <w:t>Keywords</w:t>
      </w:r>
      <w:r w:rsidRPr="00674FA1">
        <w:rPr>
          <w:rFonts w:ascii="Bookman Old Style" w:hAnsi="Bookman Old Style"/>
          <w:i/>
          <w:sz w:val="20"/>
          <w:szCs w:val="20"/>
        </w:rPr>
        <w:t xml:space="preserve">: </w:t>
      </w:r>
      <w:r w:rsidR="00914E38" w:rsidRPr="00914E38">
        <w:rPr>
          <w:rStyle w:val="ypks7kbdpwfgdykd3qb9"/>
          <w:rFonts w:ascii="Bookman Old Style" w:hAnsi="Bookman Old Style"/>
          <w:sz w:val="18"/>
          <w:szCs w:val="18"/>
        </w:rPr>
        <w:t xml:space="preserve">Audit Board, Dominus </w:t>
      </w:r>
      <w:proofErr w:type="spellStart"/>
      <w:r w:rsidR="00914E38" w:rsidRPr="00914E38">
        <w:rPr>
          <w:rStyle w:val="ypks7kbdpwfgdykd3qb9"/>
          <w:rFonts w:ascii="Bookman Old Style" w:hAnsi="Bookman Old Style"/>
          <w:sz w:val="18"/>
          <w:szCs w:val="18"/>
        </w:rPr>
        <w:t>Litis</w:t>
      </w:r>
      <w:proofErr w:type="spellEnd"/>
      <w:r w:rsidR="00914E38" w:rsidRPr="00914E38">
        <w:rPr>
          <w:rStyle w:val="ypks7kbdpwfgdykd3qb9"/>
          <w:rFonts w:ascii="Bookman Old Style" w:hAnsi="Bookman Old Style"/>
          <w:sz w:val="18"/>
          <w:szCs w:val="18"/>
        </w:rPr>
        <w:t>, Attorney General, Justice, State Losses</w:t>
      </w:r>
    </w:p>
    <w:p w:rsidR="00577BA6" w:rsidRPr="002C7DE9" w:rsidRDefault="00782D5D" w:rsidP="002C7DE9">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2C7DE9" w:rsidRPr="002C7DE9" w:rsidRDefault="002C7DE9" w:rsidP="002C7DE9">
      <w:pPr>
        <w:spacing w:after="0"/>
        <w:ind w:firstLine="567"/>
        <w:jc w:val="both"/>
        <w:rPr>
          <w:rFonts w:ascii="Bookman Old Style" w:hAnsi="Bookman Old Style"/>
          <w:sz w:val="24"/>
          <w:szCs w:val="24"/>
        </w:rPr>
      </w:pPr>
      <w:r w:rsidRPr="002C7DE9">
        <w:rPr>
          <w:rFonts w:ascii="Bookman Old Style" w:hAnsi="Bookman Old Style"/>
          <w:sz w:val="24"/>
          <w:szCs w:val="24"/>
        </w:rPr>
        <w:t xml:space="preserve">State loss is one of the fundamental issues in public financial governance that not only affects the fiscal aspect, but also touches the broader dimension of social justice. In the context of Indonesia, the return of State losses due to corruption is a priority agenda involving various law enforcement institutions, especially the Attorney General of the Republic of Indonesia and the Supreme Audit Agency (BPK). These two institutions have intersecting but not identical functions: the prosecutor's Office assumes the </w:t>
      </w:r>
      <w:proofErr w:type="spellStart"/>
      <w:r w:rsidRPr="002C7DE9">
        <w:rPr>
          <w:rFonts w:ascii="Bookman Old Style" w:hAnsi="Bookman Old Style"/>
          <w:sz w:val="24"/>
          <w:szCs w:val="24"/>
        </w:rPr>
        <w:t>dominus</w:t>
      </w:r>
      <w:proofErr w:type="spellEnd"/>
      <w:r w:rsidRPr="002C7DE9">
        <w:rPr>
          <w:rFonts w:ascii="Bookman Old Style" w:hAnsi="Bookman Old Style"/>
          <w:sz w:val="24"/>
          <w:szCs w:val="24"/>
        </w:rPr>
        <w:t xml:space="preserve"> </w:t>
      </w:r>
      <w:proofErr w:type="spellStart"/>
      <w:r w:rsidRPr="002C7DE9">
        <w:rPr>
          <w:rFonts w:ascii="Bookman Old Style" w:hAnsi="Bookman Old Style"/>
          <w:sz w:val="24"/>
          <w:szCs w:val="24"/>
        </w:rPr>
        <w:t>litis</w:t>
      </w:r>
      <w:proofErr w:type="spellEnd"/>
      <w:r w:rsidRPr="002C7DE9">
        <w:rPr>
          <w:rFonts w:ascii="Bookman Old Style" w:hAnsi="Bookman Old Style"/>
          <w:sz w:val="24"/>
          <w:szCs w:val="24"/>
        </w:rPr>
        <w:t xml:space="preserve"> principle as the prosecution's controller, while the BPK is authorized to officially determine the value of State losses through investigative audits. This intersection of authority often causes normative tensions in law enforcement practice, especially when the findings of the BPK audit are not necessarily aligned with the direction of prosecution built by the prosecutor's Office.</w:t>
      </w:r>
    </w:p>
    <w:p w:rsidR="002C7DE9" w:rsidRPr="002C7DE9" w:rsidRDefault="002C7DE9" w:rsidP="002C7DE9">
      <w:pPr>
        <w:spacing w:after="0"/>
        <w:ind w:firstLine="567"/>
        <w:jc w:val="both"/>
        <w:rPr>
          <w:rFonts w:ascii="Bookman Old Style" w:hAnsi="Bookman Old Style"/>
          <w:sz w:val="24"/>
          <w:szCs w:val="24"/>
        </w:rPr>
      </w:pPr>
      <w:r w:rsidRPr="002C7DE9">
        <w:rPr>
          <w:rFonts w:ascii="Bookman Old Style" w:hAnsi="Bookman Old Style"/>
          <w:sz w:val="24"/>
          <w:szCs w:val="24"/>
        </w:rPr>
        <w:t xml:space="preserve">The principle of </w:t>
      </w:r>
      <w:proofErr w:type="spellStart"/>
      <w:r w:rsidRPr="002C7DE9">
        <w:rPr>
          <w:rFonts w:ascii="Bookman Old Style" w:hAnsi="Bookman Old Style"/>
          <w:sz w:val="24"/>
          <w:szCs w:val="24"/>
        </w:rPr>
        <w:t>dominus</w:t>
      </w:r>
      <w:proofErr w:type="spellEnd"/>
      <w:r w:rsidRPr="002C7DE9">
        <w:rPr>
          <w:rFonts w:ascii="Bookman Old Style" w:hAnsi="Bookman Old Style"/>
          <w:sz w:val="24"/>
          <w:szCs w:val="24"/>
        </w:rPr>
        <w:t xml:space="preserve"> </w:t>
      </w:r>
      <w:proofErr w:type="spellStart"/>
      <w:r w:rsidRPr="002C7DE9">
        <w:rPr>
          <w:rFonts w:ascii="Bookman Old Style" w:hAnsi="Bookman Old Style"/>
          <w:sz w:val="24"/>
          <w:szCs w:val="24"/>
        </w:rPr>
        <w:t>litis</w:t>
      </w:r>
      <w:proofErr w:type="spellEnd"/>
      <w:r w:rsidRPr="002C7DE9">
        <w:rPr>
          <w:rFonts w:ascii="Bookman Old Style" w:hAnsi="Bookman Old Style"/>
          <w:sz w:val="24"/>
          <w:szCs w:val="24"/>
        </w:rPr>
        <w:t xml:space="preserve"> places the prosecutor as "master of the case" (</w:t>
      </w:r>
      <w:proofErr w:type="spellStart"/>
      <w:r w:rsidRPr="002C7DE9">
        <w:rPr>
          <w:rFonts w:ascii="Bookman Old Style" w:hAnsi="Bookman Old Style"/>
          <w:sz w:val="24"/>
          <w:szCs w:val="24"/>
        </w:rPr>
        <w:t>dominus</w:t>
      </w:r>
      <w:proofErr w:type="spellEnd"/>
      <w:r w:rsidRPr="002C7DE9">
        <w:rPr>
          <w:rFonts w:ascii="Bookman Old Style" w:hAnsi="Bookman Old Style"/>
          <w:sz w:val="24"/>
          <w:szCs w:val="24"/>
        </w:rPr>
        <w:t xml:space="preserve"> </w:t>
      </w:r>
      <w:proofErr w:type="spellStart"/>
      <w:r w:rsidRPr="002C7DE9">
        <w:rPr>
          <w:rFonts w:ascii="Bookman Old Style" w:hAnsi="Bookman Old Style"/>
          <w:sz w:val="24"/>
          <w:szCs w:val="24"/>
        </w:rPr>
        <w:t>litis</w:t>
      </w:r>
      <w:proofErr w:type="spellEnd"/>
      <w:r w:rsidRPr="002C7DE9">
        <w:rPr>
          <w:rFonts w:ascii="Bookman Old Style" w:hAnsi="Bookman Old Style"/>
          <w:sz w:val="24"/>
          <w:szCs w:val="24"/>
        </w:rPr>
        <w:t xml:space="preserve"> means Master of the lawsuit/case), which means the </w:t>
      </w:r>
      <w:r w:rsidRPr="002C7DE9">
        <w:rPr>
          <w:rFonts w:ascii="Bookman Old Style" w:hAnsi="Bookman Old Style"/>
          <w:sz w:val="24"/>
          <w:szCs w:val="24"/>
        </w:rPr>
        <w:lastRenderedPageBreak/>
        <w:t xml:space="preserve">prosecutor has full authority to determine whether a case is worthy of being transferred to court. However, in the context of asset recovery and the return of State losses, the dominance of the authority has the potential to cause a gap when the value of the losses calculated by the </w:t>
      </w:r>
      <w:r>
        <w:rPr>
          <w:rFonts w:ascii="Bookman Old Style" w:hAnsi="Bookman Old Style"/>
          <w:sz w:val="24"/>
          <w:szCs w:val="24"/>
        </w:rPr>
        <w:t>BPK</w:t>
      </w:r>
      <w:r w:rsidRPr="002C7DE9">
        <w:rPr>
          <w:rFonts w:ascii="Bookman Old Style" w:hAnsi="Bookman Old Style"/>
          <w:sz w:val="24"/>
          <w:szCs w:val="24"/>
        </w:rPr>
        <w:t xml:space="preserve"> differs significantly from the figures used in the indictment. This situation not only weakens legal certainty, but also reduces the effectiveness of returning losses to the state treasury, which should be the main goal of corruption convictions.</w:t>
      </w:r>
      <w:r>
        <w:rPr>
          <w:rStyle w:val="FootnoteReference"/>
          <w:rFonts w:ascii="Bookman Old Style" w:hAnsi="Bookman Old Style"/>
          <w:sz w:val="24"/>
          <w:szCs w:val="24"/>
        </w:rPr>
        <w:footnoteReference w:id="2"/>
      </w:r>
      <w:r w:rsidRPr="002C7DE9">
        <w:rPr>
          <w:rFonts w:ascii="Bookman Old Style" w:hAnsi="Bookman Old Style"/>
          <w:sz w:val="24"/>
          <w:szCs w:val="24"/>
        </w:rPr>
        <w:t xml:space="preserve"> </w:t>
      </w:r>
    </w:p>
    <w:p w:rsidR="002C7DE9" w:rsidRPr="002C7DE9" w:rsidRDefault="002C7DE9" w:rsidP="002C7DE9">
      <w:pPr>
        <w:spacing w:after="0"/>
        <w:ind w:firstLine="567"/>
        <w:jc w:val="both"/>
        <w:rPr>
          <w:rFonts w:ascii="Bookman Old Style" w:hAnsi="Bookman Old Style"/>
          <w:sz w:val="24"/>
          <w:szCs w:val="24"/>
        </w:rPr>
      </w:pPr>
      <w:r w:rsidRPr="002C7DE9">
        <w:rPr>
          <w:rFonts w:ascii="Bookman Old Style" w:hAnsi="Bookman Old Style"/>
          <w:sz w:val="24"/>
          <w:szCs w:val="24"/>
        </w:rPr>
        <w:t xml:space="preserve">From a theoretical point of view, this debate boils down to the tension between two great principles: the efficiency of law enforcement, which is the domain of the prosecutor's office, and the financial accountability of the state, which is the constitutional mandate of the </w:t>
      </w:r>
      <w:r>
        <w:rPr>
          <w:rFonts w:ascii="Bookman Old Style" w:hAnsi="Bookman Old Style"/>
          <w:sz w:val="24"/>
          <w:szCs w:val="24"/>
        </w:rPr>
        <w:t>BPK</w:t>
      </w:r>
      <w:r w:rsidRPr="002C7DE9">
        <w:rPr>
          <w:rFonts w:ascii="Bookman Old Style" w:hAnsi="Bookman Old Style"/>
          <w:sz w:val="24"/>
          <w:szCs w:val="24"/>
        </w:rPr>
        <w:t>.</w:t>
      </w:r>
      <w:r>
        <w:rPr>
          <w:rStyle w:val="FootnoteReference"/>
          <w:rFonts w:ascii="Bookman Old Style" w:hAnsi="Bookman Old Style"/>
          <w:sz w:val="24"/>
          <w:szCs w:val="24"/>
        </w:rPr>
        <w:footnoteReference w:id="3"/>
      </w:r>
      <w:r w:rsidRPr="002C7DE9">
        <w:rPr>
          <w:rFonts w:ascii="Bookman Old Style" w:hAnsi="Bookman Old Style"/>
          <w:sz w:val="24"/>
          <w:szCs w:val="24"/>
        </w:rPr>
        <w:t xml:space="preserve"> Law No. 15 of 2006 on the </w:t>
      </w:r>
      <w:r>
        <w:rPr>
          <w:rFonts w:ascii="Bookman Old Style" w:hAnsi="Bookman Old Style"/>
          <w:sz w:val="24"/>
          <w:szCs w:val="24"/>
        </w:rPr>
        <w:t>BPK</w:t>
      </w:r>
      <w:r w:rsidRPr="002C7DE9">
        <w:rPr>
          <w:rFonts w:ascii="Bookman Old Style" w:hAnsi="Bookman Old Style"/>
          <w:sz w:val="24"/>
          <w:szCs w:val="24"/>
        </w:rPr>
        <w:t xml:space="preserve"> gives the institution exclusive authority to declare the presence or absence of State losses, but in criminal justice practice, judges are not always bound to the calculation of the </w:t>
      </w:r>
      <w:r>
        <w:rPr>
          <w:rFonts w:ascii="Bookman Old Style" w:hAnsi="Bookman Old Style"/>
          <w:sz w:val="24"/>
          <w:szCs w:val="24"/>
        </w:rPr>
        <w:t>BPK</w:t>
      </w:r>
      <w:r w:rsidRPr="002C7DE9">
        <w:rPr>
          <w:rFonts w:ascii="Bookman Old Style" w:hAnsi="Bookman Old Style"/>
          <w:sz w:val="24"/>
          <w:szCs w:val="24"/>
        </w:rPr>
        <w:t xml:space="preserve"> if there is other valid evidence.</w:t>
      </w:r>
      <w:r>
        <w:rPr>
          <w:rStyle w:val="FootnoteReference"/>
          <w:rFonts w:ascii="Bookman Old Style" w:hAnsi="Bookman Old Style"/>
          <w:sz w:val="24"/>
          <w:szCs w:val="24"/>
        </w:rPr>
        <w:footnoteReference w:id="4"/>
      </w:r>
      <w:r w:rsidRPr="002C7DE9">
        <w:rPr>
          <w:rFonts w:ascii="Bookman Old Style" w:hAnsi="Bookman Old Style"/>
          <w:sz w:val="24"/>
          <w:szCs w:val="24"/>
        </w:rPr>
        <w:t xml:space="preserve">  The inconsistency of this approach creates a disparity of decisions that ultimately have an impact on the low rate of return on state losses in real terms.</w:t>
      </w:r>
      <w:r>
        <w:rPr>
          <w:rStyle w:val="FootnoteReference"/>
          <w:rFonts w:ascii="Bookman Old Style" w:hAnsi="Bookman Old Style"/>
          <w:sz w:val="24"/>
          <w:szCs w:val="24"/>
        </w:rPr>
        <w:footnoteReference w:id="5"/>
      </w:r>
    </w:p>
    <w:p w:rsidR="002C7DE9" w:rsidRPr="002C7DE9" w:rsidRDefault="002C7DE9" w:rsidP="002C7DE9">
      <w:pPr>
        <w:spacing w:after="0"/>
        <w:ind w:firstLine="567"/>
        <w:jc w:val="both"/>
        <w:rPr>
          <w:rFonts w:ascii="Bookman Old Style" w:hAnsi="Bookman Old Style"/>
          <w:sz w:val="24"/>
          <w:szCs w:val="24"/>
        </w:rPr>
      </w:pPr>
      <w:r w:rsidRPr="002C7DE9">
        <w:rPr>
          <w:rFonts w:ascii="Bookman Old Style" w:hAnsi="Bookman Old Style"/>
          <w:sz w:val="24"/>
          <w:szCs w:val="24"/>
        </w:rPr>
        <w:t xml:space="preserve">Previous research has addressed separate aspects of this issue. </w:t>
      </w:r>
      <w:proofErr w:type="spellStart"/>
      <w:r w:rsidRPr="002C7DE9">
        <w:rPr>
          <w:rFonts w:ascii="Bookman Old Style" w:hAnsi="Bookman Old Style"/>
          <w:sz w:val="24"/>
          <w:szCs w:val="24"/>
        </w:rPr>
        <w:t>Nursyamsudin</w:t>
      </w:r>
      <w:proofErr w:type="spellEnd"/>
      <w:r w:rsidRPr="002C7DE9">
        <w:rPr>
          <w:rFonts w:ascii="Bookman Old Style" w:hAnsi="Bookman Old Style"/>
          <w:sz w:val="24"/>
          <w:szCs w:val="24"/>
        </w:rPr>
        <w:t xml:space="preserve"> and </w:t>
      </w:r>
      <w:proofErr w:type="spellStart"/>
      <w:r w:rsidRPr="002C7DE9">
        <w:rPr>
          <w:rFonts w:ascii="Bookman Old Style" w:hAnsi="Bookman Old Style"/>
          <w:sz w:val="24"/>
          <w:szCs w:val="24"/>
        </w:rPr>
        <w:t>Samud</w:t>
      </w:r>
      <w:proofErr w:type="spellEnd"/>
      <w:r w:rsidRPr="002C7DE9">
        <w:rPr>
          <w:rFonts w:ascii="Bookman Old Style" w:hAnsi="Bookman Old Style"/>
          <w:sz w:val="24"/>
          <w:szCs w:val="24"/>
        </w:rPr>
        <w:t xml:space="preserve"> examined the role of the prosecutor's office in the integrated criminal justice system from a criminological perspective, while </w:t>
      </w:r>
      <w:proofErr w:type="spellStart"/>
      <w:r w:rsidRPr="002C7DE9">
        <w:rPr>
          <w:rFonts w:ascii="Bookman Old Style" w:hAnsi="Bookman Old Style"/>
          <w:sz w:val="24"/>
          <w:szCs w:val="24"/>
        </w:rPr>
        <w:t>Fitri</w:t>
      </w:r>
      <w:proofErr w:type="spellEnd"/>
      <w:r w:rsidRPr="002C7DE9">
        <w:rPr>
          <w:rFonts w:ascii="Bookman Old Style" w:hAnsi="Bookman Old Style"/>
          <w:sz w:val="24"/>
          <w:szCs w:val="24"/>
        </w:rPr>
        <w:t xml:space="preserve"> and </w:t>
      </w:r>
      <w:proofErr w:type="spellStart"/>
      <w:r w:rsidRPr="002C7DE9">
        <w:rPr>
          <w:rFonts w:ascii="Bookman Old Style" w:hAnsi="Bookman Old Style"/>
          <w:sz w:val="24"/>
          <w:szCs w:val="24"/>
        </w:rPr>
        <w:t>Fitryantica</w:t>
      </w:r>
      <w:proofErr w:type="spellEnd"/>
      <w:r w:rsidRPr="002C7DE9">
        <w:rPr>
          <w:rFonts w:ascii="Bookman Old Style" w:hAnsi="Bookman Old Style"/>
          <w:sz w:val="24"/>
          <w:szCs w:val="24"/>
        </w:rPr>
        <w:t xml:space="preserve"> </w:t>
      </w:r>
      <w:proofErr w:type="spellStart"/>
      <w:r w:rsidRPr="002C7DE9">
        <w:rPr>
          <w:rFonts w:ascii="Bookman Old Style" w:hAnsi="Bookman Old Style"/>
          <w:sz w:val="24"/>
          <w:szCs w:val="24"/>
        </w:rPr>
        <w:t>analyzed</w:t>
      </w:r>
      <w:proofErr w:type="spellEnd"/>
      <w:r w:rsidRPr="002C7DE9">
        <w:rPr>
          <w:rFonts w:ascii="Bookman Old Style" w:hAnsi="Bookman Old Style"/>
          <w:sz w:val="24"/>
          <w:szCs w:val="24"/>
        </w:rPr>
        <w:t xml:space="preserve"> the position of the </w:t>
      </w:r>
      <w:r>
        <w:rPr>
          <w:rFonts w:ascii="Bookman Old Style" w:hAnsi="Bookman Old Style"/>
          <w:sz w:val="24"/>
          <w:szCs w:val="24"/>
        </w:rPr>
        <w:t>BPK</w:t>
      </w:r>
      <w:r w:rsidRPr="002C7DE9">
        <w:rPr>
          <w:rFonts w:ascii="Bookman Old Style" w:hAnsi="Bookman Old Style"/>
          <w:sz w:val="24"/>
          <w:szCs w:val="24"/>
        </w:rPr>
        <w:t xml:space="preserve"> in th</w:t>
      </w:r>
      <w:r>
        <w:rPr>
          <w:rFonts w:ascii="Bookman Old Style" w:hAnsi="Bookman Old Style"/>
          <w:sz w:val="24"/>
          <w:szCs w:val="24"/>
        </w:rPr>
        <w:t xml:space="preserve">e post </w:t>
      </w:r>
      <w:r w:rsidRPr="002C7DE9">
        <w:rPr>
          <w:rFonts w:ascii="Bookman Old Style" w:hAnsi="Bookman Old Style"/>
          <w:sz w:val="24"/>
          <w:szCs w:val="24"/>
        </w:rPr>
        <w:t>reform Indonesian Constitutional system.</w:t>
      </w:r>
      <w:r>
        <w:rPr>
          <w:rStyle w:val="FootnoteReference"/>
          <w:rFonts w:ascii="Bookman Old Style" w:hAnsi="Bookman Old Style"/>
          <w:sz w:val="24"/>
          <w:szCs w:val="24"/>
        </w:rPr>
        <w:footnoteReference w:id="6"/>
      </w:r>
      <w:r w:rsidRPr="002C7DE9">
        <w:rPr>
          <w:rFonts w:ascii="Bookman Old Style" w:hAnsi="Bookman Old Style"/>
          <w:sz w:val="24"/>
          <w:szCs w:val="24"/>
        </w:rPr>
        <w:t xml:space="preserve">   Another study by </w:t>
      </w:r>
      <w:proofErr w:type="spellStart"/>
      <w:r w:rsidRPr="002C7DE9">
        <w:rPr>
          <w:rFonts w:ascii="Bookman Old Style" w:hAnsi="Bookman Old Style"/>
          <w:sz w:val="24"/>
          <w:szCs w:val="24"/>
        </w:rPr>
        <w:t>Arifin</w:t>
      </w:r>
      <w:proofErr w:type="spellEnd"/>
      <w:r w:rsidRPr="002C7DE9">
        <w:rPr>
          <w:rFonts w:ascii="Bookman Old Style" w:hAnsi="Bookman Old Style"/>
          <w:sz w:val="24"/>
          <w:szCs w:val="24"/>
        </w:rPr>
        <w:t xml:space="preserve"> et al. highlights the asset recovery mechanism within the framework of the United Nations Anti-Corruption Convention (UNCAC) which has been ratified by Indonesia. However, there is no study that specifically brings together the </w:t>
      </w:r>
      <w:proofErr w:type="spellStart"/>
      <w:r w:rsidRPr="002C7DE9">
        <w:rPr>
          <w:rFonts w:ascii="Bookman Old Style" w:hAnsi="Bookman Old Style"/>
          <w:sz w:val="24"/>
          <w:szCs w:val="24"/>
        </w:rPr>
        <w:t>dominus</w:t>
      </w:r>
      <w:proofErr w:type="spellEnd"/>
      <w:r w:rsidRPr="002C7DE9">
        <w:rPr>
          <w:rFonts w:ascii="Bookman Old Style" w:hAnsi="Bookman Old Style"/>
          <w:sz w:val="24"/>
          <w:szCs w:val="24"/>
        </w:rPr>
        <w:t xml:space="preserve"> </w:t>
      </w:r>
      <w:proofErr w:type="spellStart"/>
      <w:r w:rsidRPr="002C7DE9">
        <w:rPr>
          <w:rFonts w:ascii="Bookman Old Style" w:hAnsi="Bookman Old Style"/>
          <w:sz w:val="24"/>
          <w:szCs w:val="24"/>
        </w:rPr>
        <w:t>litis</w:t>
      </w:r>
      <w:proofErr w:type="spellEnd"/>
      <w:r w:rsidRPr="002C7DE9">
        <w:rPr>
          <w:rFonts w:ascii="Bookman Old Style" w:hAnsi="Bookman Old Style"/>
          <w:sz w:val="24"/>
          <w:szCs w:val="24"/>
        </w:rPr>
        <w:t xml:space="preserve"> principle of the prosecutor's office with the BPK loss calculation authority in a comprehensive analysis frame. </w:t>
      </w:r>
    </w:p>
    <w:p w:rsidR="00577BA6" w:rsidRDefault="002C7DE9" w:rsidP="002C7DE9">
      <w:pPr>
        <w:spacing w:after="0"/>
        <w:ind w:firstLine="567"/>
        <w:jc w:val="both"/>
        <w:rPr>
          <w:rFonts w:ascii="Bookman Old Style" w:hAnsi="Bookman Old Style"/>
          <w:sz w:val="24"/>
          <w:szCs w:val="24"/>
        </w:rPr>
      </w:pPr>
      <w:r w:rsidRPr="002C7DE9">
        <w:rPr>
          <w:rFonts w:ascii="Bookman Old Style" w:hAnsi="Bookman Old Style"/>
          <w:sz w:val="24"/>
          <w:szCs w:val="24"/>
        </w:rPr>
        <w:t xml:space="preserve">This research Gap is the starting point of this study. Novelty (novelty) this article lies in an effort to build an integrative normative framework that </w:t>
      </w:r>
      <w:r w:rsidRPr="002C7DE9">
        <w:rPr>
          <w:rFonts w:ascii="Bookman Old Style" w:hAnsi="Bookman Old Style"/>
          <w:sz w:val="24"/>
          <w:szCs w:val="24"/>
        </w:rPr>
        <w:lastRenderedPageBreak/>
        <w:t xml:space="preserve">brings together the authority of </w:t>
      </w:r>
      <w:proofErr w:type="spellStart"/>
      <w:r w:rsidRPr="002C7DE9">
        <w:rPr>
          <w:rFonts w:ascii="Bookman Old Style" w:hAnsi="Bookman Old Style"/>
          <w:sz w:val="24"/>
          <w:szCs w:val="24"/>
        </w:rPr>
        <w:t>dominus</w:t>
      </w:r>
      <w:proofErr w:type="spellEnd"/>
      <w:r w:rsidRPr="002C7DE9">
        <w:rPr>
          <w:rFonts w:ascii="Bookman Old Style" w:hAnsi="Bookman Old Style"/>
          <w:sz w:val="24"/>
          <w:szCs w:val="24"/>
        </w:rPr>
        <w:t xml:space="preserve"> </w:t>
      </w:r>
      <w:proofErr w:type="spellStart"/>
      <w:r w:rsidRPr="002C7DE9">
        <w:rPr>
          <w:rFonts w:ascii="Bookman Old Style" w:hAnsi="Bookman Old Style"/>
          <w:sz w:val="24"/>
          <w:szCs w:val="24"/>
        </w:rPr>
        <w:t>litis</w:t>
      </w:r>
      <w:proofErr w:type="spellEnd"/>
      <w:r w:rsidRPr="002C7DE9">
        <w:rPr>
          <w:rFonts w:ascii="Bookman Old Style" w:hAnsi="Bookman Old Style"/>
          <w:sz w:val="24"/>
          <w:szCs w:val="24"/>
        </w:rPr>
        <w:t xml:space="preserve"> prosecutor's office with the audit function of the </w:t>
      </w:r>
      <w:r>
        <w:rPr>
          <w:rFonts w:ascii="Bookman Old Style" w:hAnsi="Bookman Old Style"/>
          <w:sz w:val="24"/>
          <w:szCs w:val="24"/>
        </w:rPr>
        <w:t>BPK</w:t>
      </w:r>
      <w:r w:rsidRPr="002C7DE9">
        <w:rPr>
          <w:rFonts w:ascii="Bookman Old Style" w:hAnsi="Bookman Old Style"/>
          <w:sz w:val="24"/>
          <w:szCs w:val="24"/>
        </w:rPr>
        <w:t xml:space="preserve"> as the basis for calculating state losses, in the perspective of restorative justice (restorative justice). Based on the description, the formulation of the problem of this study are: (1) </w:t>
      </w:r>
      <w:proofErr w:type="gramStart"/>
      <w:r w:rsidRPr="002C7DE9">
        <w:rPr>
          <w:rFonts w:ascii="Bookman Old Style" w:hAnsi="Bookman Old Style"/>
          <w:sz w:val="24"/>
          <w:szCs w:val="24"/>
        </w:rPr>
        <w:t>How</w:t>
      </w:r>
      <w:proofErr w:type="gramEnd"/>
      <w:r w:rsidRPr="002C7DE9">
        <w:rPr>
          <w:rFonts w:ascii="Bookman Old Style" w:hAnsi="Bookman Old Style"/>
          <w:sz w:val="24"/>
          <w:szCs w:val="24"/>
        </w:rPr>
        <w:t xml:space="preserve"> is the relationship of authority between the prosecutor's office and the BPK in the process of returning state losses in terms of the </w:t>
      </w:r>
      <w:proofErr w:type="spellStart"/>
      <w:r w:rsidRPr="002C7DE9">
        <w:rPr>
          <w:rFonts w:ascii="Bookman Old Style" w:hAnsi="Bookman Old Style"/>
          <w:sz w:val="24"/>
          <w:szCs w:val="24"/>
        </w:rPr>
        <w:t>dominus</w:t>
      </w:r>
      <w:proofErr w:type="spellEnd"/>
      <w:r w:rsidRPr="002C7DE9">
        <w:rPr>
          <w:rFonts w:ascii="Bookman Old Style" w:hAnsi="Bookman Old Style"/>
          <w:sz w:val="24"/>
          <w:szCs w:val="24"/>
        </w:rPr>
        <w:t xml:space="preserve"> </w:t>
      </w:r>
      <w:proofErr w:type="spellStart"/>
      <w:r w:rsidRPr="002C7DE9">
        <w:rPr>
          <w:rFonts w:ascii="Bookman Old Style" w:hAnsi="Bookman Old Style"/>
          <w:sz w:val="24"/>
          <w:szCs w:val="24"/>
        </w:rPr>
        <w:t>litis</w:t>
      </w:r>
      <w:proofErr w:type="spellEnd"/>
      <w:r w:rsidRPr="002C7DE9">
        <w:rPr>
          <w:rFonts w:ascii="Bookman Old Style" w:hAnsi="Bookman Old Style"/>
          <w:sz w:val="24"/>
          <w:szCs w:val="24"/>
        </w:rPr>
        <w:t xml:space="preserve"> principle? </w:t>
      </w:r>
      <w:proofErr w:type="gramStart"/>
      <w:r w:rsidRPr="002C7DE9">
        <w:rPr>
          <w:rFonts w:ascii="Bookman Old Style" w:hAnsi="Bookman Old Style"/>
          <w:sz w:val="24"/>
          <w:szCs w:val="24"/>
        </w:rPr>
        <w:t>and</w:t>
      </w:r>
      <w:proofErr w:type="gramEnd"/>
      <w:r w:rsidRPr="002C7DE9">
        <w:rPr>
          <w:rFonts w:ascii="Bookman Old Style" w:hAnsi="Bookman Old Style"/>
          <w:sz w:val="24"/>
          <w:szCs w:val="24"/>
        </w:rPr>
        <w:t xml:space="preserve"> (2) to what extent does the relationship of authority reflect the value of justice in the Indonesian legal system? The purpose of this study is to </w:t>
      </w:r>
      <w:proofErr w:type="spellStart"/>
      <w:r w:rsidRPr="002C7DE9">
        <w:rPr>
          <w:rFonts w:ascii="Bookman Old Style" w:hAnsi="Bookman Old Style"/>
          <w:sz w:val="24"/>
          <w:szCs w:val="24"/>
        </w:rPr>
        <w:t>analyze</w:t>
      </w:r>
      <w:proofErr w:type="spellEnd"/>
      <w:r w:rsidRPr="002C7DE9">
        <w:rPr>
          <w:rFonts w:ascii="Bookman Old Style" w:hAnsi="Bookman Old Style"/>
          <w:sz w:val="24"/>
          <w:szCs w:val="24"/>
        </w:rPr>
        <w:t xml:space="preserve"> and formulate institutional coordination models that can optimize the return of State losses fairly and measurably. In practical terms, this study is expected to provide policy recommendations for law makers and law enforcement officials in refining regulations related to the recovery of state assets.</w:t>
      </w:r>
      <w:r>
        <w:rPr>
          <w:rStyle w:val="FootnoteReference"/>
          <w:rFonts w:ascii="Bookman Old Style" w:hAnsi="Bookman Old Style"/>
          <w:sz w:val="24"/>
          <w:szCs w:val="24"/>
        </w:rPr>
        <w:footnoteReference w:id="7"/>
      </w:r>
    </w:p>
    <w:p w:rsidR="00E72D0D" w:rsidRPr="00514FC1" w:rsidRDefault="00E72D0D" w:rsidP="00E72D0D">
      <w:pPr>
        <w:spacing w:after="0"/>
        <w:ind w:firstLine="567"/>
        <w:jc w:val="both"/>
        <w:rPr>
          <w:rFonts w:ascii="Bookman Old Style" w:hAnsi="Bookman Old Style"/>
          <w:sz w:val="24"/>
          <w:szCs w:val="24"/>
        </w:rPr>
      </w:pP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A44D9A" w:rsidRPr="00A44D9A" w:rsidRDefault="00A44D9A" w:rsidP="00A44D9A">
      <w:pPr>
        <w:spacing w:after="0"/>
        <w:ind w:firstLine="567"/>
        <w:jc w:val="both"/>
        <w:rPr>
          <w:rStyle w:val="ypks7kbdpwfgdykd3qb9"/>
          <w:rFonts w:ascii="Bookman Old Style" w:hAnsi="Bookman Old Style"/>
          <w:sz w:val="24"/>
          <w:szCs w:val="24"/>
        </w:rPr>
      </w:pPr>
      <w:r w:rsidRPr="00A44D9A">
        <w:rPr>
          <w:rStyle w:val="ypks7kbdpwfgdykd3qb9"/>
          <w:rFonts w:ascii="Bookman Old Style" w:hAnsi="Bookman Old Style"/>
          <w:sz w:val="24"/>
          <w:szCs w:val="24"/>
        </w:rPr>
        <w:t>This study uses normative juridical approach (normative legal research), which is a method that focuses on the study of written legal norms as the main object of analysis.</w:t>
      </w:r>
      <w:r w:rsidR="00F33E41">
        <w:rPr>
          <w:rStyle w:val="FootnoteReference"/>
          <w:rFonts w:ascii="Bookman Old Style" w:hAnsi="Bookman Old Style"/>
          <w:sz w:val="24"/>
          <w:szCs w:val="24"/>
        </w:rPr>
        <w:footnoteReference w:id="8"/>
      </w:r>
      <w:r w:rsidRPr="00A44D9A">
        <w:rPr>
          <w:rStyle w:val="ypks7kbdpwfgdykd3qb9"/>
          <w:rFonts w:ascii="Bookman Old Style" w:hAnsi="Bookman Old Style"/>
          <w:sz w:val="24"/>
          <w:szCs w:val="24"/>
        </w:rPr>
        <w:t xml:space="preserve"> This approach was chosen because the problems studied concern the relationship of authority between state institutions derived from normative constructions, not empirical phenomena that require field observations. Thus, this study seeks to understand, interpret and evaluate the applicable legal provisions in a systematic and coherent manner within the framework of positive legal Sciences.</w:t>
      </w:r>
      <w:r>
        <w:rPr>
          <w:rStyle w:val="FootnoteReference"/>
          <w:rFonts w:ascii="Bookman Old Style" w:hAnsi="Bookman Old Style"/>
          <w:sz w:val="24"/>
          <w:szCs w:val="24"/>
        </w:rPr>
        <w:footnoteReference w:id="9"/>
      </w:r>
      <w:r w:rsidRPr="00A44D9A">
        <w:rPr>
          <w:rStyle w:val="ypks7kbdpwfgdykd3qb9"/>
          <w:rFonts w:ascii="Bookman Old Style" w:hAnsi="Bookman Old Style"/>
          <w:sz w:val="24"/>
          <w:szCs w:val="24"/>
        </w:rPr>
        <w:t xml:space="preserve">  Data collection is carried out through library research, namely by collecting and </w:t>
      </w:r>
      <w:proofErr w:type="spellStart"/>
      <w:r w:rsidRPr="00A44D9A">
        <w:rPr>
          <w:rStyle w:val="ypks7kbdpwfgdykd3qb9"/>
          <w:rFonts w:ascii="Bookman Old Style" w:hAnsi="Bookman Old Style"/>
          <w:sz w:val="24"/>
          <w:szCs w:val="24"/>
        </w:rPr>
        <w:t>analyzing</w:t>
      </w:r>
      <w:proofErr w:type="spellEnd"/>
      <w:r w:rsidRPr="00A44D9A">
        <w:rPr>
          <w:rStyle w:val="ypks7kbdpwfgdykd3qb9"/>
          <w:rFonts w:ascii="Bookman Old Style" w:hAnsi="Bookman Old Style"/>
          <w:sz w:val="24"/>
          <w:szCs w:val="24"/>
        </w:rPr>
        <w:t xml:space="preserve"> various primary and secondary sources of law in depth. The primary sources of law used include two main regulations, namely Law No. 15 of 2006 on the Audit Board, which regulates the constitutional authority of the BPK in determining state financial </w:t>
      </w:r>
      <w:proofErr w:type="gramStart"/>
      <w:r w:rsidRPr="00A44D9A">
        <w:rPr>
          <w:rStyle w:val="ypks7kbdpwfgdykd3qb9"/>
          <w:rFonts w:ascii="Bookman Old Style" w:hAnsi="Bookman Old Style"/>
          <w:sz w:val="24"/>
          <w:szCs w:val="24"/>
        </w:rPr>
        <w:t>losses ,</w:t>
      </w:r>
      <w:proofErr w:type="gramEnd"/>
      <w:r w:rsidRPr="00A44D9A">
        <w:rPr>
          <w:rStyle w:val="ypks7kbdpwfgdykd3qb9"/>
          <w:rFonts w:ascii="Bookman Old Style" w:hAnsi="Bookman Old Style"/>
          <w:sz w:val="24"/>
          <w:szCs w:val="24"/>
        </w:rPr>
        <w:t xml:space="preserve"> and Law No. 16 of 2004 on the prosecutor's Office of the Republic of Indonesia</w:t>
      </w:r>
      <w:r>
        <w:rPr>
          <w:rStyle w:val="FootnoteReference"/>
          <w:rFonts w:ascii="Bookman Old Style" w:hAnsi="Bookman Old Style"/>
          <w:sz w:val="24"/>
          <w:szCs w:val="24"/>
        </w:rPr>
        <w:footnoteReference w:id="10"/>
      </w:r>
      <w:r w:rsidRPr="00A44D9A">
        <w:rPr>
          <w:rStyle w:val="ypks7kbdpwfgdykd3qb9"/>
          <w:rFonts w:ascii="Bookman Old Style" w:hAnsi="Bookman Old Style"/>
          <w:sz w:val="24"/>
          <w:szCs w:val="24"/>
        </w:rPr>
        <w:t xml:space="preserve"> which is the normative basis for the implementation of the </w:t>
      </w:r>
      <w:proofErr w:type="spellStart"/>
      <w:r w:rsidRPr="00A44D9A">
        <w:rPr>
          <w:rStyle w:val="ypks7kbdpwfgdykd3qb9"/>
          <w:rFonts w:ascii="Bookman Old Style" w:hAnsi="Bookman Old Style"/>
          <w:sz w:val="24"/>
          <w:szCs w:val="24"/>
        </w:rPr>
        <w:t>dominus</w:t>
      </w:r>
      <w:proofErr w:type="spellEnd"/>
      <w:r w:rsidRPr="00A44D9A">
        <w:rPr>
          <w:rStyle w:val="ypks7kbdpwfgdykd3qb9"/>
          <w:rFonts w:ascii="Bookman Old Style" w:hAnsi="Bookman Old Style"/>
          <w:sz w:val="24"/>
          <w:szCs w:val="24"/>
        </w:rPr>
        <w:t xml:space="preserve"> </w:t>
      </w:r>
      <w:proofErr w:type="spellStart"/>
      <w:r w:rsidRPr="00A44D9A">
        <w:rPr>
          <w:rStyle w:val="ypks7kbdpwfgdykd3qb9"/>
          <w:rFonts w:ascii="Bookman Old Style" w:hAnsi="Bookman Old Style"/>
          <w:sz w:val="24"/>
          <w:szCs w:val="24"/>
        </w:rPr>
        <w:t>litis</w:t>
      </w:r>
      <w:proofErr w:type="spellEnd"/>
      <w:r w:rsidRPr="00A44D9A">
        <w:rPr>
          <w:rStyle w:val="ypks7kbdpwfgdykd3qb9"/>
          <w:rFonts w:ascii="Bookman Old Style" w:hAnsi="Bookman Old Style"/>
          <w:sz w:val="24"/>
          <w:szCs w:val="24"/>
        </w:rPr>
        <w:t xml:space="preserve"> principle in the prosecution process.  These two regulations were chosen because they directly regulate the relationship of authority that is the focus of the study.</w:t>
      </w:r>
      <w:r>
        <w:rPr>
          <w:rStyle w:val="FootnoteReference"/>
          <w:rFonts w:ascii="Bookman Old Style" w:hAnsi="Bookman Old Style"/>
          <w:sz w:val="24"/>
          <w:szCs w:val="24"/>
        </w:rPr>
        <w:footnoteReference w:id="11"/>
      </w:r>
      <w:r w:rsidRPr="00A44D9A">
        <w:rPr>
          <w:rStyle w:val="ypks7kbdpwfgdykd3qb9"/>
          <w:rFonts w:ascii="Bookman Old Style" w:hAnsi="Bookman Old Style"/>
          <w:sz w:val="24"/>
          <w:szCs w:val="24"/>
        </w:rPr>
        <w:t xml:space="preserve"> </w:t>
      </w:r>
      <w:r w:rsidRPr="00A44D9A">
        <w:rPr>
          <w:rStyle w:val="ypks7kbdpwfgdykd3qb9"/>
          <w:rFonts w:ascii="Bookman Old Style" w:hAnsi="Bookman Old Style"/>
          <w:sz w:val="24"/>
          <w:szCs w:val="24"/>
        </w:rPr>
        <w:lastRenderedPageBreak/>
        <w:t>The secondary sources of law include national and international legal scientific journals published between 2021 and 2025, legal reference books, relevant court decisions, and official policy documents that can be accessed publicly.</w:t>
      </w:r>
    </w:p>
    <w:p w:rsidR="00A44D9A" w:rsidRDefault="00A44D9A" w:rsidP="00A44D9A">
      <w:pPr>
        <w:spacing w:after="0"/>
        <w:ind w:firstLine="567"/>
        <w:jc w:val="both"/>
        <w:rPr>
          <w:rStyle w:val="ypks7kbdpwfgdykd3qb9"/>
          <w:rFonts w:ascii="Bookman Old Style" w:hAnsi="Bookman Old Style"/>
          <w:sz w:val="24"/>
          <w:szCs w:val="24"/>
        </w:rPr>
      </w:pPr>
      <w:r w:rsidRPr="00A44D9A">
        <w:rPr>
          <w:rStyle w:val="ypks7kbdpwfgdykd3qb9"/>
          <w:rFonts w:ascii="Bookman Old Style" w:hAnsi="Bookman Old Style"/>
          <w:sz w:val="24"/>
          <w:szCs w:val="24"/>
        </w:rPr>
        <w:t>Data analysis is done by prescriptive-analytical method, where the researcher not only describes the existing norms, but also evaluates the conformity between the norms with the legal objectives to be achieved, namely Justice and certainty in the return of State losses. Conceptual approach (conceptual approach) and statutory approach (statute approach) are applied simultaneously in order to obtain a complete understanding of the legal construction that governs the coordination between the prosecutor's office and BPK. The entire analysis process is directed to produce legal propositions that can be normative recommendations for the improvement of existing regulations.</w:t>
      </w:r>
      <w:r>
        <w:rPr>
          <w:rStyle w:val="FootnoteReference"/>
          <w:rFonts w:ascii="Bookman Old Style" w:hAnsi="Bookman Old Style"/>
          <w:sz w:val="24"/>
          <w:szCs w:val="24"/>
        </w:rPr>
        <w:footnoteReference w:id="12"/>
      </w:r>
    </w:p>
    <w:p w:rsidR="00E72D0D" w:rsidRPr="00E72D0D" w:rsidRDefault="00E72D0D" w:rsidP="00FB6A75">
      <w:pPr>
        <w:spacing w:after="0"/>
        <w:ind w:firstLine="567"/>
        <w:jc w:val="both"/>
        <w:rPr>
          <w:rFonts w:ascii="Bookman Old Style" w:hAnsi="Bookman Old Style"/>
          <w:sz w:val="24"/>
          <w:szCs w:val="24"/>
        </w:rPr>
      </w:pPr>
    </w:p>
    <w:p w:rsidR="00052638" w:rsidRDefault="00052638" w:rsidP="00052638">
      <w:pPr>
        <w:spacing w:after="0"/>
        <w:jc w:val="both"/>
        <w:rPr>
          <w:rFonts w:ascii="Bookman Old Style" w:hAnsi="Bookman Old Style"/>
          <w:b/>
          <w:sz w:val="24"/>
          <w:lang w:val="id-ID"/>
        </w:rPr>
      </w:pPr>
      <w:r>
        <w:rPr>
          <w:rFonts w:ascii="Bookman Old Style" w:hAnsi="Bookman Old Style"/>
          <w:b/>
          <w:sz w:val="24"/>
          <w:lang w:val="en-US"/>
        </w:rPr>
        <w:t xml:space="preserve">3. </w:t>
      </w:r>
      <w:r w:rsidRPr="00DD76D8">
        <w:rPr>
          <w:rFonts w:ascii="Bookman Old Style" w:hAnsi="Bookman Old Style"/>
          <w:b/>
          <w:sz w:val="24"/>
          <w:lang w:val="id-ID"/>
        </w:rPr>
        <w:t>RESULT AND ANALYSIS</w:t>
      </w:r>
    </w:p>
    <w:p w:rsidR="00E72D0D" w:rsidRPr="00F60074" w:rsidRDefault="0038454B" w:rsidP="0038454B">
      <w:pPr>
        <w:pStyle w:val="ListParagraph"/>
        <w:numPr>
          <w:ilvl w:val="0"/>
          <w:numId w:val="29"/>
        </w:numPr>
        <w:spacing w:after="0"/>
        <w:jc w:val="both"/>
        <w:rPr>
          <w:rStyle w:val="ypks7kbdpwfgdykd3qb9"/>
          <w:rFonts w:ascii="Bookman Old Style" w:hAnsi="Bookman Old Style"/>
          <w:b/>
          <w:sz w:val="24"/>
          <w:szCs w:val="24"/>
          <w:lang w:val="id-ID"/>
        </w:rPr>
      </w:pPr>
      <w:r w:rsidRPr="0038454B">
        <w:rPr>
          <w:rStyle w:val="ypks7kbdpwfgdykd3qb9"/>
          <w:rFonts w:ascii="Bookman Old Style" w:hAnsi="Bookman Old Style"/>
          <w:b/>
          <w:sz w:val="24"/>
          <w:szCs w:val="24"/>
        </w:rPr>
        <w:t>Relations of the prosecutor's office and the CPC In The Return of State losses</w:t>
      </w:r>
    </w:p>
    <w:p w:rsidR="0038454B" w:rsidRPr="0038454B" w:rsidRDefault="0038454B" w:rsidP="0038454B">
      <w:pPr>
        <w:spacing w:after="0"/>
        <w:ind w:firstLine="567"/>
        <w:jc w:val="both"/>
        <w:rPr>
          <w:rFonts w:ascii="Bookman Old Style" w:hAnsi="Bookman Old Style"/>
          <w:sz w:val="24"/>
          <w:szCs w:val="24"/>
        </w:rPr>
      </w:pPr>
      <w:r w:rsidRPr="0038454B">
        <w:rPr>
          <w:rFonts w:ascii="Bookman Old Style" w:hAnsi="Bookman Old Style"/>
          <w:sz w:val="24"/>
          <w:szCs w:val="24"/>
        </w:rPr>
        <w:t>The return of state financial losses is one of the main objectives in the eradication of Corruption (corruption eradication) in Indonesia. Normatively, Article 1 Number 15 of Law Number 15 of 2006 on the Audit Board defines state losses as the lack of money, Securities, and goods in a definite amount as a result of unlawful acts, whether intentional or due to negligence.</w:t>
      </w:r>
      <w:r w:rsidR="003F6D81">
        <w:rPr>
          <w:rStyle w:val="FootnoteReference"/>
          <w:rFonts w:ascii="Bookman Old Style" w:hAnsi="Bookman Old Style"/>
          <w:sz w:val="24"/>
          <w:szCs w:val="24"/>
        </w:rPr>
        <w:footnoteReference w:id="13"/>
      </w:r>
      <w:r w:rsidRPr="0038454B">
        <w:rPr>
          <w:rFonts w:ascii="Bookman Old Style" w:hAnsi="Bookman Old Style"/>
          <w:sz w:val="24"/>
          <w:szCs w:val="24"/>
        </w:rPr>
        <w:t xml:space="preserve">  The definition is a normative footing for the BPK in carrying out the investigative audit function, the results of which are a reference for the prosecutor's office in the prosecution process. The prosecutor's office, through criminal and civil mechanisms, has the authority to pursue assets suspected of corruption. Based on Law No. 16 of 2004 concerning the Attorney General of the Republic of Indonesia, the prosecutor acts as a representative of the state who has the right to file a civil lawsuit against the defendant or his heirs for property acquired unlawfully. In practice, the prosecutor's office often faces limitations in optimizing this role, especially when the process of handling cases only stops at the stage of court decisions without adequate follow-up on the execution of fines, replacement money, and auctions of confiscated assets.</w:t>
      </w:r>
      <w:r w:rsidR="00B56EDE">
        <w:rPr>
          <w:rStyle w:val="FootnoteReference"/>
          <w:rFonts w:ascii="Bookman Old Style" w:hAnsi="Bookman Old Style"/>
          <w:sz w:val="24"/>
          <w:szCs w:val="24"/>
        </w:rPr>
        <w:footnoteReference w:id="14"/>
      </w:r>
      <w:r w:rsidRPr="0038454B">
        <w:rPr>
          <w:rFonts w:ascii="Bookman Old Style" w:hAnsi="Bookman Old Style"/>
          <w:sz w:val="24"/>
          <w:szCs w:val="24"/>
        </w:rPr>
        <w:t xml:space="preserve"> </w:t>
      </w:r>
    </w:p>
    <w:p w:rsidR="001C090D" w:rsidRPr="00E72D0D" w:rsidRDefault="0038454B" w:rsidP="00106720">
      <w:pPr>
        <w:spacing w:after="0"/>
        <w:ind w:firstLine="567"/>
        <w:jc w:val="both"/>
        <w:rPr>
          <w:rFonts w:ascii="Bookman Old Style" w:hAnsi="Bookman Old Style"/>
          <w:sz w:val="24"/>
          <w:szCs w:val="24"/>
        </w:rPr>
      </w:pPr>
      <w:r w:rsidRPr="0038454B">
        <w:rPr>
          <w:rFonts w:ascii="Bookman Old Style" w:hAnsi="Bookman Old Style"/>
          <w:sz w:val="24"/>
          <w:szCs w:val="24"/>
        </w:rPr>
        <w:lastRenderedPageBreak/>
        <w:t xml:space="preserve">The relationship between the prosecutor's office and the BPK in the process of returning state losses is complementary but prone to overlapping authorities. The CPC establishes the value of the loss officially, while the prosecutor's Office determines the prosecution strategy based on the construction of the indictment that it builds itself. When the </w:t>
      </w:r>
      <w:r w:rsidR="003F6D81">
        <w:rPr>
          <w:rFonts w:ascii="Bookman Old Style" w:hAnsi="Bookman Old Style"/>
          <w:sz w:val="24"/>
          <w:szCs w:val="24"/>
        </w:rPr>
        <w:t>BPK</w:t>
      </w:r>
      <w:r w:rsidRPr="0038454B">
        <w:rPr>
          <w:rFonts w:ascii="Bookman Old Style" w:hAnsi="Bookman Old Style"/>
          <w:sz w:val="24"/>
          <w:szCs w:val="24"/>
        </w:rPr>
        <w:t xml:space="preserve"> version of the loss figure is different from that used in the indictment, there is a normative gap that has the potential to weaken asset recovery efforts. This condition is compounded by the lack of a formal coordination mechanism that requires the synchronization of loss data between the two institutions before the case is transferred to court. Attorney General Regulation Number 3 of 2024 concerning the Asset Recovery Agency (BPA) is actually a progressive step that strengthens the prosecutor's institutional capacity in tracing and seizing assets from crimes. However, in the absence of systematic data synergy with the </w:t>
      </w:r>
      <w:r w:rsidR="003F6D81">
        <w:rPr>
          <w:rFonts w:ascii="Bookman Old Style" w:hAnsi="Bookman Old Style"/>
          <w:sz w:val="24"/>
          <w:szCs w:val="24"/>
        </w:rPr>
        <w:t>BPK</w:t>
      </w:r>
      <w:r w:rsidRPr="0038454B">
        <w:rPr>
          <w:rFonts w:ascii="Bookman Old Style" w:hAnsi="Bookman Old Style"/>
          <w:sz w:val="24"/>
          <w:szCs w:val="24"/>
        </w:rPr>
        <w:t xml:space="preserve">, the effectiveness of </w:t>
      </w:r>
      <w:r w:rsidR="003F6D81">
        <w:rPr>
          <w:rFonts w:ascii="Bookman Old Style" w:hAnsi="Bookman Old Style"/>
          <w:sz w:val="24"/>
          <w:szCs w:val="24"/>
        </w:rPr>
        <w:t>BPA</w:t>
      </w:r>
      <w:r w:rsidRPr="0038454B">
        <w:rPr>
          <w:rFonts w:ascii="Bookman Old Style" w:hAnsi="Bookman Old Style"/>
          <w:sz w:val="24"/>
          <w:szCs w:val="24"/>
        </w:rPr>
        <w:t xml:space="preserve"> remains dependent on the quality of cross-agency coordination which in practice is still ad hoc and not standardized.</w:t>
      </w:r>
      <w:r w:rsidR="00B56EDE">
        <w:rPr>
          <w:rStyle w:val="FootnoteReference"/>
          <w:rFonts w:ascii="Bookman Old Style" w:hAnsi="Bookman Old Style"/>
          <w:sz w:val="24"/>
          <w:szCs w:val="24"/>
        </w:rPr>
        <w:footnoteReference w:id="15"/>
      </w:r>
    </w:p>
    <w:p w:rsidR="00903EC4" w:rsidRPr="00523487" w:rsidRDefault="0038454B" w:rsidP="0038454B">
      <w:pPr>
        <w:pStyle w:val="ListParagraph"/>
        <w:numPr>
          <w:ilvl w:val="0"/>
          <w:numId w:val="29"/>
        </w:numPr>
        <w:spacing w:after="0"/>
        <w:jc w:val="both"/>
        <w:rPr>
          <w:rStyle w:val="ypks7kbdpwfgdykd3qb9"/>
          <w:rFonts w:ascii="Bookman Old Style" w:hAnsi="Bookman Old Style"/>
          <w:b/>
          <w:sz w:val="24"/>
          <w:szCs w:val="24"/>
          <w:lang w:val="id-ID"/>
        </w:rPr>
      </w:pPr>
      <w:r w:rsidRPr="0038454B">
        <w:rPr>
          <w:rStyle w:val="ypks7kbdpwfgdykd3qb9"/>
          <w:rFonts w:ascii="Bookman Old Style" w:hAnsi="Bookman Old Style"/>
          <w:b/>
          <w:sz w:val="24"/>
          <w:szCs w:val="24"/>
        </w:rPr>
        <w:t xml:space="preserve">Implementation of Dominus </w:t>
      </w:r>
      <w:proofErr w:type="spellStart"/>
      <w:r w:rsidRPr="0038454B">
        <w:rPr>
          <w:rStyle w:val="ypks7kbdpwfgdykd3qb9"/>
          <w:rFonts w:ascii="Bookman Old Style" w:hAnsi="Bookman Old Style"/>
          <w:b/>
          <w:sz w:val="24"/>
          <w:szCs w:val="24"/>
        </w:rPr>
        <w:t>Litis</w:t>
      </w:r>
      <w:proofErr w:type="spellEnd"/>
      <w:r w:rsidRPr="0038454B">
        <w:rPr>
          <w:rStyle w:val="ypks7kbdpwfgdykd3qb9"/>
          <w:rFonts w:ascii="Bookman Old Style" w:hAnsi="Bookman Old Style"/>
          <w:b/>
          <w:sz w:val="24"/>
          <w:szCs w:val="24"/>
        </w:rPr>
        <w:t xml:space="preserve"> principles in handling corruption cases</w:t>
      </w:r>
    </w:p>
    <w:p w:rsidR="0038454B" w:rsidRPr="0038454B" w:rsidRDefault="0038454B" w:rsidP="0038454B">
      <w:pPr>
        <w:spacing w:after="0"/>
        <w:ind w:firstLine="720"/>
        <w:jc w:val="both"/>
        <w:rPr>
          <w:rFonts w:ascii="Bookman Old Style" w:hAnsi="Bookman Old Style"/>
          <w:sz w:val="24"/>
          <w:szCs w:val="24"/>
        </w:rPr>
      </w:pPr>
      <w:r w:rsidRPr="0038454B">
        <w:rPr>
          <w:rFonts w:ascii="Bookman Old Style" w:hAnsi="Bookman Old Style"/>
          <w:sz w:val="24"/>
          <w:szCs w:val="24"/>
        </w:rPr>
        <w:t xml:space="preserve">The </w:t>
      </w:r>
      <w:proofErr w:type="spellStart"/>
      <w:r w:rsidRPr="0038454B">
        <w:rPr>
          <w:rFonts w:ascii="Bookman Old Style" w:hAnsi="Bookman Old Style"/>
          <w:sz w:val="24"/>
          <w:szCs w:val="24"/>
        </w:rPr>
        <w:t>dominus</w:t>
      </w:r>
      <w:proofErr w:type="spellEnd"/>
      <w:r w:rsidRPr="0038454B">
        <w:rPr>
          <w:rFonts w:ascii="Bookman Old Style" w:hAnsi="Bookman Old Style"/>
          <w:sz w:val="24"/>
          <w:szCs w:val="24"/>
        </w:rPr>
        <w:t xml:space="preserve"> </w:t>
      </w:r>
      <w:proofErr w:type="spellStart"/>
      <w:r w:rsidRPr="0038454B">
        <w:rPr>
          <w:rFonts w:ascii="Bookman Old Style" w:hAnsi="Bookman Old Style"/>
          <w:sz w:val="24"/>
          <w:szCs w:val="24"/>
        </w:rPr>
        <w:t>litis</w:t>
      </w:r>
      <w:proofErr w:type="spellEnd"/>
      <w:r w:rsidRPr="0038454B">
        <w:rPr>
          <w:rFonts w:ascii="Bookman Old Style" w:hAnsi="Bookman Old Style"/>
          <w:sz w:val="24"/>
          <w:szCs w:val="24"/>
        </w:rPr>
        <w:t xml:space="preserve"> principle places the public prosecutor as the full controller of a criminal case, as stated in Article 1 Number 25 of Law Number 16 of 2004 concerning the prosecutor's Office of the Republic of Indonesia. This principle conceptually gives prosecutors exclusive authority to determine the direction of prosecution, including whether a case is worthy of going to court or being resolved through other mechanisms. In the context of combating corruption, the implementation of this principle faces various structural challenges, ranging from bribery practices aimed at weakening indictments, the issuance of controversial P3 letters, to the manipulation of exceptions in indictments to alleviate charges.</w:t>
      </w:r>
      <w:r w:rsidR="00253019">
        <w:rPr>
          <w:rStyle w:val="FootnoteReference"/>
          <w:rFonts w:ascii="Bookman Old Style" w:hAnsi="Bookman Old Style"/>
          <w:sz w:val="24"/>
          <w:szCs w:val="24"/>
        </w:rPr>
        <w:footnoteReference w:id="16"/>
      </w:r>
      <w:r w:rsidRPr="0038454B">
        <w:rPr>
          <w:rFonts w:ascii="Bookman Old Style" w:hAnsi="Bookman Old Style"/>
          <w:sz w:val="24"/>
          <w:szCs w:val="24"/>
        </w:rPr>
        <w:t xml:space="preserve"> These conditions indicate that the application of </w:t>
      </w:r>
      <w:proofErr w:type="spellStart"/>
      <w:r w:rsidRPr="0038454B">
        <w:rPr>
          <w:rFonts w:ascii="Bookman Old Style" w:hAnsi="Bookman Old Style"/>
          <w:sz w:val="24"/>
          <w:szCs w:val="24"/>
        </w:rPr>
        <w:t>dominus</w:t>
      </w:r>
      <w:proofErr w:type="spellEnd"/>
      <w:r w:rsidRPr="0038454B">
        <w:rPr>
          <w:rFonts w:ascii="Bookman Old Style" w:hAnsi="Bookman Old Style"/>
          <w:sz w:val="24"/>
          <w:szCs w:val="24"/>
        </w:rPr>
        <w:t xml:space="preserve"> </w:t>
      </w:r>
      <w:proofErr w:type="spellStart"/>
      <w:r w:rsidRPr="0038454B">
        <w:rPr>
          <w:rFonts w:ascii="Bookman Old Style" w:hAnsi="Bookman Old Style"/>
          <w:sz w:val="24"/>
          <w:szCs w:val="24"/>
        </w:rPr>
        <w:t>litis</w:t>
      </w:r>
      <w:proofErr w:type="spellEnd"/>
      <w:r w:rsidRPr="0038454B">
        <w:rPr>
          <w:rFonts w:ascii="Bookman Old Style" w:hAnsi="Bookman Old Style"/>
          <w:sz w:val="24"/>
          <w:szCs w:val="24"/>
        </w:rPr>
        <w:t xml:space="preserve"> in practice is far from ideal and requires closer supervision from external institutions, including the prosecutor's Commission whose role is to supervise the performance of prosecutors to be in harmony between norms and practices in the field.  Without effective supervision, the </w:t>
      </w:r>
      <w:proofErr w:type="spellStart"/>
      <w:r w:rsidRPr="0038454B">
        <w:rPr>
          <w:rFonts w:ascii="Bookman Old Style" w:hAnsi="Bookman Old Style"/>
          <w:sz w:val="24"/>
          <w:szCs w:val="24"/>
        </w:rPr>
        <w:t>dominus</w:t>
      </w:r>
      <w:proofErr w:type="spellEnd"/>
      <w:r w:rsidRPr="0038454B">
        <w:rPr>
          <w:rFonts w:ascii="Bookman Old Style" w:hAnsi="Bookman Old Style"/>
          <w:sz w:val="24"/>
          <w:szCs w:val="24"/>
        </w:rPr>
        <w:t xml:space="preserve"> </w:t>
      </w:r>
      <w:proofErr w:type="spellStart"/>
      <w:r w:rsidRPr="0038454B">
        <w:rPr>
          <w:rFonts w:ascii="Bookman Old Style" w:hAnsi="Bookman Old Style"/>
          <w:sz w:val="24"/>
          <w:szCs w:val="24"/>
        </w:rPr>
        <w:t>litis</w:t>
      </w:r>
      <w:proofErr w:type="spellEnd"/>
      <w:r w:rsidRPr="0038454B">
        <w:rPr>
          <w:rFonts w:ascii="Bookman Old Style" w:hAnsi="Bookman Old Style"/>
          <w:sz w:val="24"/>
          <w:szCs w:val="24"/>
        </w:rPr>
        <w:t xml:space="preserve"> principle is at risk of being misused so that it hinders the process of returning state losses which is the main goal of corruption law enforcement.</w:t>
      </w:r>
      <w:r w:rsidR="00B56EDE">
        <w:rPr>
          <w:rStyle w:val="FootnoteReference"/>
          <w:rFonts w:ascii="Bookman Old Style" w:hAnsi="Bookman Old Style"/>
          <w:sz w:val="24"/>
          <w:szCs w:val="24"/>
        </w:rPr>
        <w:footnoteReference w:id="17"/>
      </w:r>
    </w:p>
    <w:p w:rsidR="00523487" w:rsidRPr="007C7EA5" w:rsidRDefault="0038454B" w:rsidP="00106720">
      <w:pPr>
        <w:spacing w:after="0"/>
        <w:ind w:firstLine="720"/>
        <w:jc w:val="both"/>
        <w:rPr>
          <w:rFonts w:ascii="Bookman Old Style" w:hAnsi="Bookman Old Style"/>
          <w:sz w:val="24"/>
          <w:szCs w:val="24"/>
        </w:rPr>
      </w:pPr>
      <w:r w:rsidRPr="0038454B">
        <w:rPr>
          <w:rFonts w:ascii="Bookman Old Style" w:hAnsi="Bookman Old Style"/>
          <w:sz w:val="24"/>
          <w:szCs w:val="24"/>
        </w:rPr>
        <w:lastRenderedPageBreak/>
        <w:t xml:space="preserve">The issue of the implementation of the </w:t>
      </w:r>
      <w:proofErr w:type="spellStart"/>
      <w:r w:rsidRPr="0038454B">
        <w:rPr>
          <w:rFonts w:ascii="Bookman Old Style" w:hAnsi="Bookman Old Style"/>
          <w:sz w:val="24"/>
          <w:szCs w:val="24"/>
        </w:rPr>
        <w:t>dominus</w:t>
      </w:r>
      <w:proofErr w:type="spellEnd"/>
      <w:r w:rsidRPr="0038454B">
        <w:rPr>
          <w:rFonts w:ascii="Bookman Old Style" w:hAnsi="Bookman Old Style"/>
          <w:sz w:val="24"/>
          <w:szCs w:val="24"/>
        </w:rPr>
        <w:t xml:space="preserve"> </w:t>
      </w:r>
      <w:proofErr w:type="spellStart"/>
      <w:r w:rsidRPr="0038454B">
        <w:rPr>
          <w:rFonts w:ascii="Bookman Old Style" w:hAnsi="Bookman Old Style"/>
          <w:sz w:val="24"/>
          <w:szCs w:val="24"/>
        </w:rPr>
        <w:t>litis</w:t>
      </w:r>
      <w:proofErr w:type="spellEnd"/>
      <w:r w:rsidRPr="0038454B">
        <w:rPr>
          <w:rFonts w:ascii="Bookman Old Style" w:hAnsi="Bookman Old Style"/>
          <w:sz w:val="24"/>
          <w:szCs w:val="24"/>
        </w:rPr>
        <w:t xml:space="preserve"> principle is also closely related to the institutional design of the Indonesian criminal justice system which adheres to the principle of functional differentiation between investigation and prosecution. In this framework, the prosecutor does not have full control over the investigative process dominated by the police, so the authority of </w:t>
      </w:r>
      <w:proofErr w:type="spellStart"/>
      <w:r w:rsidRPr="0038454B">
        <w:rPr>
          <w:rFonts w:ascii="Bookman Old Style" w:hAnsi="Bookman Old Style"/>
          <w:sz w:val="24"/>
          <w:szCs w:val="24"/>
        </w:rPr>
        <w:t>dominus</w:t>
      </w:r>
      <w:proofErr w:type="spellEnd"/>
      <w:r w:rsidRPr="0038454B">
        <w:rPr>
          <w:rFonts w:ascii="Bookman Old Style" w:hAnsi="Bookman Old Style"/>
          <w:sz w:val="24"/>
          <w:szCs w:val="24"/>
        </w:rPr>
        <w:t xml:space="preserve"> </w:t>
      </w:r>
      <w:proofErr w:type="spellStart"/>
      <w:r w:rsidRPr="0038454B">
        <w:rPr>
          <w:rFonts w:ascii="Bookman Old Style" w:hAnsi="Bookman Old Style"/>
          <w:sz w:val="24"/>
          <w:szCs w:val="24"/>
        </w:rPr>
        <w:t>litis</w:t>
      </w:r>
      <w:proofErr w:type="spellEnd"/>
      <w:r w:rsidRPr="0038454B">
        <w:rPr>
          <w:rFonts w:ascii="Bookman Old Style" w:hAnsi="Bookman Old Style"/>
          <w:sz w:val="24"/>
          <w:szCs w:val="24"/>
        </w:rPr>
        <w:t xml:space="preserve"> is in reality Limited and partial. Comparative studies with the United States and the Netherlands show that closer coordination between investigators and prosecutors has been shown to significantly increase the effectiveness of handling cases. In the United States, prosecutors have a determinant role in determining the viability of a case to proceed to trial, while in the Netherlands, institutional integration under a single ministry allows for smoother coordination. Indonesia needs to consider similar reforms within the framework of the draft Criminal Procedure Code (KUHAP) that is being prepared, so that the </w:t>
      </w:r>
      <w:proofErr w:type="spellStart"/>
      <w:r w:rsidRPr="0038454B">
        <w:rPr>
          <w:rFonts w:ascii="Bookman Old Style" w:hAnsi="Bookman Old Style"/>
          <w:sz w:val="24"/>
          <w:szCs w:val="24"/>
        </w:rPr>
        <w:t>dominus</w:t>
      </w:r>
      <w:proofErr w:type="spellEnd"/>
      <w:r w:rsidRPr="0038454B">
        <w:rPr>
          <w:rFonts w:ascii="Bookman Old Style" w:hAnsi="Bookman Old Style"/>
          <w:sz w:val="24"/>
          <w:szCs w:val="24"/>
        </w:rPr>
        <w:t xml:space="preserve"> </w:t>
      </w:r>
      <w:proofErr w:type="spellStart"/>
      <w:r w:rsidRPr="0038454B">
        <w:rPr>
          <w:rFonts w:ascii="Bookman Old Style" w:hAnsi="Bookman Old Style"/>
          <w:sz w:val="24"/>
          <w:szCs w:val="24"/>
        </w:rPr>
        <w:t>litis</w:t>
      </w:r>
      <w:proofErr w:type="spellEnd"/>
      <w:r w:rsidRPr="0038454B">
        <w:rPr>
          <w:rFonts w:ascii="Bookman Old Style" w:hAnsi="Bookman Old Style"/>
          <w:sz w:val="24"/>
          <w:szCs w:val="24"/>
        </w:rPr>
        <w:t xml:space="preserve"> principle can be implemented more optimally and fairly.</w:t>
      </w:r>
      <w:r w:rsidR="00B56EDE">
        <w:rPr>
          <w:rStyle w:val="FootnoteReference"/>
          <w:rFonts w:ascii="Bookman Old Style" w:hAnsi="Bookman Old Style"/>
          <w:sz w:val="24"/>
          <w:szCs w:val="24"/>
        </w:rPr>
        <w:footnoteReference w:id="18"/>
      </w:r>
    </w:p>
    <w:p w:rsidR="00536F71" w:rsidRPr="00523487" w:rsidRDefault="0038454B" w:rsidP="0038454B">
      <w:pPr>
        <w:pStyle w:val="ListParagraph"/>
        <w:numPr>
          <w:ilvl w:val="0"/>
          <w:numId w:val="29"/>
        </w:numPr>
        <w:spacing w:after="0"/>
        <w:jc w:val="both"/>
        <w:rPr>
          <w:rStyle w:val="ypks7kbdpwfgdykd3qb9"/>
          <w:rFonts w:ascii="Bookman Old Style" w:hAnsi="Bookman Old Style"/>
          <w:b/>
          <w:sz w:val="24"/>
          <w:szCs w:val="24"/>
          <w:lang w:val="id-ID"/>
        </w:rPr>
      </w:pPr>
      <w:r w:rsidRPr="0038454B">
        <w:rPr>
          <w:rStyle w:val="ypks7kbdpwfgdykd3qb9"/>
          <w:rFonts w:ascii="Bookman Old Style" w:hAnsi="Bookman Old Style"/>
          <w:b/>
          <w:sz w:val="24"/>
          <w:szCs w:val="24"/>
        </w:rPr>
        <w:t>The mechanism for The Return of State losses: criminal and civil paths</w:t>
      </w:r>
    </w:p>
    <w:p w:rsidR="0038454B" w:rsidRPr="0038454B" w:rsidRDefault="0038454B" w:rsidP="0038454B">
      <w:pPr>
        <w:spacing w:after="0"/>
        <w:ind w:firstLine="720"/>
        <w:jc w:val="both"/>
        <w:rPr>
          <w:rFonts w:ascii="Bookman Old Style" w:hAnsi="Bookman Old Style"/>
          <w:sz w:val="24"/>
          <w:szCs w:val="24"/>
        </w:rPr>
      </w:pPr>
      <w:r w:rsidRPr="0038454B">
        <w:rPr>
          <w:rFonts w:ascii="Bookman Old Style" w:hAnsi="Bookman Old Style"/>
          <w:sz w:val="24"/>
          <w:szCs w:val="24"/>
        </w:rPr>
        <w:t xml:space="preserve">The return of state financial losses in corruption cases can be taken through two main channels, namely the criminal mechanism and civil mechanism (civil mechanism). Through the criminal route, efforts to recover State losses begin at the investigation stage, continue at the prosecution, examination of the trial, until the execution of the court decision. At each of these stages, the public prosecutor has attribution authority derived directly from Law Number 31 of 1999 </w:t>
      </w:r>
      <w:proofErr w:type="spellStart"/>
      <w:proofErr w:type="gramStart"/>
      <w:r w:rsidRPr="0038454B">
        <w:rPr>
          <w:rFonts w:ascii="Bookman Old Style" w:hAnsi="Bookman Old Style"/>
          <w:sz w:val="24"/>
          <w:szCs w:val="24"/>
        </w:rPr>
        <w:t>jo</w:t>
      </w:r>
      <w:proofErr w:type="spellEnd"/>
      <w:proofErr w:type="gramEnd"/>
      <w:r w:rsidRPr="0038454B">
        <w:rPr>
          <w:rFonts w:ascii="Bookman Old Style" w:hAnsi="Bookman Old Style"/>
          <w:sz w:val="24"/>
          <w:szCs w:val="24"/>
        </w:rPr>
        <w:t>.  Law No. 20 of 2001</w:t>
      </w:r>
      <w:r w:rsidR="003F6D81">
        <w:rPr>
          <w:rStyle w:val="FootnoteReference"/>
          <w:rFonts w:ascii="Bookman Old Style" w:hAnsi="Bookman Old Style"/>
          <w:sz w:val="24"/>
          <w:szCs w:val="24"/>
        </w:rPr>
        <w:footnoteReference w:id="19"/>
      </w:r>
      <w:r w:rsidRPr="0038454B">
        <w:rPr>
          <w:rFonts w:ascii="Bookman Old Style" w:hAnsi="Bookman Old Style"/>
          <w:sz w:val="24"/>
          <w:szCs w:val="24"/>
        </w:rPr>
        <w:t xml:space="preserve"> on the eradication of corruption (PTPK), which explicitly regulates substitute money instruments as a mechanism for recovering state losses.  Data from Indonesia Corruption Watch (ICW) shows that throughout 2023, prosecutors handled 1,649 corruption cases with a total demand for replacement money of IDR 82.6 </w:t>
      </w:r>
      <w:proofErr w:type="spellStart"/>
      <w:r w:rsidRPr="0038454B">
        <w:rPr>
          <w:rFonts w:ascii="Bookman Old Style" w:hAnsi="Bookman Old Style"/>
          <w:sz w:val="24"/>
          <w:szCs w:val="24"/>
        </w:rPr>
        <w:t>trillion</w:t>
      </w:r>
      <w:proofErr w:type="gramStart"/>
      <w:r w:rsidRPr="0038454B">
        <w:rPr>
          <w:rFonts w:ascii="Bookman Old Style" w:hAnsi="Bookman Old Style"/>
          <w:sz w:val="24"/>
          <w:szCs w:val="24"/>
        </w:rPr>
        <w:t>,or</w:t>
      </w:r>
      <w:proofErr w:type="spellEnd"/>
      <w:proofErr w:type="gramEnd"/>
      <w:r w:rsidRPr="0038454B">
        <w:rPr>
          <w:rFonts w:ascii="Bookman Old Style" w:hAnsi="Bookman Old Style"/>
          <w:sz w:val="24"/>
          <w:szCs w:val="24"/>
        </w:rPr>
        <w:t xml:space="preserve"> more than 99 percent of the total national replacement money demands. Although this figure seems large, the actual return realization is still far from the demand figure, indicating a gap between Das </w:t>
      </w:r>
      <w:proofErr w:type="spellStart"/>
      <w:r w:rsidRPr="0038454B">
        <w:rPr>
          <w:rFonts w:ascii="Bookman Old Style" w:hAnsi="Bookman Old Style"/>
          <w:sz w:val="24"/>
          <w:szCs w:val="24"/>
        </w:rPr>
        <w:t>sollen</w:t>
      </w:r>
      <w:proofErr w:type="spellEnd"/>
      <w:r w:rsidRPr="0038454B">
        <w:rPr>
          <w:rFonts w:ascii="Bookman Old Style" w:hAnsi="Bookman Old Style"/>
          <w:sz w:val="24"/>
          <w:szCs w:val="24"/>
        </w:rPr>
        <w:t xml:space="preserve"> and das </w:t>
      </w:r>
      <w:proofErr w:type="spellStart"/>
      <w:r w:rsidRPr="0038454B">
        <w:rPr>
          <w:rFonts w:ascii="Bookman Old Style" w:hAnsi="Bookman Old Style"/>
          <w:sz w:val="24"/>
          <w:szCs w:val="24"/>
        </w:rPr>
        <w:t>sein</w:t>
      </w:r>
      <w:proofErr w:type="spellEnd"/>
      <w:r w:rsidRPr="0038454B">
        <w:rPr>
          <w:rFonts w:ascii="Bookman Old Style" w:hAnsi="Bookman Old Style"/>
          <w:sz w:val="24"/>
          <w:szCs w:val="24"/>
        </w:rPr>
        <w:t xml:space="preserve"> in the implementation of the criminal mechanism.</w:t>
      </w:r>
      <w:r w:rsidR="003F6D81">
        <w:rPr>
          <w:rStyle w:val="FootnoteReference"/>
          <w:rFonts w:ascii="Bookman Old Style" w:hAnsi="Bookman Old Style"/>
          <w:sz w:val="24"/>
          <w:szCs w:val="24"/>
        </w:rPr>
        <w:footnoteReference w:id="20"/>
      </w:r>
      <w:r w:rsidRPr="0038454B">
        <w:rPr>
          <w:rFonts w:ascii="Bookman Old Style" w:hAnsi="Bookman Old Style"/>
          <w:sz w:val="24"/>
          <w:szCs w:val="24"/>
        </w:rPr>
        <w:t xml:space="preserve"> </w:t>
      </w:r>
    </w:p>
    <w:p w:rsidR="0038454B" w:rsidRDefault="0038454B" w:rsidP="0038454B">
      <w:pPr>
        <w:spacing w:after="0"/>
        <w:ind w:firstLine="720"/>
        <w:jc w:val="both"/>
        <w:rPr>
          <w:rFonts w:ascii="Bookman Old Style" w:hAnsi="Bookman Old Style"/>
          <w:sz w:val="24"/>
          <w:szCs w:val="24"/>
        </w:rPr>
      </w:pPr>
      <w:r w:rsidRPr="0038454B">
        <w:rPr>
          <w:rFonts w:ascii="Bookman Old Style" w:hAnsi="Bookman Old Style"/>
          <w:sz w:val="24"/>
          <w:szCs w:val="24"/>
        </w:rPr>
        <w:t xml:space="preserve">Meanwhile, the civil route opens space for the State Attorney General (JPN) to file a lawsuit against the defendant or related parties for assets </w:t>
      </w:r>
      <w:r w:rsidRPr="0038454B">
        <w:rPr>
          <w:rFonts w:ascii="Bookman Old Style" w:hAnsi="Bookman Old Style"/>
          <w:sz w:val="24"/>
          <w:szCs w:val="24"/>
        </w:rPr>
        <w:lastRenderedPageBreak/>
        <w:t xml:space="preserve">acquired unlawfully, as stipulated in Article 32 of Law Number 31 of 1999 </w:t>
      </w:r>
      <w:proofErr w:type="spellStart"/>
      <w:proofErr w:type="gramStart"/>
      <w:r w:rsidRPr="0038454B">
        <w:rPr>
          <w:rFonts w:ascii="Bookman Old Style" w:hAnsi="Bookman Old Style"/>
          <w:sz w:val="24"/>
          <w:szCs w:val="24"/>
        </w:rPr>
        <w:t>jo</w:t>
      </w:r>
      <w:proofErr w:type="spellEnd"/>
      <w:proofErr w:type="gramEnd"/>
      <w:r w:rsidRPr="0038454B">
        <w:rPr>
          <w:rFonts w:ascii="Bookman Old Style" w:hAnsi="Bookman Old Style"/>
          <w:sz w:val="24"/>
          <w:szCs w:val="24"/>
        </w:rPr>
        <w:t>. Law No. 20 of 2001 on PTPK.</w:t>
      </w:r>
      <w:r w:rsidR="003F6D81">
        <w:rPr>
          <w:rStyle w:val="FootnoteReference"/>
          <w:rFonts w:ascii="Bookman Old Style" w:hAnsi="Bookman Old Style"/>
          <w:sz w:val="24"/>
          <w:szCs w:val="24"/>
        </w:rPr>
        <w:footnoteReference w:id="21"/>
      </w:r>
      <w:r w:rsidRPr="0038454B">
        <w:rPr>
          <w:rFonts w:ascii="Bookman Old Style" w:hAnsi="Bookman Old Style"/>
          <w:sz w:val="24"/>
          <w:szCs w:val="24"/>
        </w:rPr>
        <w:t xml:space="preserve"> This mechanism becomes relevant especially when the criminal route is not able to cover all losses incurred, for example when assets have been transferred to third parties or have passed the time limit for the execution of a criminal decision. The NRD carries out its duties based on Attorney General Regulation Number 7 of 2021 with a scope that includes law enforcement, legal assistance, legal considerations, other legal actions, and legal services. However, in practice, civil lawsuits filed by the NRD often face obstacles in the form of legal resistance from the defendant, as seen in the case of the seizure of PT </w:t>
      </w:r>
      <w:proofErr w:type="spellStart"/>
      <w:r w:rsidRPr="0038454B">
        <w:rPr>
          <w:rFonts w:ascii="Bookman Old Style" w:hAnsi="Bookman Old Style"/>
          <w:sz w:val="24"/>
          <w:szCs w:val="24"/>
        </w:rPr>
        <w:t>Fikasa</w:t>
      </w:r>
      <w:proofErr w:type="spellEnd"/>
      <w:r w:rsidRPr="0038454B">
        <w:rPr>
          <w:rFonts w:ascii="Bookman Old Style" w:hAnsi="Bookman Old Style"/>
          <w:sz w:val="24"/>
          <w:szCs w:val="24"/>
        </w:rPr>
        <w:t xml:space="preserve"> Group's assets by the </w:t>
      </w:r>
      <w:proofErr w:type="spellStart"/>
      <w:r w:rsidRPr="0038454B">
        <w:rPr>
          <w:rFonts w:ascii="Bookman Old Style" w:hAnsi="Bookman Old Style"/>
          <w:sz w:val="24"/>
          <w:szCs w:val="24"/>
        </w:rPr>
        <w:t>Pekanbaru</w:t>
      </w:r>
      <w:proofErr w:type="spellEnd"/>
      <w:r w:rsidRPr="0038454B">
        <w:rPr>
          <w:rFonts w:ascii="Bookman Old Style" w:hAnsi="Bookman Old Style"/>
          <w:sz w:val="24"/>
          <w:szCs w:val="24"/>
        </w:rPr>
        <w:t xml:space="preserve"> State Prosecutor's Office, which set an important precedent in strengthening the role of the NRD in the field of state asset recovery.</w:t>
      </w:r>
      <w:r w:rsidR="003F6D81">
        <w:rPr>
          <w:rStyle w:val="FootnoteReference"/>
          <w:rFonts w:ascii="Bookman Old Style" w:hAnsi="Bookman Old Style"/>
          <w:sz w:val="24"/>
          <w:szCs w:val="24"/>
        </w:rPr>
        <w:footnoteReference w:id="22"/>
      </w:r>
    </w:p>
    <w:p w:rsidR="00106720" w:rsidRPr="00523487" w:rsidRDefault="00106720" w:rsidP="00106720">
      <w:pPr>
        <w:pStyle w:val="ListParagraph"/>
        <w:numPr>
          <w:ilvl w:val="0"/>
          <w:numId w:val="29"/>
        </w:numPr>
        <w:spacing w:after="0"/>
        <w:jc w:val="both"/>
        <w:rPr>
          <w:rStyle w:val="ypks7kbdpwfgdykd3qb9"/>
          <w:rFonts w:ascii="Bookman Old Style" w:hAnsi="Bookman Old Style"/>
          <w:b/>
          <w:sz w:val="24"/>
          <w:szCs w:val="24"/>
          <w:lang w:val="id-ID"/>
        </w:rPr>
      </w:pPr>
      <w:r w:rsidRPr="00106720">
        <w:rPr>
          <w:rStyle w:val="ypks7kbdpwfgdykd3qb9"/>
          <w:rFonts w:ascii="Bookman Old Style" w:hAnsi="Bookman Old Style"/>
          <w:b/>
          <w:sz w:val="24"/>
          <w:szCs w:val="24"/>
        </w:rPr>
        <w:t>Restorative Justice approach in the termination of the investigation and the efficiency of handling cases</w:t>
      </w:r>
    </w:p>
    <w:p w:rsidR="00106720" w:rsidRPr="00106720" w:rsidRDefault="00106720" w:rsidP="00106720">
      <w:pPr>
        <w:spacing w:after="0"/>
        <w:ind w:firstLine="720"/>
        <w:jc w:val="both"/>
        <w:rPr>
          <w:rFonts w:ascii="Bookman Old Style" w:hAnsi="Bookman Old Style"/>
          <w:sz w:val="24"/>
          <w:szCs w:val="24"/>
        </w:rPr>
      </w:pPr>
      <w:r w:rsidRPr="00106720">
        <w:rPr>
          <w:rFonts w:ascii="Bookman Old Style" w:hAnsi="Bookman Old Style"/>
          <w:sz w:val="24"/>
          <w:szCs w:val="24"/>
        </w:rPr>
        <w:t>In an effort to improve the efficiency of handling corruption cases, the prosecutor's Office has adopted a restorative justice approach as an alternative solution, especially for cases with relatively small state losses. This policy is based on the circular clock-</w:t>
      </w:r>
      <w:proofErr w:type="spellStart"/>
      <w:r w:rsidRPr="00106720">
        <w:rPr>
          <w:rFonts w:ascii="Bookman Old Style" w:hAnsi="Bookman Old Style"/>
          <w:sz w:val="24"/>
          <w:szCs w:val="24"/>
        </w:rPr>
        <w:t>Pidsus</w:t>
      </w:r>
      <w:proofErr w:type="spellEnd"/>
      <w:r w:rsidRPr="00106720">
        <w:rPr>
          <w:rFonts w:ascii="Bookman Old Style" w:hAnsi="Bookman Old Style"/>
          <w:sz w:val="24"/>
          <w:szCs w:val="24"/>
        </w:rPr>
        <w:t xml:space="preserve"> number B-1113/F/Fd.1/05/2010, which regulates the priority of handling corruption cases and encourages the use of restorative justice approach for cases with small-scale losses. Theoretically, this approach is in line with the principle of Economic Analysis of Law (EAL), which assesses the effectiveness of a legal policy based on a comparison between the cost of handling and the benefits obtained.</w:t>
      </w:r>
      <w:r w:rsidR="003F6D81">
        <w:rPr>
          <w:rStyle w:val="FootnoteReference"/>
          <w:rFonts w:ascii="Bookman Old Style" w:hAnsi="Bookman Old Style"/>
          <w:sz w:val="24"/>
          <w:szCs w:val="24"/>
        </w:rPr>
        <w:footnoteReference w:id="23"/>
      </w:r>
      <w:r w:rsidRPr="00106720">
        <w:rPr>
          <w:rFonts w:ascii="Bookman Old Style" w:hAnsi="Bookman Old Style"/>
          <w:sz w:val="24"/>
          <w:szCs w:val="24"/>
        </w:rPr>
        <w:t xml:space="preserve"> The cost of handling corruption cases is large, if it is not proportional to the value of State losses recovered, then it is economically counterproductive for the country's own finances.  The termination of an investigation with the condition of the return of State losses can be an effective instrument if it is carried out transparently, accountable, and under close supervision.</w:t>
      </w:r>
    </w:p>
    <w:p w:rsidR="00106720" w:rsidRDefault="00106720" w:rsidP="00106720">
      <w:pPr>
        <w:spacing w:after="0"/>
        <w:ind w:firstLine="720"/>
        <w:jc w:val="both"/>
        <w:rPr>
          <w:rFonts w:ascii="Bookman Old Style" w:hAnsi="Bookman Old Style"/>
          <w:sz w:val="24"/>
          <w:szCs w:val="24"/>
        </w:rPr>
      </w:pPr>
      <w:r w:rsidRPr="00106720">
        <w:rPr>
          <w:rFonts w:ascii="Bookman Old Style" w:hAnsi="Bookman Old Style"/>
          <w:sz w:val="24"/>
          <w:szCs w:val="24"/>
        </w:rPr>
        <w:t xml:space="preserve">The implementation of the restorative justice approach by the prosecutor's office in practice can only be carried out at the investigation level and requires cooperation with the government's internal control apparatus (APIP) and BPK to verify the value of the losses returned. This </w:t>
      </w:r>
      <w:r w:rsidRPr="00106720">
        <w:rPr>
          <w:rFonts w:ascii="Bookman Old Style" w:hAnsi="Bookman Old Style"/>
          <w:sz w:val="24"/>
          <w:szCs w:val="24"/>
        </w:rPr>
        <w:lastRenderedPageBreak/>
        <w:t xml:space="preserve">provision shows that the </w:t>
      </w:r>
      <w:r>
        <w:rPr>
          <w:rFonts w:ascii="Bookman Old Style" w:hAnsi="Bookman Old Style"/>
          <w:sz w:val="24"/>
          <w:szCs w:val="24"/>
        </w:rPr>
        <w:t>BPK</w:t>
      </w:r>
      <w:r w:rsidRPr="00106720">
        <w:rPr>
          <w:rFonts w:ascii="Bookman Old Style" w:hAnsi="Bookman Old Style"/>
          <w:sz w:val="24"/>
          <w:szCs w:val="24"/>
        </w:rPr>
        <w:t xml:space="preserve"> has an integral role even in the scheme of resolving cases outside the formal channels of the court. However, its implementation still faces challenges in the form of a lack of uniform operational standards in each Prosecutor's work unit, so that its application is inconsistent. This study also shows that the success of returning state losses through the restorative justice approach depends on the quality of interagency coordination, especially between the prosecutor's Office, BPK, and APIP, as well as on the integrity of the implem</w:t>
      </w:r>
      <w:r w:rsidR="003F6D81">
        <w:rPr>
          <w:rFonts w:ascii="Bookman Old Style" w:hAnsi="Bookman Old Style"/>
          <w:sz w:val="24"/>
          <w:szCs w:val="24"/>
        </w:rPr>
        <w:t xml:space="preserve">enting apparatus in the field. </w:t>
      </w:r>
      <w:r w:rsidRPr="00106720">
        <w:rPr>
          <w:rFonts w:ascii="Bookman Old Style" w:hAnsi="Bookman Old Style"/>
          <w:sz w:val="24"/>
          <w:szCs w:val="24"/>
        </w:rPr>
        <w:t>Regulatory reform that regulates this coordination mechanism is an urgent need so that the restorative justice approach is not abused as a loophole for the release of corruption perpetrators.</w:t>
      </w:r>
      <w:r w:rsidR="003F6D81">
        <w:rPr>
          <w:rStyle w:val="FootnoteReference"/>
          <w:rFonts w:ascii="Bookman Old Style" w:hAnsi="Bookman Old Style"/>
          <w:sz w:val="24"/>
          <w:szCs w:val="24"/>
        </w:rPr>
        <w:footnoteReference w:id="24"/>
      </w:r>
    </w:p>
    <w:p w:rsidR="00106720" w:rsidRPr="00523487" w:rsidRDefault="00106720" w:rsidP="00106720">
      <w:pPr>
        <w:pStyle w:val="ListParagraph"/>
        <w:numPr>
          <w:ilvl w:val="0"/>
          <w:numId w:val="29"/>
        </w:numPr>
        <w:spacing w:after="0"/>
        <w:jc w:val="both"/>
        <w:rPr>
          <w:rStyle w:val="ypks7kbdpwfgdykd3qb9"/>
          <w:rFonts w:ascii="Bookman Old Style" w:hAnsi="Bookman Old Style"/>
          <w:b/>
          <w:sz w:val="24"/>
          <w:szCs w:val="24"/>
          <w:lang w:val="id-ID"/>
        </w:rPr>
      </w:pPr>
      <w:r w:rsidRPr="00106720">
        <w:rPr>
          <w:rStyle w:val="ypks7kbdpwfgdykd3qb9"/>
          <w:rFonts w:ascii="Bookman Old Style" w:hAnsi="Bookman Old Style"/>
          <w:b/>
          <w:sz w:val="24"/>
          <w:szCs w:val="24"/>
        </w:rPr>
        <w:t>Asset seizure and institutional strengthening in the recovery of State losses</w:t>
      </w:r>
    </w:p>
    <w:p w:rsidR="00106720" w:rsidRPr="00106720" w:rsidRDefault="00106720" w:rsidP="00106720">
      <w:pPr>
        <w:spacing w:after="0"/>
        <w:ind w:firstLine="720"/>
        <w:jc w:val="both"/>
        <w:rPr>
          <w:rFonts w:ascii="Bookman Old Style" w:hAnsi="Bookman Old Style"/>
          <w:sz w:val="24"/>
          <w:szCs w:val="24"/>
        </w:rPr>
      </w:pPr>
      <w:r w:rsidRPr="00106720">
        <w:rPr>
          <w:rFonts w:ascii="Bookman Old Style" w:hAnsi="Bookman Old Style"/>
          <w:sz w:val="24"/>
          <w:szCs w:val="24"/>
        </w:rPr>
        <w:t xml:space="preserve">Asset forfeiture is a legal instrument that is substantively most effective in recovering state financial losses due to corruption. Normatively, the asset seizure mechanism is regulated in various regulations, including Law No. 31 of 1999 </w:t>
      </w:r>
      <w:proofErr w:type="spellStart"/>
      <w:proofErr w:type="gramStart"/>
      <w:r w:rsidRPr="00106720">
        <w:rPr>
          <w:rFonts w:ascii="Bookman Old Style" w:hAnsi="Bookman Old Style"/>
          <w:sz w:val="24"/>
          <w:szCs w:val="24"/>
        </w:rPr>
        <w:t>jo</w:t>
      </w:r>
      <w:proofErr w:type="spellEnd"/>
      <w:proofErr w:type="gramEnd"/>
      <w:r w:rsidRPr="00106720">
        <w:rPr>
          <w:rFonts w:ascii="Bookman Old Style" w:hAnsi="Bookman Old Style"/>
          <w:sz w:val="24"/>
          <w:szCs w:val="24"/>
        </w:rPr>
        <w:t xml:space="preserve">. Law No. 20 of 2001 on PTPK, although the regulation is considered not sufficiently explicit and comprehensive. The absence of a special law on asset forfeiture in Indonesia is a normative loophole that is often used by corruption perpetrators to hide or transfer criminal assets before the legal process is complete. The presence of the prosecutor's Asset Recovery </w:t>
      </w:r>
      <w:proofErr w:type="spellStart"/>
      <w:r w:rsidRPr="00106720">
        <w:rPr>
          <w:rFonts w:ascii="Bookman Old Style" w:hAnsi="Bookman Old Style"/>
          <w:sz w:val="24"/>
          <w:szCs w:val="24"/>
        </w:rPr>
        <w:t>Center</w:t>
      </w:r>
      <w:proofErr w:type="spellEnd"/>
      <w:r w:rsidRPr="00106720">
        <w:rPr>
          <w:rFonts w:ascii="Bookman Old Style" w:hAnsi="Bookman Old Style"/>
          <w:sz w:val="24"/>
          <w:szCs w:val="24"/>
        </w:rPr>
        <w:t xml:space="preserve"> (PPA) as the central unit in asset recovery management is a positive institutional step, because it provides a more integrated organizational structure in coordinating each stage of recovery, ranging from tracing, securing, to managing seized assets.</w:t>
      </w:r>
      <w:r w:rsidR="003F6D81">
        <w:rPr>
          <w:rStyle w:val="FootnoteReference"/>
          <w:rFonts w:ascii="Bookman Old Style" w:hAnsi="Bookman Old Style"/>
          <w:sz w:val="24"/>
          <w:szCs w:val="24"/>
        </w:rPr>
        <w:footnoteReference w:id="25"/>
      </w:r>
      <w:r w:rsidRPr="00106720">
        <w:rPr>
          <w:rFonts w:ascii="Bookman Old Style" w:hAnsi="Bookman Old Style"/>
          <w:sz w:val="24"/>
          <w:szCs w:val="24"/>
        </w:rPr>
        <w:t xml:space="preserve"> </w:t>
      </w:r>
    </w:p>
    <w:p w:rsidR="00106720" w:rsidRDefault="00106720" w:rsidP="00106720">
      <w:pPr>
        <w:spacing w:after="0"/>
        <w:ind w:firstLine="720"/>
        <w:jc w:val="both"/>
        <w:rPr>
          <w:rFonts w:ascii="Bookman Old Style" w:hAnsi="Bookman Old Style"/>
          <w:sz w:val="24"/>
          <w:szCs w:val="24"/>
        </w:rPr>
      </w:pPr>
      <w:r w:rsidRPr="00106720">
        <w:rPr>
          <w:rFonts w:ascii="Bookman Old Style" w:hAnsi="Bookman Old Style"/>
          <w:sz w:val="24"/>
          <w:szCs w:val="24"/>
        </w:rPr>
        <w:t xml:space="preserve">Strengthening the prosecutor's institution through the establishment of the Asset Recovery Agency (BPA) based on Attorney General Regulation Number 3 of 2024 marks a new chapter in the history of state asset recovery in Indonesia. BPA is mandated to conduct tracing, forfeiture, and restitution of Criminal Assets in a more systematic and coordinated manner. However, the effectiveness of BPA is largely determined by its ability to build synergies with other institutions, including the BPK as the state auditor, The Corruption Eradication Commission (KPK), the </w:t>
      </w:r>
      <w:proofErr w:type="spellStart"/>
      <w:r w:rsidRPr="00106720">
        <w:rPr>
          <w:rFonts w:ascii="Bookman Old Style" w:hAnsi="Bookman Old Style"/>
          <w:sz w:val="24"/>
          <w:szCs w:val="24"/>
        </w:rPr>
        <w:t>Center</w:t>
      </w:r>
      <w:proofErr w:type="spellEnd"/>
      <w:r w:rsidRPr="00106720">
        <w:rPr>
          <w:rFonts w:ascii="Bookman Old Style" w:hAnsi="Bookman Old Style"/>
          <w:sz w:val="24"/>
          <w:szCs w:val="24"/>
        </w:rPr>
        <w:t xml:space="preserve"> for reporting and analysis of financial transactions (PPATK), and the judiciary. Without clear data integration and coordination protocols, the potential of BPA to optimize the recovery of state assets will remain limited. Therefore, derivative regulations are needed that specifically regulate the coordination </w:t>
      </w:r>
      <w:r w:rsidRPr="00106720">
        <w:rPr>
          <w:rFonts w:ascii="Bookman Old Style" w:hAnsi="Bookman Old Style"/>
          <w:sz w:val="24"/>
          <w:szCs w:val="24"/>
        </w:rPr>
        <w:lastRenderedPageBreak/>
        <w:t>mechanism between these institutions so that the return of State losses can be carried out optimally, measurably, and fairly.</w:t>
      </w:r>
      <w:r w:rsidR="003F6D81">
        <w:rPr>
          <w:rStyle w:val="FootnoteReference"/>
          <w:rFonts w:ascii="Bookman Old Style" w:hAnsi="Bookman Old Style"/>
          <w:sz w:val="24"/>
          <w:szCs w:val="24"/>
        </w:rPr>
        <w:footnoteReference w:id="26"/>
      </w:r>
    </w:p>
    <w:p w:rsidR="009B4958" w:rsidRPr="009B4958" w:rsidRDefault="009B4958" w:rsidP="009B4958">
      <w:pPr>
        <w:spacing w:after="0"/>
        <w:ind w:firstLine="720"/>
        <w:jc w:val="both"/>
        <w:rPr>
          <w:rFonts w:ascii="Bookman Old Style" w:hAnsi="Bookman Old Style"/>
          <w:b/>
          <w:sz w:val="24"/>
          <w:szCs w:val="24"/>
          <w:lang w:val="id-ID"/>
        </w:rPr>
      </w:pPr>
    </w:p>
    <w:p w:rsidR="00660DDB" w:rsidRPr="00C03F5D" w:rsidRDefault="00C03F5D" w:rsidP="00C03F5D">
      <w:pPr>
        <w:spacing w:after="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523487" w:rsidRPr="009B4958" w:rsidRDefault="00106720" w:rsidP="00383DBC">
      <w:pPr>
        <w:spacing w:after="0"/>
        <w:ind w:firstLine="720"/>
        <w:jc w:val="both"/>
        <w:rPr>
          <w:rFonts w:ascii="Bookman Old Style" w:hAnsi="Bookman Old Style"/>
          <w:sz w:val="24"/>
          <w:szCs w:val="24"/>
        </w:rPr>
      </w:pPr>
      <w:r w:rsidRPr="00106720">
        <w:rPr>
          <w:rFonts w:ascii="Bookman Old Style" w:hAnsi="Bookman Old Style"/>
          <w:sz w:val="24"/>
          <w:szCs w:val="24"/>
        </w:rPr>
        <w:t xml:space="preserve">The relationship of authority between the prosecutor's office and the BPK in the return of State losses is complementary but has not been optimally coordinated. The </w:t>
      </w:r>
      <w:proofErr w:type="spellStart"/>
      <w:r w:rsidRPr="00106720">
        <w:rPr>
          <w:rFonts w:ascii="Bookman Old Style" w:hAnsi="Bookman Old Style"/>
          <w:sz w:val="24"/>
          <w:szCs w:val="24"/>
        </w:rPr>
        <w:t>dominus</w:t>
      </w:r>
      <w:proofErr w:type="spellEnd"/>
      <w:r w:rsidRPr="00106720">
        <w:rPr>
          <w:rFonts w:ascii="Bookman Old Style" w:hAnsi="Bookman Old Style"/>
          <w:sz w:val="24"/>
          <w:szCs w:val="24"/>
        </w:rPr>
        <w:t xml:space="preserve"> </w:t>
      </w:r>
      <w:proofErr w:type="spellStart"/>
      <w:r w:rsidRPr="00106720">
        <w:rPr>
          <w:rFonts w:ascii="Bookman Old Style" w:hAnsi="Bookman Old Style"/>
          <w:sz w:val="24"/>
          <w:szCs w:val="24"/>
        </w:rPr>
        <w:t>litis</w:t>
      </w:r>
      <w:proofErr w:type="spellEnd"/>
      <w:r w:rsidRPr="00106720">
        <w:rPr>
          <w:rFonts w:ascii="Bookman Old Style" w:hAnsi="Bookman Old Style"/>
          <w:sz w:val="24"/>
          <w:szCs w:val="24"/>
        </w:rPr>
        <w:t xml:space="preserve"> principle gives prosecutorial authority to the prosecutor's office, but its implementation is still hampered by limited Interagency Coordination, normative gaps in the regulation of asset seizure, as well as inconsistencies in the application of restorative justice approaches. The establishment of the Asset Recovery Agency is a progressive step, but requires strengthening coordination regulations with the BPK so that the recovery of State losses can be effective, transparent, and fair. It is necessary to establish a special regulation that regulates the formal and standardized coordination mechanism between the prosecutor's office and the BPK in every stage of handling corruption cases, from investigation to decision execution. In addition, strengthening the capacity of the State Attorney General through Asset recovery Technical Training and the development of an integrated data system between law enforcement agencies is an urgent need. Legal reform within the framework of the draft Criminal Procedure Code also needs to accommodate the strengthening of </w:t>
      </w:r>
      <w:proofErr w:type="spellStart"/>
      <w:r w:rsidRPr="00106720">
        <w:rPr>
          <w:rFonts w:ascii="Bookman Old Style" w:hAnsi="Bookman Old Style"/>
          <w:sz w:val="24"/>
          <w:szCs w:val="24"/>
        </w:rPr>
        <w:t>dominus</w:t>
      </w:r>
      <w:proofErr w:type="spellEnd"/>
      <w:r w:rsidRPr="00106720">
        <w:rPr>
          <w:rFonts w:ascii="Bookman Old Style" w:hAnsi="Bookman Old Style"/>
          <w:sz w:val="24"/>
          <w:szCs w:val="24"/>
        </w:rPr>
        <w:t xml:space="preserve"> </w:t>
      </w:r>
      <w:proofErr w:type="spellStart"/>
      <w:r w:rsidRPr="00106720">
        <w:rPr>
          <w:rFonts w:ascii="Bookman Old Style" w:hAnsi="Bookman Old Style"/>
          <w:sz w:val="24"/>
          <w:szCs w:val="24"/>
        </w:rPr>
        <w:t>litis</w:t>
      </w:r>
      <w:proofErr w:type="spellEnd"/>
      <w:r w:rsidRPr="00106720">
        <w:rPr>
          <w:rFonts w:ascii="Bookman Old Style" w:hAnsi="Bookman Old Style"/>
          <w:sz w:val="24"/>
          <w:szCs w:val="24"/>
        </w:rPr>
        <w:t xml:space="preserve"> principles more explicitly in order to increase the effectiveness of overall corruption law enforcement.</w:t>
      </w:r>
    </w:p>
    <w:p w:rsidR="00190782" w:rsidRDefault="00190782" w:rsidP="0044368D">
      <w:pPr>
        <w:spacing w:after="0" w:line="240" w:lineRule="auto"/>
        <w:jc w:val="center"/>
        <w:rPr>
          <w:rFonts w:ascii="Bookman Old Style" w:hAnsi="Bookman Old Style"/>
          <w:b/>
        </w:rPr>
      </w:pPr>
    </w:p>
    <w:p w:rsidR="00297F82" w:rsidRPr="004711F8" w:rsidRDefault="00061CBD" w:rsidP="004711F8">
      <w:pPr>
        <w:spacing w:after="0" w:line="240" w:lineRule="auto"/>
        <w:rPr>
          <w:rFonts w:ascii="Bookman Old Style" w:hAnsi="Bookman Old Style"/>
          <w:b/>
        </w:rPr>
      </w:pPr>
      <w:r>
        <w:rPr>
          <w:rFonts w:ascii="Bookman Old Style" w:hAnsi="Bookman Old Style"/>
          <w:b/>
        </w:rPr>
        <w:t>REFERENCE</w:t>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{"citationItems":[{"id":"ITEM-1","itemData":{"author":[{"dropping-particle":"","family":"Sofian","given":"Ahmad","non-dropping-particle":"","parse-names":false,"suffix":""}],"container-title":"PAMPAS: Journal of Criminal Law","id":"ITEM-1","issue":"2","issued":{"date-parts":[["2025"]]},"page":"183-217","title":"Penguatan Kapasitas Jaksa Melalui Koordinasi dalam Proses Penyidikan dan Penuntutan dalam RUU KUHAP: Studi Perbandingan AS, Belanda dan Indonesia","type":"article-journal","volume":"6"},"uris":["http://www.mendeley.com/documents/?uuid=9cba2d2c-c934-4731-8125-35341da7526c"]}],"mendeley":{"formattedCitation":"Ahmad Sofian, “Penguatan Kapasitas Jaksa Melalui Koordinasi dalam Proses Penyidikan dan Penuntutan dalam RUU KUHAP: Studi Perbandingan AS, Belanda dan Indonesia,” &lt;i&gt;PAMPAS: Journal of Criminal Law&lt;/i&gt; 6, no. 2 (2025): 183–217, https://online-journal.unja.ac.id/Pampas/article/view/42540.","plainTextFormattedCitation":"Ahmad Sofian, “Penguatan Kapasitas Jaksa Melalui Koordinasi dalam Proses Penyidikan dan Penuntutan dalam RUU KUHAP: Studi Perbandingan AS, Belanda dan Indonesia,” PAMPAS: Journal of Criminal Law 6, no. 2 (2025): 183–217, https://online-journal.unja.ac.id/Pampas/article/view/42540.","previouslyFormattedCitation":"(Sofian, 2025)"},"properties":{"noteIndex":15},"schema":"https://github.com/citation-style-language/schema/raw/master/csl-citation.json"}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 xml:space="preserve">Ahmad Sofian, “Penguatan Kapasitas Jaksa Melalui Koordinasi dalam Proses Penyidikan dan Penuntutan dalam RUU KUHAP: Studi Perbandingan AS, Belanda dan Indonesia,” </w:t>
      </w:r>
      <w:r w:rsidRPr="00DB7B3A">
        <w:rPr>
          <w:rFonts w:ascii="Bookman Old Style" w:hAnsi="Bookman Old Style"/>
          <w:i/>
          <w:noProof/>
          <w:sz w:val="24"/>
          <w:szCs w:val="24"/>
        </w:rPr>
        <w:t>PAMPAS: Journal of Criminal Law</w:t>
      </w:r>
      <w:r w:rsidRPr="00DB7B3A">
        <w:rPr>
          <w:rFonts w:ascii="Bookman Old Style" w:hAnsi="Bookman Old Style"/>
          <w:noProof/>
          <w:sz w:val="24"/>
          <w:szCs w:val="24"/>
        </w:rPr>
        <w:t xml:space="preserve"> 6, no. 2 (2025): 183–217, https://online-journal.unja.ac.id/Pampas/article/view/42540.</w:t>
      </w:r>
      <w:r w:rsidRPr="00DB7B3A">
        <w:rPr>
          <w:rFonts w:ascii="Bookman Old Style" w:hAnsi="Bookman Old Style"/>
          <w:sz w:val="24"/>
          <w:szCs w:val="24"/>
        </w:rPr>
        <w:fldChar w:fldCharType="end"/>
      </w:r>
      <w:r>
        <w:rPr>
          <w:rFonts w:ascii="Bookman Old Style" w:hAnsi="Bookman Old Style"/>
          <w:sz w:val="24"/>
          <w:szCs w:val="24"/>
        </w:rPr>
        <w:t xml:space="preserve"> </w:t>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author":[{"dropping-particle":"","family":"Aulia","given":"","non-dropping-particle":"","parse-names":false,"suffix":""},{"dropping-particle":"","family":"Nur","given":"Muhammad","non-dropping-particle":"","parse-names":false,"suffix":""},{"dropping-particle":"","family":"Sulaiman","given":"","non-dropping-particle":"","parse-names":false,"suffix":""}],"container-title":"Jurnal Suloh: Fakultas Hukum Universitas Malikussaleh","id":"ITEM-1","issue":"1","issued":{"date-parts":[["2025"]]},"page":"41-66","title":"Termination Of Investigation Of Corruption Offences By The Prosecutor's Office Against The Return Of State Financial Losses","type":"article-journal","volume":"13"},"uris":["http://www.mendeley.com/documents/?uuid=a9b3e52f-b330-4f50-9268-57bcfdfb04a6"]}],"mendeley":{"formattedCitation":"Aulia, Muhammad Nur, dan Sulaiman, “Termination Of Investigation Of Corruption Offences By The Prosecutor’s Office Against The Return Of State Financial Losses,” &lt;i&gt;Jurnal Suloh: Fakultas Hukum Universitas Malikussaleh&lt;/i&gt; 13, no. 1 (2025): 41–66, https://doi.org/10.29103/sjp.v13i1.19122.","plainTextFormattedCitation":"Aulia, Muhammad Nur, dan Sulaiman, “Termination Of Investigation Of Corruption Offences By The Prosecutor’s Office Against The Return Of State Financial Losses,” Jurnal Suloh: Fakultas Hukum Universitas Malikussaleh 13, no. 1 (2025): 41–66, https://doi.org/10.29103/sjp.v13i1.19122.","previouslyFormattedCitation":"(Aulia dkk., 2025)"},"properties":{"noteIndex":6},"schema":"https://github.com/citation-style-language/schema/raw/master/csl-citation.json"}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 xml:space="preserve">Aulia, Muhammad Nur, dan Sulaiman, “Termination Of Investigation Of Corruption Offences By The Prosecutor’s Office Against The Return Of State Financial Losses,” </w:t>
      </w:r>
      <w:r w:rsidRPr="00DB7B3A">
        <w:rPr>
          <w:rFonts w:ascii="Bookman Old Style" w:hAnsi="Bookman Old Style"/>
          <w:i/>
          <w:noProof/>
          <w:sz w:val="24"/>
          <w:szCs w:val="24"/>
        </w:rPr>
        <w:t>Jurnal Suloh: Fakultas Hukum Universitas Malikussaleh</w:t>
      </w:r>
      <w:r w:rsidRPr="00DB7B3A">
        <w:rPr>
          <w:rFonts w:ascii="Bookman Old Style" w:hAnsi="Bookman Old Style"/>
          <w:noProof/>
          <w:sz w:val="24"/>
          <w:szCs w:val="24"/>
        </w:rPr>
        <w:t xml:space="preserve"> 13, no. 1 (2025): 41–66, https://doi.org/10.29103/sjp.v13i1.19122.</w:t>
      </w:r>
      <w:r w:rsidRPr="00DB7B3A">
        <w:rPr>
          <w:rFonts w:ascii="Bookman Old Style" w:hAnsi="Bookman Old Style"/>
          <w:sz w:val="24"/>
          <w:szCs w:val="24"/>
        </w:rPr>
        <w:fldChar w:fldCharType="end"/>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lastRenderedPageBreak/>
        <w:fldChar w:fldCharType="begin" w:fldLock="1"/>
      </w:r>
      <w:r w:rsidRPr="00DB7B3A">
        <w:rPr>
          <w:rFonts w:ascii="Bookman Old Style" w:hAnsi="Bookman Old Style"/>
          <w:sz w:val="24"/>
          <w:szCs w:val="24"/>
        </w:rPr>
        <w:instrText>ADDIN CSL_CITATION {"citationItems":[{"id":"ITEM-1","itemData":{"author":[{"dropping-particle":"","family":"Aulia","given":"","non-dropping-particle":"","parse-names":false,"suffix":""},{"dropping-particle":"","family":"Nur","given":"Muhammad","non-dropping-particle":"","parse-names":false,"suffix":""},{"dropping-particle":"","family":"Sulaiman","given":"","non-dropping-particle":"","parse-names":false,"suffix":""}],"container-title":"Jurnal Suloh: Fakultas Hukum Universitas Malikussaleh","id":"ITEM-1","issue":"1","issued":{"date-parts":[["2025"]]},"page":"41-66","title":"Termination Of Investigation Of Corruption Offences By The Prosecutor's Office Against The Return Of State Financial Losses","type":"article-journal","volume":"13"},"uris":["http://www.mendeley.com/documents/?uuid=a9b3e52f-b330-4f50-9268-57bcfdfb04a6"]}],"mendeley":{"formattedCitation":"Aulia, Nur, dan Sulaiman, “Termination Of Investigation Of Corruption Offences By The Prosecutor’s Office Against The Return Of State Financial Losses.”","plainTextFormattedCitation":"Aulia, Nur, dan Sulaiman, “Termination Of Investigation Of Corruption Offences By The Prosecutor’s Office Against The Return Of State Financial Losses.”","previouslyFormattedCitation":"(Aulia dkk., 2025)"},"properties":{"noteIndex":20},"schema":"https://github.com/citation-style-language/schema/raw/master/csl-citation.json"}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Aulia, Nur, dan Sulaiman, “Termination Of Investigation Of Corruption Offences By The Prosecutor’s Office Against The Return Of State Financial Losses.”</w:t>
      </w:r>
      <w:r w:rsidRPr="00DB7B3A">
        <w:rPr>
          <w:rFonts w:ascii="Bookman Old Style" w:hAnsi="Bookman Old Style"/>
          <w:sz w:val="24"/>
          <w:szCs w:val="24"/>
        </w:rPr>
        <w:fldChar w:fldCharType="end"/>
      </w:r>
    </w:p>
    <w:p w:rsidR="00DB7B3A" w:rsidRP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{"citationItems":[{"id":"ITEM-1","itemData":{"author":[{"dropping-particle":"","family":"Erlangga","given":"Puteri Kencana Surya","non-dropping-particle":"","parse-names":false,"suffix":""},{"dropping-particle":"","family":"Mulyono","given":"","non-dropping-particle":"","parse-names":false,"suffix":""},{"dropping-particle":"","family":"Fauziah","given":"","non-dropping-particle":"","parse-names":false,"suffix":""}],"container-title":"Jurisdictie","id":"ITEM-1","issue":"2","issued":{"date-parts":[["2023"]]},"page":"137-156","title":"Efektifitas Peran Kejaksaan Dalam Pengembalian Kerugian Keuangan Negara Dalam Perkara Korupsi Melalui Pelaksanaan Putusan Pengadilan","type":"article-journal","volume":"5"},"uris":["http://www.mendeley.com/documents/?uuid=90f105c5-8ca0-4341-82c6-1092013c7d00"]}],"mendeley":{"formattedCitation":"Erlangga, Mulyono, dan Fauziah, “Efektifitas Peran Kejaksaan Dalam Pengembalian Kerugian Keuangan Negara Dalam Perkara Korupsi Melalui Pelaksanaan Putusan Pengadilan.”","plainTextFormattedCitation":"Erlangga, Mulyono, dan Fauziah, “Efektifitas Peran Kejaksaan Dalam Pengembalian Kerugian Keuangan Negara Dalam Perkara Korupsi Melalui Pelaksanaan Putusan Pengadilan.”","previouslyFormattedCitation":"(Erlangga dkk., 2023)"},"properties":{"noteIndex":23},"schema":"https://github.com/citation-style-language/schema/raw/master/csl-citation.json"}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Erlangga, Mulyono, dan Fauziah, “Efektifitas Peran Kejaksaan Dalam Pengembalian Kerugian Keuangan Negara Dalam Perkara Korupsi Melalui Pelaksanaan Putusan Pengadilan.”</w:t>
      </w:r>
      <w:r w:rsidRPr="00DB7B3A">
        <w:rPr>
          <w:rFonts w:ascii="Bookman Old Style" w:hAnsi="Bookman Old Style"/>
          <w:sz w:val="24"/>
          <w:szCs w:val="24"/>
        </w:rPr>
        <w:fldChar w:fldCharType="end"/>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{"citationItems":[{"id":"ITEM-1","itemData":{"DOI":"10.56370/jhlg.v3i7.279","abstract":"Kerugian keuangan negara merupakan bentuk tindak pidana korupsi yang telah ditetapkan dalam peraturan perundang-undangan. Wujud pengembalian kerugian tersebut dilakukan dengan mekanisme perampasan aset. Namun, hal tersebut tidak diatur secara eksplisit dalam KUHP, UU No. 31 Tahun 1999 jo. UU No. 20 Tahun 2001 tentang Pemberantasan Tindak Pidana Korupsi, UU No. 17 Tahun 2003 tentang Keuangan Negara maupun dalam UU No. 1 Tahun 2004 tentang Perbendaharaan Negara. Hadirnya Pusat Pemulihan Aset (PPA) kejaksaan sebagai sentral pemulihan aset berperan melaksanakan kegiatan pemulihan aset, melakukan pendampingan, serta mengoordinasikan dan memastikan setiap tahap pemulihan aset dapat terintegrasi dengan mewujudkan pemerintahan yang baik.","author":[{"dropping-particle":"","family":"Kurniawan","given":"Fajri","non-dropping-particle":"","parse-names":false,"suffix":""},{"dropping-particle":"","family":"Alghazali","given":"Muhammad Syammakh Daffa","non-dropping-particle":"","parse-names":false,"suffix":""},{"dropping-particle":"","family":"Fadhila","given":"Afdhal","non-dropping-particle":"","parse-names":false,"suffix":""}],"container-title":"Jurnal Hukum Lex Generalis","id":"ITEM-1","issue":"7","issued":{"date-parts":[["2022"]]},"page":"565-588","title":"Determinasi Upaya Pemulihan Kerugian Keuangan Negara Melalui Peran Kejaksaan terhadap Perampasan Aset Tindak Pidana Korupsi","type":"article-journal","volume":"3"},"uris":["http://www.mendeley.com/documents/?uuid=31ef9b73-339d-4b6c-9e04-562d9d0f554a"]}],"mendeley":{"formattedCitation":"Fajri Kurniawan, Muhammad Syammakh Daffa Alghazali, dan Afdhal Fadhila, “Determinasi Upaya Pemulihan Kerugian Keuangan Negara Melalui Peran Kejaksaan terhadap Perampasan Aset Tindak Pidana Korupsi,” &lt;i&gt;Jurnal Hukum Lex Generalis&lt;/i&gt; 3, no. 7 (2022): 565–88, https://doi.org/10.56370/jhlg.v3i7.279.","plainTextFormattedCitation":"Fajri Kurniawan, Muhammad Syammakh Daffa Alghazali, dan Afdhal Fadhila, “Determinasi Upaya Pemulihan Kerugian Keuangan Negara Melalui Peran Kejaksaan terhadap Perampasan Aset Tindak Pidana Korupsi,” Jurnal Hukum Lex Generalis 3, no. 7 (2022): 565–88, https://doi.org/10.56370/jhlg.v3i7.279.","previouslyFormattedCitation":"(Kurniawan dkk., 2022)"},"properties":{"noteIndex":22},"schema":"https://github.com/citation-style-language/schema/raw/master/csl-citation.json"}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 xml:space="preserve">Fajri Kurniawan, Muhammad Syammakh Daffa Alghazali, dan Afdhal Fadhila, “Determinasi Upaya Pemulihan Kerugian Keuangan Negara Melalui Peran Kejaksaan terhadap Perampasan Aset Tindak Pidana Korupsi,” </w:t>
      </w:r>
      <w:r w:rsidRPr="00DB7B3A">
        <w:rPr>
          <w:rFonts w:ascii="Bookman Old Style" w:hAnsi="Bookman Old Style"/>
          <w:i/>
          <w:noProof/>
          <w:sz w:val="24"/>
          <w:szCs w:val="24"/>
        </w:rPr>
        <w:t>Jurnal Hukum Lex Generalis</w:t>
      </w:r>
      <w:r w:rsidRPr="00DB7B3A">
        <w:rPr>
          <w:rFonts w:ascii="Bookman Old Style" w:hAnsi="Bookman Old Style"/>
          <w:noProof/>
          <w:sz w:val="24"/>
          <w:szCs w:val="24"/>
        </w:rPr>
        <w:t xml:space="preserve"> 3, no. 7 (2022): 565–88, https://doi.org/10.56370/jhlg.v3i7.279.</w:t>
      </w:r>
      <w:r w:rsidRPr="00DB7B3A">
        <w:rPr>
          <w:rFonts w:ascii="Bookman Old Style" w:hAnsi="Bookman Old Style"/>
          <w:sz w:val="24"/>
          <w:szCs w:val="24"/>
        </w:rPr>
        <w:fldChar w:fldCharType="end"/>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{"citationItems":[{"id":"ITEM-1","itemData":{"abstract":"The dominus litis principle is a principle that gives authority to the public prosecutor to control criminal cases. This principle confirms that no other body has the right to carry out prosecutions other than the public prosecutor. In the legal system in Indonesia, the principle of dominus litis is confirmed in Article 1 number 25 of Law Number 16 of 2004 concerning the Prosecutor's of the Republic of Indonesia. This article states that a public prosecutor is an official who is authorized by law to act as a public prosecutor in criminal cases, especially corruption cases. Then, legal problems that arise in the field still include the practice of bribery with the aim of mitigating or even acquitting through P3 letters, fatwa issuance scandals, and exceptions to indictments to reduce sentences, so enforcement and supervision are needed to overcome this. The research uses a Normative Juridical research method and uses a Statute Approach and a Case Approach, where this research focuses on legal principles, statutory regulations, legal rules and cases related to this research. With the existence of the dominus litis principle, it is hoped that the criminal law enforcement process in Indonesia can run more effectively and efficiently. Discussion regarding law enforcement and the role of the prosecutor's commission is an urgency considering that prosecutors as pioneers are expected to be in line with practice in the field, so that in the future the prosecutor's office as the holder of the Dominus Litis principle does not happen again which makes a prosecutor get involved in handling a corruption case.","author":[{"dropping-particle":"","family":"Kalalo","given":"Gabriel","non-dropping-particle":"","parse-names":false,"suffix":""},{"dropping-particle":"","family":"Tjoneng","given":"Arman","non-dropping-particle":"","parse-names":false,"suffix":""}],"container-title":"Unes Law Review","id":"ITEM-1","issue":"4","issued":{"date-parts":[["2024"]]},"page":"9935","title":"Peran Komisi Kejaksaan Dalam Mengawasi Kinerja Kejaksaan Sebagai Pelaksana Asas Dominus Litis Dalam Penyelesaian Perkara Korupsi","type":"article-journal","volume":"6"},"uris":["http://www.mendeley.com/documents/?uuid=4f280b26-1df0-44f6-80ca-8fbe8bbf83fd"]}],"mendeley":{"formattedCitation":"Gabriel Kalalo dan Arman Tjoneng, “Peran Komisi Kejaksaan Dalam Mengawasi Kinerja Kejaksaan Sebagai Pelaksana Asas Dominus Litis Dalam Penyelesaian Perkara Korupsi,” &lt;i&gt;Unes Law Review&lt;/i&gt; 6, no. 4 (2024): 9935, https://review-unes.com/https://creativecommons.org/licenses/by/4.0/.","plainTextFormattedCitation":"Gabriel Kalalo dan Arman Tjoneng, “Peran Komisi Kejaksaan Dalam Mengawasi Kinerja Kejaksaan Sebagai Pelaksana Asas Dominus Litis Dalam Penyelesaian Perkara Korupsi,” Unes Law Review 6, no. 4 (2024): 9935, https://review-unes.com/https://creativecommons.org/licenses/by/4.0/.","previouslyFormattedCitation":"(Kalalo &amp; Tjoneng, 2024)"},"properties":{"noteIndex":2},"schema":"https://github.com/citation-style-language/schema/raw/master/csl-citation.json"}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 xml:space="preserve">Gabriel Kalalo dan Arman Tjoneng, “Peran Komisi Kejaksaan Dalam Mengawasi Kinerja Kejaksaan Sebagai Pelaksana Asas Dominus Litis Dalam Penyelesaian Perkara Korupsi,” </w:t>
      </w:r>
      <w:r w:rsidRPr="00DB7B3A">
        <w:rPr>
          <w:rFonts w:ascii="Bookman Old Style" w:hAnsi="Bookman Old Style"/>
          <w:i/>
          <w:noProof/>
          <w:sz w:val="24"/>
          <w:szCs w:val="24"/>
        </w:rPr>
        <w:t>Unes Law Review</w:t>
      </w:r>
      <w:r w:rsidRPr="00DB7B3A">
        <w:rPr>
          <w:rFonts w:ascii="Bookman Old Style" w:hAnsi="Bookman Old Style"/>
          <w:noProof/>
          <w:sz w:val="24"/>
          <w:szCs w:val="24"/>
        </w:rPr>
        <w:t xml:space="preserve"> 6, no. 4 (2024): 9935, https://review-unes.com/https://creativecommons.org/licenses/by/4.0/.</w:t>
      </w:r>
      <w:r w:rsidRPr="00DB7B3A">
        <w:rPr>
          <w:rFonts w:ascii="Bookman Old Style" w:hAnsi="Bookman Old Style"/>
          <w:sz w:val="24"/>
          <w:szCs w:val="24"/>
        </w:rPr>
        <w:fldChar w:fldCharType="end"/>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{"citationItems":[{"id":"ITEM-1","itemData":{"abstract":"This study aims to determine the effect of business capital assistance and entrepreneurship training in increasing the growth of MSMEs. In this study, the author uses research with a quantitative approach and survey methods. A total of 96 MSME entrepreneurs were used as respondents and selected purposively. Data were analyzed using multiple linear regression. The results of the study show the following: First, Business capital and training have a significant effect on increasing MSME businesses together. Second, Business capital has a significant effect on increasing MSME development partially. Third, Training has a significant effect on increasing MSME development partially. ABSTRAK","author":[{"dropping-particle":"","family":"Rasyda","given":"Helmy Febrianto","non-dropping-particle":"","parse-names":false,"suffix":""},{"dropping-particle":"","family":"Chandra","given":"Tofik Yanuar","non-dropping-particle":"","parse-names":false,"suffix":""},{"dropping-particle":"","family":"Ismed","given":"Mohamad","non-dropping-particle":"","parse-names":false,"suffix":""}],"container-title":"Jurnal Penelitian dan Pengkajian Ilmiah","id":"ITEM-1","issue":"8","issued":{"date-parts":[["2025"]]},"page":"305-316","title":"Kewenangan Jaksa Penuntut Umum dalam Penyelesaian Pengembalian Kerugian Keuangan Negara pada Perkara Tindak Pidana Korupsi","type":"article-journal","volume":"2"},"uris":["http://www.mendeley.com/documents/?uuid=fb723106-f85f-46cc-b05b-1ebd529d41ee"]}],"mendeley":{"formattedCitation":"Helmy Febrianto Rasyda, Tofik Yanuar Chandra, dan Mohamad Ismed, “Kewenangan Jaksa Penuntut Umum dalam Penyelesaian Pengembalian Kerugian Keuangan Negara pada Perkara Tindak Pidana Korupsi,” &lt;i&gt;Jurnal Penelitian dan Pengkajian Ilmiah&lt;/i&gt; 2, no. 8 (2025): 305–16, https://doi.org/10.62335/cendekia.v3i2.2417.","plainTextFormattedCitation":"Helmy Febrianto Rasyda, Tofik Yanuar Chandra, dan Mohamad Ismed, “Kewenangan Jaksa Penuntut Umum dalam Penyelesaian Pengembalian Kerugian Keuangan Negara pada Perkara Tindak Pidana Korupsi,” Jurnal Penelitian dan Pengkajian Ilmiah 2, no. 8 (2025): 305–16, https://doi.org/10.62335/cendekia.v3i2.2417.","previouslyFormattedCitation":"(Rasyda dkk., 2025)"},"properties":{"noteIndex":18},"schema":"https://github.com/citation-style-language/schema/raw/master/csl-citation.json"}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 xml:space="preserve">Helmy Febrianto Rasyda, Tofik Yanuar Chandra, dan Mohamad Ismed, “Kewenangan Jaksa Penuntut Umum dalam Penyelesaian Pengembalian Kerugian Keuangan Negara pada Perkara Tindak Pidana Korupsi,” </w:t>
      </w:r>
      <w:r w:rsidRPr="00DB7B3A">
        <w:rPr>
          <w:rFonts w:ascii="Bookman Old Style" w:hAnsi="Bookman Old Style"/>
          <w:i/>
          <w:noProof/>
          <w:sz w:val="24"/>
          <w:szCs w:val="24"/>
        </w:rPr>
        <w:t>Jurnal Penelitian dan Pengkajian Ilmiah</w:t>
      </w:r>
      <w:r w:rsidRPr="00DB7B3A">
        <w:rPr>
          <w:rFonts w:ascii="Bookman Old Style" w:hAnsi="Bookman Old Style"/>
          <w:noProof/>
          <w:sz w:val="24"/>
          <w:szCs w:val="24"/>
        </w:rPr>
        <w:t xml:space="preserve"> 2, no. 8 (2025): 305–16, https://doi.org/10.62335/cendekia.v3i2.2417.</w:t>
      </w:r>
      <w:r w:rsidRPr="00DB7B3A">
        <w:rPr>
          <w:rFonts w:ascii="Bookman Old Style" w:hAnsi="Bookman Old Style"/>
          <w:sz w:val="24"/>
          <w:szCs w:val="24"/>
        </w:rPr>
        <w:fldChar w:fldCharType="end"/>
      </w:r>
      <w:r>
        <w:rPr>
          <w:rFonts w:ascii="Bookman Old Style" w:hAnsi="Bookman Old Style"/>
          <w:sz w:val="24"/>
          <w:szCs w:val="24"/>
        </w:rPr>
        <w:t xml:space="preserve"> </w:t>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{"citationItems":[{"id":"ITEM-1","itemData":{"abstract":"The dominus litis principle is a principle that gives authority to the public prosecutor to control criminal cases. This principle confirms that no other body has the right to carry out prosecutions other than the public prosecutor. In the legal system in Indonesia, the principle of dominus litis is confirmed in Article 1 number 25 of Law Number 16 of 2004 concerning the Prosecutor's of the Republic of Indonesia. This article states that a public prosecutor is an official who is authorized by law to act as a public prosecutor in criminal cases, especially corruption cases. Then, legal problems that arise in the field still include the practice of bribery with the aim of mitigating or even acquitting through P3 letters, fatwa issuance scandals, and exceptions to indictments to reduce sentences, so enforcement and supervision are needed to overcome this. The research uses a Normative Juridical research method and uses a Statute Approach and a Case Approach, where this research focuses on legal principles, statutory regulations, legal rules and cases related to this research. With the existence of the dominus litis principle, it is hoped that the criminal law enforcement process in Indonesia can run more effectively and efficiently. Discussion regarding law enforcement and the role of the prosecutor's commission is an urgency considering that prosecutors as pioneers are expected to be in line with practice in the field, so that in the future the prosecutor's office as the holder of the Dominus Litis principle does not happen again which makes a prosecutor get involved in handling a corruption case.","author":[{"dropping-particle":"","family":"Kalalo","given":"Gabriel","non-dropping-particle":"","parse-names":false,"suffix":""},{"dropping-particle":"","family":"Tjoneng","given":"Arman","non-dropping-particle":"","parse-names":false,"suffix":""}],"container-title":"Unes Law Review","id":"ITEM-1","issue":"4","issued":{"date-parts":[["2024"]]},"page":"9935","title":"Peran Komisi Kejaksaan Dalam Mengawasi Kinerja Kejaksaan Sebagai Pelaksana Asas Dominus Litis Dalam Penyelesaian Perkara Korupsi","type":"article-journal","volume":"6"},"uris":["http://www.mendeley.com/documents/?uuid=4f280b26-1df0-44f6-80ca-8fbe8bbf83fd"]}],"mendeley":{"formattedCitation":"Kalalo dan Tjoneng, “Peran Komisi Kejaksaan Dalam Mengawasi Kinerja Kejaksaan Sebagai Pelaksana Asas Dominus Litis Dalam Penyelesaian Perkara Korupsi.”","plainTextFormattedCitation":"Kalalo dan Tjoneng, “Peran Komisi Kejaksaan Dalam Mengawasi Kinerja Kejaksaan Sebagai Pelaksana Asas Dominus Litis Dalam Penyelesaian Perkara Korupsi.”","previouslyFormattedCitation":"(Kalalo &amp; Tjoneng, 2024)"},"properties":{"noteIndex":14},"schema":"https://github.com/citation-style-language/schema/raw/master/csl-citation.json"}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Kalalo dan Tjoneng, “Peran Komisi Kejaksaan Dalam Mengawasi Kinerja Kejaksaan Sebagai Pelaksana Asas Dominus Litis Dalam Penyelesaian Perkara Korupsi.”</w:t>
      </w:r>
      <w:r w:rsidRPr="00DB7B3A">
        <w:rPr>
          <w:rFonts w:ascii="Bookman Old Style" w:hAnsi="Bookman Old Style"/>
          <w:sz w:val="24"/>
          <w:szCs w:val="24"/>
        </w:rPr>
        <w:fldChar w:fldCharType="end"/>
      </w:r>
      <w:r w:rsidRPr="00DB7B3A">
        <w:rPr>
          <w:rFonts w:ascii="Bookman Old Style" w:hAnsi="Bookman Old Style"/>
          <w:sz w:val="24"/>
          <w:szCs w:val="24"/>
        </w:rPr>
        <w:t xml:space="preserve"> </w:t>
      </w:r>
      <w:proofErr w:type="spellStart"/>
      <w:r w:rsidRPr="00DB7B3A">
        <w:rPr>
          <w:rFonts w:ascii="Bookman Old Style" w:hAnsi="Bookman Old Style"/>
          <w:sz w:val="24"/>
          <w:szCs w:val="24"/>
        </w:rPr>
        <w:t>Lihat</w:t>
      </w:r>
      <w:proofErr w:type="spellEnd"/>
      <w:r w:rsidRPr="00DB7B3A">
        <w:rPr>
          <w:rFonts w:ascii="Bookman Old Style" w:hAnsi="Bookman Old Style"/>
          <w:sz w:val="24"/>
          <w:szCs w:val="24"/>
        </w:rPr>
        <w:t xml:space="preserve"> </w:t>
      </w:r>
      <w:proofErr w:type="spellStart"/>
      <w:r w:rsidRPr="00DB7B3A">
        <w:rPr>
          <w:rFonts w:ascii="Bookman Old Style" w:hAnsi="Bookman Old Style"/>
          <w:sz w:val="24"/>
          <w:szCs w:val="24"/>
        </w:rPr>
        <w:t>juga</w:t>
      </w:r>
      <w:proofErr w:type="spellEnd"/>
      <w:r w:rsidRPr="00DB7B3A">
        <w:rPr>
          <w:rFonts w:ascii="Bookman Old Style" w:hAnsi="Bookman Old Style"/>
          <w:sz w:val="24"/>
          <w:szCs w:val="24"/>
        </w:rPr>
        <w:t xml:space="preserve"> </w:t>
      </w:r>
      <w:proofErr w:type="spellStart"/>
      <w:r w:rsidRPr="00DB7B3A">
        <w:rPr>
          <w:rFonts w:ascii="Bookman Old Style" w:hAnsi="Bookman Old Style"/>
          <w:sz w:val="24"/>
          <w:szCs w:val="24"/>
        </w:rPr>
        <w:t>Sitompul</w:t>
      </w:r>
      <w:proofErr w:type="spellEnd"/>
      <w:r w:rsidRPr="00DB7B3A">
        <w:rPr>
          <w:rFonts w:ascii="Bookman Old Style" w:hAnsi="Bookman Old Style"/>
          <w:sz w:val="24"/>
          <w:szCs w:val="24"/>
        </w:rPr>
        <w:t xml:space="preserve">, A. (2024). The Role Of The State In Conducting Civil Suits In The Results Of Corruption Controlled By The Heirs Of The Perpetrators Of Corruption. </w:t>
      </w:r>
      <w:r w:rsidRPr="00DB7B3A">
        <w:rPr>
          <w:rFonts w:ascii="Bookman Old Style" w:hAnsi="Bookman Old Style"/>
          <w:i/>
          <w:iCs/>
          <w:sz w:val="24"/>
          <w:szCs w:val="24"/>
        </w:rPr>
        <w:t xml:space="preserve">Pena </w:t>
      </w:r>
      <w:proofErr w:type="spellStart"/>
      <w:r w:rsidRPr="00DB7B3A">
        <w:rPr>
          <w:rFonts w:ascii="Bookman Old Style" w:hAnsi="Bookman Old Style"/>
          <w:i/>
          <w:iCs/>
          <w:sz w:val="24"/>
          <w:szCs w:val="24"/>
        </w:rPr>
        <w:t>Justisia</w:t>
      </w:r>
      <w:proofErr w:type="spellEnd"/>
      <w:r w:rsidRPr="00DB7B3A">
        <w:rPr>
          <w:rFonts w:ascii="Bookman Old Style" w:hAnsi="Bookman Old Style"/>
          <w:i/>
          <w:iCs/>
          <w:sz w:val="24"/>
          <w:szCs w:val="24"/>
        </w:rPr>
        <w:t xml:space="preserve">: Media </w:t>
      </w:r>
      <w:proofErr w:type="spellStart"/>
      <w:r w:rsidRPr="00DB7B3A">
        <w:rPr>
          <w:rFonts w:ascii="Bookman Old Style" w:hAnsi="Bookman Old Style"/>
          <w:i/>
          <w:iCs/>
          <w:sz w:val="24"/>
          <w:szCs w:val="24"/>
        </w:rPr>
        <w:t>Komunikasi</w:t>
      </w:r>
      <w:proofErr w:type="spellEnd"/>
      <w:r w:rsidRPr="00DB7B3A">
        <w:rPr>
          <w:rFonts w:ascii="Bookman Old Style" w:hAnsi="Bookman Old Style"/>
          <w:i/>
          <w:iCs/>
          <w:sz w:val="24"/>
          <w:szCs w:val="24"/>
        </w:rPr>
        <w:t xml:space="preserve"> </w:t>
      </w:r>
      <w:proofErr w:type="spellStart"/>
      <w:r w:rsidRPr="00DB7B3A">
        <w:rPr>
          <w:rFonts w:ascii="Bookman Old Style" w:hAnsi="Bookman Old Style"/>
          <w:i/>
          <w:iCs/>
          <w:sz w:val="24"/>
          <w:szCs w:val="24"/>
        </w:rPr>
        <w:t>dan</w:t>
      </w:r>
      <w:proofErr w:type="spellEnd"/>
      <w:r w:rsidRPr="00DB7B3A">
        <w:rPr>
          <w:rFonts w:ascii="Bookman Old Style" w:hAnsi="Bookman Old Style"/>
          <w:i/>
          <w:iCs/>
          <w:sz w:val="24"/>
          <w:szCs w:val="24"/>
        </w:rPr>
        <w:t xml:space="preserve"> </w:t>
      </w:r>
      <w:proofErr w:type="spellStart"/>
      <w:r w:rsidRPr="00DB7B3A">
        <w:rPr>
          <w:rFonts w:ascii="Bookman Old Style" w:hAnsi="Bookman Old Style"/>
          <w:i/>
          <w:iCs/>
          <w:sz w:val="24"/>
          <w:szCs w:val="24"/>
        </w:rPr>
        <w:t>Kajian</w:t>
      </w:r>
      <w:proofErr w:type="spellEnd"/>
      <w:r w:rsidRPr="00DB7B3A">
        <w:rPr>
          <w:rFonts w:ascii="Bookman Old Style" w:hAnsi="Bookman Old Style"/>
          <w:i/>
          <w:iCs/>
          <w:sz w:val="24"/>
          <w:szCs w:val="24"/>
        </w:rPr>
        <w:t xml:space="preserve"> </w:t>
      </w:r>
      <w:proofErr w:type="spellStart"/>
      <w:r w:rsidRPr="00DB7B3A">
        <w:rPr>
          <w:rFonts w:ascii="Bookman Old Style" w:hAnsi="Bookman Old Style"/>
          <w:i/>
          <w:iCs/>
          <w:sz w:val="24"/>
          <w:szCs w:val="24"/>
        </w:rPr>
        <w:t>Hukum</w:t>
      </w:r>
      <w:proofErr w:type="spellEnd"/>
      <w:r w:rsidRPr="00DB7B3A">
        <w:rPr>
          <w:rFonts w:ascii="Bookman Old Style" w:hAnsi="Bookman Old Style"/>
          <w:sz w:val="24"/>
          <w:szCs w:val="24"/>
        </w:rPr>
        <w:t xml:space="preserve">, </w:t>
      </w:r>
      <w:r w:rsidRPr="00DB7B3A">
        <w:rPr>
          <w:rFonts w:ascii="Bookman Old Style" w:hAnsi="Bookman Old Style"/>
          <w:i/>
          <w:iCs/>
          <w:sz w:val="24"/>
          <w:szCs w:val="24"/>
        </w:rPr>
        <w:t>23</w:t>
      </w:r>
      <w:r w:rsidRPr="00DB7B3A">
        <w:rPr>
          <w:rFonts w:ascii="Bookman Old Style" w:hAnsi="Bookman Old Style"/>
          <w:sz w:val="24"/>
          <w:szCs w:val="24"/>
        </w:rPr>
        <w:t xml:space="preserve">(002), 1614-1623. </w:t>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{"citationItems":[{"id":"ITEM-1","itemData":{"ISBN":"9786027985162","author":[{"dropping-particle":"","family":"Marzuki","given":"Mahmud","non-dropping-particle":"","parse-names":false,"suffix":""}],"container-title":"Prenada Media","id":"ITEM-1","issued":{"date-parts":[["2021"]]},"page":"hal 270","publisher":"Prenada Media","title":"Penelitian Hukum: Edisi Revisi","type":"chapter"},"uris":["http://www.mendeley.com/documents/?uuid=6174d97f-0fbb-4cda-a1e0-e52856776bf9"]}],"mendeley":{"formattedCitation":"Mahmud Marzuki, “Penelitian Hukum: Edisi Revisi,” in &lt;i&gt;Prenada Media&lt;/i&gt; (Prenada Media, 2021), hal 270, https://books.google.co.id/books?id=CKZADwAAQBAJ.","plainTextFormattedCitation":"Mahmud Marzuki, “Penelitian Hukum: Edisi Revisi,” in Prenada Media (Prenada Media, 2021), hal 270, https://books.google.co.id/books?id=CKZADwAAQBAJ.","previouslyFormattedCitation":"(Marzuki, 2021)"},"properties":{"noteIndex":7},"schema":"https://github.com/citation-style-language/schema/raw/master/csl-citation.json"}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 xml:space="preserve">Mahmud Marzuki, “Penelitian Hukum: Edisi Revisi,” in </w:t>
      </w:r>
      <w:r w:rsidRPr="00DB7B3A">
        <w:rPr>
          <w:rFonts w:ascii="Bookman Old Style" w:hAnsi="Bookman Old Style"/>
          <w:i/>
          <w:noProof/>
          <w:sz w:val="24"/>
          <w:szCs w:val="24"/>
        </w:rPr>
        <w:t>Prenada Media</w:t>
      </w:r>
      <w:r w:rsidRPr="00DB7B3A">
        <w:rPr>
          <w:rFonts w:ascii="Bookman Old Style" w:hAnsi="Bookman Old Style"/>
          <w:noProof/>
          <w:sz w:val="24"/>
          <w:szCs w:val="24"/>
        </w:rPr>
        <w:t xml:space="preserve"> (Prenada Media, 2021), hal 270, https://books.google.co.id/books?id=CKZADwAAQBAJ.</w:t>
      </w:r>
      <w:r w:rsidRPr="00DB7B3A">
        <w:rPr>
          <w:rFonts w:ascii="Bookman Old Style" w:hAnsi="Bookman Old Style"/>
          <w:sz w:val="24"/>
          <w:szCs w:val="24"/>
        </w:rPr>
        <w:fldChar w:fldCharType="end"/>
      </w:r>
    </w:p>
    <w:p w:rsidR="00DB7B3A" w:rsidRDefault="00DB7B3A" w:rsidP="00DB7B3A">
      <w:pPr>
        <w:spacing w:before="240"/>
        <w:ind w:left="709" w:hanging="709"/>
        <w:jc w:val="both"/>
        <w:rPr>
          <w:rFonts w:ascii="Bookman Old Style" w:hAnsi="Bookman Old Style"/>
          <w:sz w:val="24"/>
          <w:szCs w:val="24"/>
        </w:rPr>
      </w:pPr>
      <w:proofErr w:type="spellStart"/>
      <w:r w:rsidRPr="00DB7B3A">
        <w:rPr>
          <w:rFonts w:ascii="Bookman Old Style" w:hAnsi="Bookman Old Style"/>
          <w:sz w:val="24"/>
          <w:szCs w:val="24"/>
        </w:rPr>
        <w:t>Maswandi</w:t>
      </w:r>
      <w:proofErr w:type="spellEnd"/>
      <w:r w:rsidRPr="00DB7B3A">
        <w:rPr>
          <w:rFonts w:ascii="Bookman Old Style" w:hAnsi="Bookman Old Style"/>
          <w:sz w:val="24"/>
          <w:szCs w:val="24"/>
        </w:rPr>
        <w:t xml:space="preserve">, A. S. (2024). </w:t>
      </w:r>
      <w:proofErr w:type="spellStart"/>
      <w:r w:rsidRPr="00DB7B3A">
        <w:rPr>
          <w:rFonts w:ascii="Bookman Old Style" w:hAnsi="Bookman Old Style"/>
          <w:i/>
          <w:iCs/>
          <w:sz w:val="24"/>
          <w:szCs w:val="24"/>
        </w:rPr>
        <w:t>Metode</w:t>
      </w:r>
      <w:proofErr w:type="spellEnd"/>
      <w:r w:rsidRPr="00DB7B3A">
        <w:rPr>
          <w:rFonts w:ascii="Bookman Old Style" w:hAnsi="Bookman Old Style"/>
          <w:i/>
          <w:iCs/>
          <w:sz w:val="24"/>
          <w:szCs w:val="24"/>
        </w:rPr>
        <w:t xml:space="preserve"> </w:t>
      </w:r>
      <w:proofErr w:type="spellStart"/>
      <w:r w:rsidRPr="00DB7B3A">
        <w:rPr>
          <w:rFonts w:ascii="Bookman Old Style" w:hAnsi="Bookman Old Style"/>
          <w:i/>
          <w:iCs/>
          <w:sz w:val="24"/>
          <w:szCs w:val="24"/>
        </w:rPr>
        <w:t>Penelitian</w:t>
      </w:r>
      <w:proofErr w:type="spellEnd"/>
      <w:r w:rsidRPr="00DB7B3A">
        <w:rPr>
          <w:rFonts w:ascii="Bookman Old Style" w:hAnsi="Bookman Old Style"/>
          <w:i/>
          <w:iCs/>
          <w:sz w:val="24"/>
          <w:szCs w:val="24"/>
        </w:rPr>
        <w:t xml:space="preserve"> </w:t>
      </w:r>
      <w:proofErr w:type="spellStart"/>
      <w:r w:rsidRPr="00DB7B3A">
        <w:rPr>
          <w:rFonts w:ascii="Bookman Old Style" w:hAnsi="Bookman Old Style"/>
          <w:i/>
          <w:iCs/>
          <w:sz w:val="24"/>
          <w:szCs w:val="24"/>
        </w:rPr>
        <w:t>Hukum</w:t>
      </w:r>
      <w:proofErr w:type="spellEnd"/>
      <w:r w:rsidRPr="00DB7B3A">
        <w:rPr>
          <w:rFonts w:ascii="Bookman Old Style" w:hAnsi="Bookman Old Style"/>
          <w:i/>
          <w:iCs/>
          <w:sz w:val="24"/>
          <w:szCs w:val="24"/>
        </w:rPr>
        <w:t xml:space="preserve"> </w:t>
      </w:r>
      <w:proofErr w:type="spellStart"/>
      <w:r w:rsidRPr="00DB7B3A">
        <w:rPr>
          <w:rFonts w:ascii="Bookman Old Style" w:hAnsi="Bookman Old Style"/>
          <w:i/>
          <w:iCs/>
          <w:sz w:val="24"/>
          <w:szCs w:val="24"/>
        </w:rPr>
        <w:t>Normatif</w:t>
      </w:r>
      <w:proofErr w:type="spellEnd"/>
      <w:r w:rsidRPr="00DB7B3A">
        <w:rPr>
          <w:rFonts w:ascii="Bookman Old Style" w:hAnsi="Bookman Old Style"/>
          <w:i/>
          <w:iCs/>
          <w:sz w:val="24"/>
          <w:szCs w:val="24"/>
        </w:rPr>
        <w:t xml:space="preserve"> (</w:t>
      </w:r>
      <w:proofErr w:type="spellStart"/>
      <w:r w:rsidRPr="00DB7B3A">
        <w:rPr>
          <w:rFonts w:ascii="Bookman Old Style" w:hAnsi="Bookman Old Style"/>
          <w:i/>
          <w:iCs/>
          <w:sz w:val="24"/>
          <w:szCs w:val="24"/>
        </w:rPr>
        <w:t>Mekanisme</w:t>
      </w:r>
      <w:proofErr w:type="spellEnd"/>
      <w:r w:rsidRPr="00DB7B3A">
        <w:rPr>
          <w:rFonts w:ascii="Bookman Old Style" w:hAnsi="Bookman Old Style"/>
          <w:i/>
          <w:iCs/>
          <w:sz w:val="24"/>
          <w:szCs w:val="24"/>
        </w:rPr>
        <w:t xml:space="preserve"> </w:t>
      </w:r>
      <w:proofErr w:type="spellStart"/>
      <w:r w:rsidRPr="00DB7B3A">
        <w:rPr>
          <w:rFonts w:ascii="Bookman Old Style" w:hAnsi="Bookman Old Style"/>
          <w:i/>
          <w:iCs/>
          <w:sz w:val="24"/>
          <w:szCs w:val="24"/>
        </w:rPr>
        <w:t>Dalam</w:t>
      </w:r>
      <w:proofErr w:type="spellEnd"/>
      <w:r w:rsidRPr="00DB7B3A">
        <w:rPr>
          <w:rFonts w:ascii="Bookman Old Style" w:hAnsi="Bookman Old Style"/>
          <w:i/>
          <w:iCs/>
          <w:sz w:val="24"/>
          <w:szCs w:val="24"/>
        </w:rPr>
        <w:t xml:space="preserve"> </w:t>
      </w:r>
      <w:proofErr w:type="spellStart"/>
      <w:r w:rsidRPr="00DB7B3A">
        <w:rPr>
          <w:rFonts w:ascii="Bookman Old Style" w:hAnsi="Bookman Old Style"/>
          <w:i/>
          <w:iCs/>
          <w:sz w:val="24"/>
          <w:szCs w:val="24"/>
        </w:rPr>
        <w:t>Penulisan</w:t>
      </w:r>
      <w:proofErr w:type="spellEnd"/>
      <w:r w:rsidRPr="00DB7B3A">
        <w:rPr>
          <w:rFonts w:ascii="Bookman Old Style" w:hAnsi="Bookman Old Style"/>
          <w:i/>
          <w:iCs/>
          <w:sz w:val="24"/>
          <w:szCs w:val="24"/>
        </w:rPr>
        <w:t xml:space="preserve"> </w:t>
      </w:r>
      <w:proofErr w:type="spellStart"/>
      <w:r w:rsidRPr="00DB7B3A">
        <w:rPr>
          <w:rFonts w:ascii="Bookman Old Style" w:hAnsi="Bookman Old Style"/>
          <w:i/>
          <w:iCs/>
          <w:sz w:val="24"/>
          <w:szCs w:val="24"/>
        </w:rPr>
        <w:t>Ilmiah</w:t>
      </w:r>
      <w:proofErr w:type="spellEnd"/>
      <w:r w:rsidRPr="00DB7B3A">
        <w:rPr>
          <w:rFonts w:ascii="Bookman Old Style" w:hAnsi="Bookman Old Style"/>
          <w:i/>
          <w:iCs/>
          <w:sz w:val="24"/>
          <w:szCs w:val="24"/>
        </w:rPr>
        <w:t>), Mazda Media, Malang</w:t>
      </w:r>
      <w:r w:rsidRPr="00DB7B3A">
        <w:rPr>
          <w:rFonts w:ascii="Bookman Old Style" w:hAnsi="Bookman Old Style"/>
          <w:sz w:val="24"/>
          <w:szCs w:val="24"/>
        </w:rPr>
        <w:t xml:space="preserve">. </w:t>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{"citationItems":[{"id":"ITEM-1","itemData":{"DOI":"10.31004/innovative.v5i4.20513","ISSN":"2807-4246","abstract":"Penegakan hukum pada hakikatnya tidak hanya berfokus pada pemberian sanksi terhadap pelaku kejahatan, tetapi juga bertujuan untuk mengembalikan kerugian yang diderita oleh negara atau korban secara materiil maupun immateriil. Seiring berkembangnya regulasi, Kejaksaan Republik Indonesia diberikan kewenangan lebih luas melalui pembentukan Badan Pemulihan Aset (BPA) berdasarkan Peraturan Jaksa Agung Nomor 3 Tahun 2024, yang memiliki tugas melakukan penelusuran, perampasan, dan pengembalian aset hasil tindak pidana. Namun, dalam praktiknya, proses pemulihan tersebut tidak jarang menghadapi gugatan perdata yang berpotensi menghambat upaya hukum, sebagaimana terjadi pada perkara penyitaan aset PT Fikasa Group oleh Kejaksaan Negeri Pekanbaru. Dalam konteks ini, keberadaan Jaksa Pengacara Negara (JPN) menjadi penting sebagai representasi negara dalam menyelesaikan persoalan keperdataan, baik secara litigasi maupun non-litigasi. JPN menjalankan tugas berdasarkan Peraturan Jaksa Agung Nomor 7 Tahun 2021, dengan ruang lingkup yang mencakup penegakan hukum, bantuan hukum, pertimbangan hukum, tindakan hukum lain, dan pelayanan hukum. Penelitian ini mengkaji bagaimana implementasi peran JPN dalam pemulihan kerugian negara dijalankan secara profesional, proporsional, dan akuntabel, sebagaimana dituntut oleh norma hukum dan etika penegakan hukum modern. Analisis dilakukan untuk menilai sejauh mana pelaksanaan tugas JPN sejalan dengan prinsip-prinsip tersebut serta tantangan yang dihadapi dalam praktik, khususnya pada ranah hukum perdata yang berkaitan dengan pemulihan aset negara. Penelitian ini diharapkan memberikan kontribusi bagi penguatan peran kejaksaan dalam menjaga keuangan negara secara lebih efektif dan berintegritas. Kata Kunci : Jaksa Pengacara Negara, Pemulihan Kerugian Negara, Badan Pemulihan Aset","author":[{"dropping-particle":"","family":"Pakaja","given":"Muhammad Hasan","non-dropping-particle":"","parse-names":false,"suffix":""},{"dropping-particle":"","family":"Mawuntu","given":"Ronald J.","non-dropping-particle":"","parse-names":false,"suffix":""},{"dropping-particle":"","family":"Waha","given":"Caecilia J. J.","non-dropping-particle":"","parse-names":false,"suffix":""}],"container-title":"Innovative: Journal Of Social Science Research","id":"ITEM-1","issue":"4","issued":{"date-parts":[["2025"]]},"page":"hlm. 3880-3895","title":"Implementasi Peran Jaksa Pengacara Negara Yang Profesional, Proporsional Dan Akuntabel Dalam Pemulihan Kerugian Negara","type":"article-journal","volume":"5"},"uris":["http://www.mendeley.com/documents/?uuid=d024166a-e972-4420-acf2-c51e035b9fa0"]}],"mendeley":{"formattedCitation":"Muhammad Hasan Pakaja, Ronald J. Mawuntu, dan Caecilia J. J. Waha, “Implementasi Peran Jaksa Pengacara Negara Yang Profesional, Proporsional Dan Akuntabel Dalam Pemulihan Kerugian Negara,” &lt;i&gt;Innovative: Journal Of Social Science Research&lt;/i&gt; 5, no. 4 (2025): hlm. 3880-3895, https://doi.org/10.31004/innovative.v5i4.20513.","plainTextFormattedCitation":"Muhammad Hasan Pakaja, Ronald J. Mawuntu, dan Caecilia J. J. Waha, “Implementasi Peran Jaksa Pengacara Negara Yang Profesional, Proporsional Dan Akuntabel Dalam Pemulihan Kerugian Negara,” Innovative: Journal Of Social Science Research 5, no. 4 (2025): hlm. 3880-3895, https://doi.org/10.31004/innovative.v5i4.20513.","previouslyFormattedCitation":"(Pakaja dkk., 2025)"},"properties":{"noteIndex":1},"schema":"https://github.com/citation-style-language/schema/raw/master/csl-citation.json"}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 xml:space="preserve">Muhammad Hasan Pakaja, Ronald J. Mawuntu, dan Caecilia J. J. Waha, “Implementasi Peran Jaksa Pengacara Negara Yang Profesional, Proporsional Dan Akuntabel Dalam Pemulihan Kerugian Negara,” </w:t>
      </w:r>
      <w:r w:rsidRPr="00DB7B3A">
        <w:rPr>
          <w:rFonts w:ascii="Bookman Old Style" w:hAnsi="Bookman Old Style"/>
          <w:i/>
          <w:noProof/>
          <w:sz w:val="24"/>
          <w:szCs w:val="24"/>
        </w:rPr>
        <w:t>Innovative: Journal Of Social Science Research</w:t>
      </w:r>
      <w:r w:rsidRPr="00DB7B3A">
        <w:rPr>
          <w:rFonts w:ascii="Bookman Old Style" w:hAnsi="Bookman Old Style"/>
          <w:noProof/>
          <w:sz w:val="24"/>
          <w:szCs w:val="24"/>
        </w:rPr>
        <w:t xml:space="preserve"> 5, no. 4 (2025): hlm. 3880-3895, https://doi.org/10.31004/innovative.v5i4.20513.</w:t>
      </w:r>
      <w:r w:rsidRPr="00DB7B3A">
        <w:rPr>
          <w:rFonts w:ascii="Bookman Old Style" w:hAnsi="Bookman Old Style"/>
          <w:sz w:val="24"/>
          <w:szCs w:val="24"/>
        </w:rPr>
        <w:fldChar w:fldCharType="end"/>
      </w:r>
      <w:r w:rsidRPr="00DB7B3A">
        <w:rPr>
          <w:rFonts w:ascii="Bookman Old Style" w:hAnsi="Bookman Old Style"/>
          <w:sz w:val="24"/>
          <w:szCs w:val="24"/>
        </w:rPr>
        <w:t xml:space="preserve"> </w:t>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lastRenderedPageBreak/>
        <w:fldChar w:fldCharType="begin" w:fldLock="1"/>
      </w:r>
      <w:r w:rsidRPr="00DB7B3A">
        <w:rPr>
          <w:rFonts w:ascii="Bookman Old Style" w:hAnsi="Bookman Old Style"/>
          <w:sz w:val="24"/>
          <w:szCs w:val="24"/>
        </w:rPr>
        <w:instrText>ADDIN CSL_CITATION {"citationItems":[{"id":"ITEM-1","itemData":{"DOI":"10.24235/mahkamah.v7i1.10413","ISSN":"1693-5063","abstract":"Salah satu cita-cita bangsa Indonesia adalah untuk menyelenggarakan pemerintahan secara benar (Good Governance) yang merefleksikan nilai-nilai demokrasi dan mengedepankan asas kepastian hukum. Terciptanya hukum yang baik dan terpadu tentu tidak akan dapat tercapai dengan begitu saja. Harus dibutuhkan suatu sistem hukum yang memang dapat menjawab dan menjadi alat untuk mencapai cita – cita bangsa tersebut. Didalam peradilan pidana sendiri, sudah dikenal dan mulai terlaksananya sebuah sistem yang dikenal dengan Sistem Peradilan Pidana Terpadu. Sebuah sistem dalam peradian pidana yang menjadi acuan demi terlaksananya suatu peradilan yang memang adil dan seperti yang diharapkan oleh masyarakat luas. Untuk sinkronisasi dalam sistem peradilan pidana sendiri, harus disinkronkan dengan 3 (tiga) sinkronisasi, yaitu sinkronisasi substansi, struktural, dan kultural. Didalam sistem peradilan pidana, ketiga pilar ini harus tetap seiring dan sinkron untuk dapat menjalankan sebuah sistem peradilan pidana yang benar – benar terpadu.","author":[{"dropping-particle":"","family":"Nursyamsudin","given":"Nursyamsudin","non-dropping-particle":"","parse-names":false,"suffix":""},{"dropping-particle":"","family":"Samud","given":"Samud","non-dropping-particle":"","parse-names":false,"suffix":""}],"container-title":"Mahkamah : Jurnal Kajian Hukum Islam","id":"ITEM-1","issue":"1","issued":{"date-parts":[["2022"]]},"page":"149","title":"Sistem Peradilan Pidana Terpadu (Integreted Criminal Justice System) Menurut Kuhap","type":"article-journal","volume":"7"},"uris":["http://www.mendeley.com/documents/?uuid=48dd0a94-2b17-4dcd-9bc3-bcfa490673a5"]}],"mendeley":{"formattedCitation":"Nursyamsudin Nursyamsudin dan Samud Samud, “Sistem Peradilan Pidana Terpadu (Integreted Criminal Justice System) Menurut Kuhap,” &lt;i&gt;Mahkamah</w:instrText>
      </w:r>
      <w:r w:rsidRPr="00DB7B3A">
        <w:rPr>
          <w:rFonts w:ascii="Times New Roman" w:hAnsi="Times New Roman"/>
          <w:sz w:val="24"/>
          <w:szCs w:val="24"/>
        </w:rPr>
        <w:instrText> </w:instrText>
      </w:r>
      <w:r w:rsidRPr="00DB7B3A">
        <w:rPr>
          <w:rFonts w:ascii="Bookman Old Style" w:hAnsi="Bookman Old Style"/>
          <w:sz w:val="24"/>
          <w:szCs w:val="24"/>
        </w:rPr>
        <w:instrText>: Jurnal Kajian Hukum Islam&lt;/i&gt; 7, no. 1 (2022): 149, https://doi.org/10.24235/mahkamah.v7i1.10413.","plainTextFormattedCitation":"Nursyamsudin Nursyamsudin dan Samud Samud, “Sistem Peradilan Pidana Terpadu (Integreted Criminal Justice System) Menurut Kuhap,” Mahkamah</w:instrText>
      </w:r>
      <w:r w:rsidRPr="00DB7B3A">
        <w:rPr>
          <w:rFonts w:ascii="Times New Roman" w:hAnsi="Times New Roman"/>
          <w:sz w:val="24"/>
          <w:szCs w:val="24"/>
        </w:rPr>
        <w:instrText> </w:instrText>
      </w:r>
      <w:r w:rsidRPr="00DB7B3A">
        <w:rPr>
          <w:rFonts w:ascii="Bookman Old Style" w:hAnsi="Bookman Old Style"/>
          <w:sz w:val="24"/>
          <w:szCs w:val="24"/>
        </w:rPr>
        <w:instrText>: Jurnal Kajian Hukum Islam 7, no. 1 (2022): 149, https://doi.org/10.24235/mahkamah.v7i1.10413.","previouslyFormattedCitation":"(Nursyamsudin &amp; Samud, 2022)"},"properties":{"noteIndex":3},"schema":"https://github.com/citation-style-language/schema/raw/master/csl-citation.json"}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 xml:space="preserve">Nursyamsudin Nursyamsudin dan Samud Samud, “Sistem Peradilan Pidana Terpadu (Integreted Criminal Justice System) Menurut Kuhap,” </w:t>
      </w:r>
      <w:r w:rsidRPr="00DB7B3A">
        <w:rPr>
          <w:rFonts w:ascii="Bookman Old Style" w:hAnsi="Bookman Old Style"/>
          <w:i/>
          <w:noProof/>
          <w:sz w:val="24"/>
          <w:szCs w:val="24"/>
        </w:rPr>
        <w:t>Mahkamah</w:t>
      </w:r>
      <w:r w:rsidRPr="00DB7B3A">
        <w:rPr>
          <w:rFonts w:ascii="Times New Roman" w:hAnsi="Times New Roman"/>
          <w:i/>
          <w:noProof/>
          <w:sz w:val="24"/>
          <w:szCs w:val="24"/>
        </w:rPr>
        <w:t> </w:t>
      </w:r>
      <w:r w:rsidRPr="00DB7B3A">
        <w:rPr>
          <w:rFonts w:ascii="Bookman Old Style" w:hAnsi="Bookman Old Style"/>
          <w:i/>
          <w:noProof/>
          <w:sz w:val="24"/>
          <w:szCs w:val="24"/>
        </w:rPr>
        <w:t>: Jurnal Kajian Hukum Islam</w:t>
      </w:r>
      <w:r w:rsidRPr="00DB7B3A">
        <w:rPr>
          <w:rFonts w:ascii="Bookman Old Style" w:hAnsi="Bookman Old Style"/>
          <w:noProof/>
          <w:sz w:val="24"/>
          <w:szCs w:val="24"/>
        </w:rPr>
        <w:t xml:space="preserve"> 7, no. 1 (2022): 149, https://doi.org/10.24235/mahkamah.v7i1.10413.</w:t>
      </w:r>
      <w:r w:rsidRPr="00DB7B3A">
        <w:rPr>
          <w:rFonts w:ascii="Bookman Old Style" w:hAnsi="Bookman Old Style"/>
          <w:sz w:val="24"/>
          <w:szCs w:val="24"/>
        </w:rPr>
        <w:fldChar w:fldCharType="end"/>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{"citationItems":[{"id":"ITEM-1","itemData":{"DOI":"10.31004/innovative.v5i4.20513","ISSN":"2807-4246","abstract":"Penegakan hukum pada hakikatnya tidak hanya berfokus pada pemberian sanksi terhadap pelaku kejahatan, tetapi juga bertujuan untuk mengembalikan kerugian yang diderita oleh negara atau korban secara materiil maupun immateriil. Seiring berkembangnya regulasi, Kejaksaan Republik Indonesia diberikan kewenangan lebih luas melalui pembentukan Badan Pemulihan Aset (BPA) berdasarkan Peraturan Jaksa Agung Nomor 3 Tahun 2024, yang memiliki tugas melakukan penelusuran, perampasan, dan pengembalian aset hasil tindak pidana. Namun, dalam praktiknya, proses pemulihan tersebut tidak jarang menghadapi gugatan perdata yang berpotensi menghambat upaya hukum, sebagaimana terjadi pada perkara penyitaan aset PT Fikasa Group oleh Kejaksaan Negeri Pekanbaru. Dalam konteks ini, keberadaan Jaksa Pengacara Negara (JPN) menjadi penting sebagai representasi negara dalam menyelesaikan persoalan keperdataan, baik secara litigasi maupun non-litigasi. JPN menjalankan tugas berdasarkan Peraturan Jaksa Agung Nomor 7 Tahun 2021, dengan ruang lingkup yang mencakup penegakan hukum, bantuan hukum, pertimbangan hukum, tindakan hukum lain, dan pelayanan hukum. Penelitian ini mengkaji bagaimana implementasi peran JPN dalam pemulihan kerugian negara dijalankan secara profesional, proporsional, dan akuntabel, sebagaimana dituntut oleh norma hukum dan etika penegakan hukum modern. Analisis dilakukan untuk menilai sejauh mana pelaksanaan tugas JPN sejalan dengan prinsip-prinsip tersebut serta tantangan yang dihadapi dalam praktik, khususnya pada ranah hukum perdata yang berkaitan dengan pemulihan aset negara. Penelitian ini diharapkan memberikan kontribusi bagi penguatan peran kejaksaan dalam menjaga keuangan negara secara lebih efektif dan berintegritas. Kata Kunci : Jaksa Pengacara Negara, Pemulihan Kerugian Negara, Badan Pemulihan Aset","author":[{"dropping-particle":"","family":"Pakaja","given":"Muhammad Hasan","non-dropping-particle":"","parse-names":false,"suffix":""},{"dropping-particle":"","family":"Mawuntu","given":"Ronald J.","non-dropping-particle":"","parse-names":false,"suffix":""},{"dropping-particle":"","family":"Waha","given":"Caecilia J. J.","non-dropping-particle":"","parse-names":false,"suffix":""}],"container-title":"Innovative: Journal Of Social Science Research","id":"ITEM-1","issue":"4","issued":{"date-parts":[["2025"]]},"page":"hlm. 3880-3895","title":"Implementasi Peran Jaksa Pengacara Negara Yang Profesional, Proporsional Dan Akuntabel Dalam Pemulihan Kerugian Negara","type":"article-journal","volume":"5"},"uris":["http://www.mendeley.com/documents/?uuid=d024166a-e972-4420-acf2-c51e035b9fa0"]}],"mendeley":{"formattedCitation":"Pakaja, Mawuntu, dan Waha, “Implementasi Peran Jaksa Pengacara Negara Yang Profesional, Proporsional Dan Akuntabel Dalam Pemulihan Kerugian Negara.”","plainTextFormattedCitation":"Pakaja, Mawuntu, dan Waha, “Implementasi Peran Jaksa Pengacara Negara Yang Profesional, Proporsional Dan Akuntabel Dalam Pemulihan Kerugian Negara.”","previouslyFormattedCitation":"(Pakaja dkk., 2025)"},"properties":{"noteIndex":13},"schema":"https://github.com/citation-style-language/schema/raw/master/csl-citation.json"}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Pakaja, Mawuntu, dan Waha, “Implementasi Peran Jaksa Pengacara Negara Yang Profesional, Proporsional Dan Akuntabel Dalam Pemulihan Kerugian Negara.”</w:t>
      </w:r>
      <w:r w:rsidRPr="00DB7B3A">
        <w:rPr>
          <w:rFonts w:ascii="Bookman Old Style" w:hAnsi="Bookman Old Style"/>
          <w:sz w:val="24"/>
          <w:szCs w:val="24"/>
        </w:rPr>
        <w:fldChar w:fldCharType="end"/>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{"citationItems":[{"id":"ITEM-1","itemData":{"DOI":"10.31004/innovative.v5i4.20513","ISSN":"2807-4246","abstract":"Penegakan hukum pada hakikatnya tidak hanya berfokus pada pemberian sanksi terhadap pelaku kejahatan, tetapi juga bertujuan untuk mengembalikan kerugian yang diderita oleh negara atau korban secara materiil maupun immateriil. Seiring berkembangnya regulasi, Kejaksaan Republik Indonesia diberikan kewenangan lebih luas melalui pembentukan Badan Pemulihan Aset (BPA) berdasarkan Peraturan Jaksa Agung Nomor 3 Tahun 2024, yang memiliki tugas melakukan penelusuran, perampasan, dan pengembalian aset hasil tindak pidana. Namun, dalam praktiknya, proses pemulihan tersebut tidak jarang menghadapi gugatan perdata yang berpotensi menghambat upaya hukum, sebagaimana terjadi pada perkara penyitaan aset PT Fikasa Group oleh Kejaksaan Negeri Pekanbaru. Dalam konteks ini, keberadaan Jaksa Pengacara Negara (JPN) menjadi penting sebagai representasi negara dalam menyelesaikan persoalan keperdataan, baik secara litigasi maupun non-litigasi. JPN menjalankan tugas berdasarkan Peraturan Jaksa Agung Nomor 7 Tahun 2021, dengan ruang lingkup yang mencakup penegakan hukum, bantuan hukum, pertimbangan hukum, tindakan hukum lain, dan pelayanan hukum. Penelitian ini mengkaji bagaimana implementasi peran JPN dalam pemulihan kerugian negara dijalankan secara profesional, proporsional, dan akuntabel, sebagaimana dituntut oleh norma hukum dan etika penegakan hukum modern. Analisis dilakukan untuk menilai sejauh mana pelaksanaan tugas JPN sejalan dengan prinsip-prinsip tersebut serta tantangan yang dihadapi dalam praktik, khususnya pada ranah hukum perdata yang berkaitan dengan pemulihan aset negara. Penelitian ini diharapkan memberikan kontribusi bagi penguatan peran kejaksaan dalam menjaga keuangan negara secara lebih efektif dan berintegritas. Kata Kunci : Jaksa Pengacara Negara, Pemulihan Kerugian Negara, Badan Pemulihan Aset","author":[{"dropping-particle":"","family":"Pakaja","given":"Muhammad Hasan","non-dropping-particle":"","parse-names":false,"suffix":""},{"dropping-particle":"","family":"Mawuntu","given":"Ronald J.","non-dropping-particle":"","parse-names":false,"suffix":""},{"dropping-particle":"","family":"Waha","given":"Caecilia J. J.","non-dropping-particle":"","parse-names":false,"suffix":""}],"container-title":"Innovative: Journal Of Social Science Research","id":"ITEM-1","issue":"4","issued":{"date-parts":[["2025"]]},"page":"hlm. 3880-3895","title":"Implementasi Peran Jaksa Pengacara Negara Yang Profesional, Proporsional Dan Akuntabel Dalam Pemulihan Kerugian Negara","type":"article-journal","volume":"5"},"uris":["http://www.mendeley.com/documents/?uuid=d024166a-e972-4420-acf2-c51e035b9fa0"]}],"mendeley":{"formattedCitation":"Pakaja, Mawuntu, dan Waha, “Implementasi Peran Jaksa Pengacara Negara Yang Profesional, Proporsional Dan Akuntabel Dalam Pemulihan Kerugian Negara.”","plainTextFormattedCitation":"Pakaja, Mawuntu, dan Waha, “Implementasi Peran Jaksa Pengacara Negara Yang Profesional, Proporsional Dan Akuntabel Dalam Pemulihan Kerugian Negara.”","previouslyFormattedCitation":"(Pakaja dkk., 2025)"},"properties":{"noteIndex":19},"schema":"https://github.com/citation-style-language/schema/raw/master/csl-citation.json"}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Pakaja, Mawuntu, dan Waha, “Implementasi Peran Jaksa Pengacara Negara Yang Profesional, Proporsional Dan Akuntabel Dalam Pemulihan Kerugian Negara.”</w:t>
      </w:r>
      <w:r w:rsidRPr="00DB7B3A">
        <w:rPr>
          <w:rFonts w:ascii="Bookman Old Style" w:hAnsi="Bookman Old Style"/>
          <w:sz w:val="24"/>
          <w:szCs w:val="24"/>
        </w:rPr>
        <w:fldChar w:fldCharType="end"/>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{"citationItems":[{"id":"ITEM-1","itemData":{"author":[{"dropping-particle":"","family":"Erlangga","given":"Puteri Kencana Surya","non-dropping-particle":"","parse-names":false,"suffix":""},{"dropping-particle":"","family":"Mulyono","given":"","non-dropping-particle":"","parse-names":false,"suffix":""},{"dropping-particle":"","family":"Fauziah","given":"","non-dropping-particle":"","parse-names":false,"suffix":""}],"container-title":"Jurisdictie","id":"ITEM-1","issue":"2","issued":{"date-parts":[["2023"]]},"page":"137-156","title":"Efektifitas Peran Kejaksaan Dalam Pengembalian Kerugian Keuangan Negara Dalam Perkara Korupsi Melalui Pelaksanaan Putusan Pengadilan","type":"article-journal","volume":"5"},"uris":["http://www.mendeley.com/documents/?uuid=90f105c5-8ca0-4341-82c6-1092013c7d00"]}],"mendeley":{"formattedCitation":"Puteri Kencana Surya Erlangga, Mulyono, dan Fauziah, “Efektifitas Peran Kejaksaan Dalam Pengembalian Kerugian Keuangan Negara Dalam Perkara Korupsi Melalui Pelaksanaan Putusan Pengadilan,” &lt;i&gt;Jurisdictie&lt;/i&gt; 5, no. 2 (2023): 137–56, https://doi.org/10.34005/jhj.v5i2.132.","plainTextFormattedCitation":"Puteri Kencana Surya Erlangga, Mulyono, dan Fauziah, “Efektifitas Peran Kejaksaan Dalam Pengembalian Kerugian Keuangan Negara Dalam Perkara Korupsi Melalui Pelaksanaan Putusan Pengadilan,” Jurisdictie 5, no. 2 (2023): 137–56, https://doi.org/10.34005/jhj.v5i2.132.","previouslyFormattedCitation":"(Erlangga dkk., 2023)"},"properties":{"noteIndex":12},"schema":"https://github.com/citation-style-language/schema/raw/master/csl-citation.json"}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 xml:space="preserve">Puteri Kencana Surya Erlangga, Mulyono, dan Fauziah, “Efektifitas Peran Kejaksaan Dalam Pengembalian Kerugian Keuangan Negara Dalam Perkara Korupsi Melalui Pelaksanaan Putusan Pengadilan,” </w:t>
      </w:r>
      <w:r w:rsidRPr="00DB7B3A">
        <w:rPr>
          <w:rFonts w:ascii="Bookman Old Style" w:hAnsi="Bookman Old Style"/>
          <w:i/>
          <w:noProof/>
          <w:sz w:val="24"/>
          <w:szCs w:val="24"/>
        </w:rPr>
        <w:t>Jurisdictie</w:t>
      </w:r>
      <w:r w:rsidRPr="00DB7B3A">
        <w:rPr>
          <w:rFonts w:ascii="Bookman Old Style" w:hAnsi="Bookman Old Style"/>
          <w:noProof/>
          <w:sz w:val="24"/>
          <w:szCs w:val="24"/>
        </w:rPr>
        <w:t xml:space="preserve"> 5, no. 2 (2023): 137–56, https://doi.org/10.34005/jhj.v5i2.132.</w:t>
      </w:r>
      <w:r w:rsidRPr="00DB7B3A">
        <w:rPr>
          <w:rFonts w:ascii="Bookman Old Style" w:hAnsi="Bookman Old Style"/>
          <w:sz w:val="24"/>
          <w:szCs w:val="24"/>
        </w:rPr>
        <w:fldChar w:fldCharType="end"/>
      </w:r>
      <w:r w:rsidRPr="00DB7B3A">
        <w:rPr>
          <w:rFonts w:ascii="Bookman Old Style" w:hAnsi="Bookman Old Style"/>
          <w:sz w:val="24"/>
          <w:szCs w:val="24"/>
        </w:rPr>
        <w:t xml:space="preserve"> </w:t>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{"citationItems":[{"id":"ITEM-1","itemData":{"DOI":"10.22219/ljih.v31i2.29381","ISSN":"25494600","abstract":"In the contemporary digital age, corruption has evolved into a common enemy, transcending borders and becoming a transnational and extraordinary crime. Within the ASEAN framework, corruption is no longer perceived as the concern of a single nation but as a shared threat to all member states and the global community at large. Despite the pervasive and deeply entrenched nature of corruption, concerted efforts have been made to combat this scourge. Among these measures, asset recovery stands out as an extraordinary tool, addressing not only the prevention and enforcement aspects but also the crucial task of repatriating ill-gotten gains to their rightful country of origin. Indonesia and the ASEAN community have entered into various treaties aimed at facilitating asset recovery, with the ASEAN Mutual Legal Assistance Treaty (AMLAT) serving as a pivotal legal instrument in this endeavor. Recognizing the transnational nature of corruption, interstate relations, and diplomatic cooperation have assumed a vital role in supporting the success of asset recovery processes. This study explores the evolving landscape of corruption in the digital age, its transformation into a transnational concern, and the collective efforts undertaken within ASEAN to combat it. By focusing on asset recovery as an extraordinary measure, it sheds light on the multifaceted dimensions of eradicating corruption and emphasizes the importance of international collaboration in returning misappropriated assets to their rightful owners.","author":[{"dropping-particle":"","family":"Arifin","given":"Ridwan","non-dropping-particle":"","parse-names":false,"suffix":""},{"dropping-particle":"","family":"Riyanto","given":"Sigit","non-dropping-particle":"","parse-names":false,"suffix":""},{"dropping-particle":"","family":"Putra","given":"Akbar Kurnia","non-dropping-particle":"","parse-names":false,"suffix":""}],"container-title":"Legality: Jurnal Ilmiah Hukum","id":"ITEM-1","issue":"2","issued":{"date-parts":[["2023"]]},"page":"329-343","title":"Collaborative Efforts in ASEAN for Global Asset Recovery Frameworks to Combat Corruption in the Digital Era","type":"article-journal","volume":"31"},"uris":["http://www.mendeley.com/documents/?uuid=9a2f4243-1205-49fc-b73d-bc015cf59372"]}],"mendeley":{"formattedCitation":"Ridwan Arifin, Sigit Riyanto, dan Akbar Kurnia Putra, “Collaborative Efforts in ASEAN for Global Asset Recovery Frameworks to Combat Corruption in the Digital Era,” &lt;i&gt;Legality: Jurnal Ilmiah Hukum&lt;/i&gt; 31, no. 2 (2023): 329–43, https://doi.org/10.22219/ljih.v31i2.29381.","plainTextFormattedCitation":"Ridwan Arifin, Sigit Riyanto, dan Akbar Kurnia Putra, “Collaborative Efforts in ASEAN for Global Asset Recovery Frameworks to Combat Corruption in the Digital Era,” Legality: Jurnal Ilmiah Hukum 31, no. 2 (2023): 329–43, https://doi.org/10.22219/ljih.v31i2.29381.","previouslyFormattedCitation":"(Arifin dkk., 2023)"},"properties":{"noteIndex":5},"schema":"https://github.com/citation-style-language/schema/raw/master/csl-citation.json"}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 xml:space="preserve">Ridwan Arifin, Sigit Riyanto, dan Akbar Kurnia Putra, “Collaborative Efforts in ASEAN for Global Asset Recovery Frameworks to Combat Corruption in the Digital Era,” </w:t>
      </w:r>
      <w:r w:rsidRPr="00DB7B3A">
        <w:rPr>
          <w:rFonts w:ascii="Bookman Old Style" w:hAnsi="Bookman Old Style"/>
          <w:i/>
          <w:noProof/>
          <w:sz w:val="24"/>
          <w:szCs w:val="24"/>
        </w:rPr>
        <w:t>Legality: Jurnal Ilmiah Hukum</w:t>
      </w:r>
      <w:r w:rsidRPr="00DB7B3A">
        <w:rPr>
          <w:rFonts w:ascii="Bookman Old Style" w:hAnsi="Bookman Old Style"/>
          <w:noProof/>
          <w:sz w:val="24"/>
          <w:szCs w:val="24"/>
        </w:rPr>
        <w:t xml:space="preserve"> 31, no. 2 (2023): 329–43, https://doi.org/10.22219/ljih.v31i2.29381.</w:t>
      </w:r>
      <w:r w:rsidRPr="00DB7B3A">
        <w:rPr>
          <w:rFonts w:ascii="Bookman Old Style" w:hAnsi="Bookman Old Style"/>
          <w:sz w:val="24"/>
          <w:szCs w:val="24"/>
        </w:rPr>
        <w:fldChar w:fldCharType="end"/>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{"citationItems":[{"id":"ITEM-1","itemData":{"ISBN":"3021-8586","author":[{"dropping-particle":"","family":"Fitri","given":"Rizki Rahayu","non-dropping-particle":"","parse-names":false,"suffix":""},{"dropping-particle":"","family":"Fitryantica","given":"Agnes","non-dropping-particle":"","parse-names":false,"suffix":""}],"container-title":"Prosiding Seminar Hukum Aktual Fakultas Hukum Universitas Islam Indonesia","id":"ITEM-1","issue":"2","issued":{"date-parts":[["2025"]]},"page":"105-115","title":"Transformasi Konstitusional Pertanggungjawaban Presiden Dalam Sistem Ketatanegaraan Indonesia Pasca Amandemen UUD 1945","type":"article-journal","volume":"2"},"uris":["http://www.mendeley.com/documents/?uuid=46ce9d28-2c5e-4e26-831f-bfd894a6978d"]}],"mendeley":{"formattedCitation":"Rizki Rahayu Fitri dan Agnes Fitryantica, “Transformasi Konstitusional Pertanggungjawaban Presiden Dalam Sistem Ketatanegaraan Indonesia Pasca Amandemen UUD 1945,” &lt;i&gt;Prosiding Seminar Hukum Aktual Fakultas Hukum Universitas Islam Indonesia&lt;/i&gt; 2, no. 2 (2025): 105–15, https://journal.uii.ac.id/psha/article/view/44964.","plainTextFormattedCitation":"Rizki Rahayu Fitri dan Agnes Fitryantica, “Transformasi Konstitusional Pertanggungjawaban Presiden Dalam Sistem Ketatanegaraan Indonesia Pasca Amandemen UUD 1945,” Prosiding Seminar Hukum Aktual Fakultas Hukum Universitas Islam Indonesia 2, no. 2 (2025): 105–15, https://journal.uii.ac.id/psha/article/view/44964.","previouslyFormattedCitation":"(Fitri &amp; Fitryantica, 2025)"},"properties":{"noteIndex":4},"schema":"https://github.com/citation-style-language/schema/raw/master/csl-citation.json"}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 xml:space="preserve">Rizki Rahayu Fitri dan Agnes Fitryantica, “Transformasi Konstitusional Pertanggungjawaban Presiden Dalam Sistem Ketatanegaraan Indonesia Pasca Amandemen UUD 1945,” </w:t>
      </w:r>
      <w:r w:rsidRPr="00DB7B3A">
        <w:rPr>
          <w:rFonts w:ascii="Bookman Old Style" w:hAnsi="Bookman Old Style"/>
          <w:i/>
          <w:noProof/>
          <w:sz w:val="24"/>
          <w:szCs w:val="24"/>
        </w:rPr>
        <w:t>Prosiding Seminar Hukum Aktual Fakultas Hukum Universitas Islam Indonesia</w:t>
      </w:r>
      <w:r w:rsidRPr="00DB7B3A">
        <w:rPr>
          <w:rFonts w:ascii="Bookman Old Style" w:hAnsi="Bookman Old Style"/>
          <w:noProof/>
          <w:sz w:val="24"/>
          <w:szCs w:val="24"/>
        </w:rPr>
        <w:t xml:space="preserve"> 2, no. 2 (2025): 105–15, https://journal.uii.ac.id/psha/article/view/44964.</w:t>
      </w:r>
      <w:r w:rsidRPr="00DB7B3A">
        <w:rPr>
          <w:rFonts w:ascii="Bookman Old Style" w:hAnsi="Bookman Old Style"/>
          <w:sz w:val="24"/>
          <w:szCs w:val="24"/>
        </w:rPr>
        <w:fldChar w:fldCharType="end"/>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{"citationItems":[{"id":"ITEM-1","itemData":{"author":[{"dropping-particle":"","family":"Salsabila","given":"","non-dropping-particle":"","parse-names":false,"suffix":""},{"dropping-particle":"","family":"Wahyudi","given":"Tri Slamet","non-dropping-particle":"","parse-names":false,"suffix":""}],"container-title":"Jurnal Masalah-Masalah Hukum","id":"ITEM-1","issue":"1","issued":{"date-parts":[["2022"]]},"page":"61-70","title":"Peran Kejaksaan Dalam Penyelesaian Perkara Tindak Pidana Korupsi Menggunakan Pendekatan Restorative Justice","type":"article-journal","volume":"51"},"uris":["http://www.mendeley.com/documents/?uuid=f8d90e36-e0e6-4efd-94f0-28b0a6891668"]}],"mendeley":{"formattedCitation":"Salsabila dan Tri Slamet Wahyudi, “Peran Kejaksaan Dalam Penyelesaian Perkara Tindak Pidana Korupsi Menggunakan Pendekatan Restorative Justice,” &lt;i&gt;Jurnal Masalah-Masalah Hukum&lt;/i&gt; 51, no. 1 (2022): 61–70, https://doi.org/10.14710/mmh.51.1.2022.61-70.","plainTextFormattedCitation":"Salsabila dan Tri Slamet Wahyudi, “Peran Kejaksaan Dalam Penyelesaian Perkara Tindak Pidana Korupsi Menggunakan Pendekatan Restorative Justice,” Jurnal Masalah-Masalah Hukum 51, no. 1 (2022): 61–70, https://doi.org/10.14710/mmh.51.1.2022.61-70.","previouslyFormattedCitation":"(Salsabila &amp; Wahyudi, 2022)"},"properties":{"noteIndex":21},"schema":"https://github.com/citation-style-language/schema/raw/master/csl-citation.json"}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 xml:space="preserve">Salsabila dan Tri Slamet Wahyudi, “Peran Kejaksaan Dalam Penyelesaian Perkara Tindak Pidana Korupsi Menggunakan Pendekatan Restorative Justice,” </w:t>
      </w:r>
      <w:r w:rsidRPr="00DB7B3A">
        <w:rPr>
          <w:rFonts w:ascii="Bookman Old Style" w:hAnsi="Bookman Old Style"/>
          <w:i/>
          <w:noProof/>
          <w:sz w:val="24"/>
          <w:szCs w:val="24"/>
        </w:rPr>
        <w:t>Jurnal Masalah-Masalah Hukum</w:t>
      </w:r>
      <w:r w:rsidRPr="00DB7B3A">
        <w:rPr>
          <w:rFonts w:ascii="Bookman Old Style" w:hAnsi="Bookman Old Style"/>
          <w:noProof/>
          <w:sz w:val="24"/>
          <w:szCs w:val="24"/>
        </w:rPr>
        <w:t xml:space="preserve"> 51, no. 1 (2022): 61–70, https://doi.org/10.14710/mmh.51.1.2022.61-70.</w:t>
      </w:r>
      <w:r w:rsidRPr="00DB7B3A">
        <w:rPr>
          <w:rFonts w:ascii="Bookman Old Style" w:hAnsi="Bookman Old Style"/>
          <w:sz w:val="24"/>
          <w:szCs w:val="24"/>
        </w:rPr>
        <w:fldChar w:fldCharType="end"/>
      </w:r>
    </w:p>
    <w:p w:rsidR="00DB7B3A" w:rsidRDefault="00DB7B3A" w:rsidP="00DB7B3A">
      <w:pPr>
        <w:spacing w:before="240"/>
        <w:ind w:left="709" w:hanging="709"/>
        <w:jc w:val="both"/>
        <w:rPr>
          <w:rFonts w:ascii="Bookman Old Style" w:hAnsi="Bookman Old Style"/>
          <w:sz w:val="24"/>
          <w:szCs w:val="24"/>
        </w:rPr>
      </w:pPr>
      <w:proofErr w:type="spellStart"/>
      <w:r w:rsidRPr="00DB7B3A">
        <w:rPr>
          <w:rFonts w:ascii="Bookman Old Style" w:hAnsi="Bookman Old Style"/>
          <w:sz w:val="24"/>
          <w:szCs w:val="24"/>
        </w:rPr>
        <w:t>Sitompul</w:t>
      </w:r>
      <w:proofErr w:type="spellEnd"/>
      <w:r w:rsidRPr="00DB7B3A">
        <w:rPr>
          <w:rFonts w:ascii="Bookman Old Style" w:hAnsi="Bookman Old Style"/>
          <w:sz w:val="24"/>
          <w:szCs w:val="24"/>
        </w:rPr>
        <w:t xml:space="preserve">, A. (2022). </w:t>
      </w:r>
      <w:proofErr w:type="spellStart"/>
      <w:r w:rsidRPr="00DB7B3A">
        <w:rPr>
          <w:rFonts w:ascii="Bookman Old Style" w:hAnsi="Bookman Old Style"/>
          <w:sz w:val="24"/>
          <w:szCs w:val="24"/>
        </w:rPr>
        <w:t>Metode</w:t>
      </w:r>
      <w:proofErr w:type="spellEnd"/>
      <w:r w:rsidRPr="00DB7B3A">
        <w:rPr>
          <w:rFonts w:ascii="Bookman Old Style" w:hAnsi="Bookman Old Style"/>
          <w:sz w:val="24"/>
          <w:szCs w:val="24"/>
        </w:rPr>
        <w:t xml:space="preserve"> </w:t>
      </w:r>
      <w:proofErr w:type="spellStart"/>
      <w:r w:rsidRPr="00DB7B3A">
        <w:rPr>
          <w:rFonts w:ascii="Bookman Old Style" w:hAnsi="Bookman Old Style"/>
          <w:sz w:val="24"/>
          <w:szCs w:val="24"/>
        </w:rPr>
        <w:t>Penelitian</w:t>
      </w:r>
      <w:proofErr w:type="spellEnd"/>
      <w:r w:rsidRPr="00DB7B3A">
        <w:rPr>
          <w:rFonts w:ascii="Bookman Old Style" w:hAnsi="Bookman Old Style"/>
          <w:sz w:val="24"/>
          <w:szCs w:val="24"/>
        </w:rPr>
        <w:t xml:space="preserve"> </w:t>
      </w:r>
      <w:proofErr w:type="spellStart"/>
      <w:r w:rsidRPr="00DB7B3A">
        <w:rPr>
          <w:rFonts w:ascii="Bookman Old Style" w:hAnsi="Bookman Old Style"/>
          <w:sz w:val="24"/>
          <w:szCs w:val="24"/>
        </w:rPr>
        <w:t>Hukum</w:t>
      </w:r>
      <w:proofErr w:type="spellEnd"/>
      <w:r w:rsidRPr="00DB7B3A">
        <w:rPr>
          <w:rFonts w:ascii="Bookman Old Style" w:hAnsi="Bookman Old Style"/>
          <w:sz w:val="24"/>
          <w:szCs w:val="24"/>
        </w:rPr>
        <w:t xml:space="preserve"> </w:t>
      </w:r>
      <w:proofErr w:type="spellStart"/>
      <w:r w:rsidRPr="00DB7B3A">
        <w:rPr>
          <w:rFonts w:ascii="Bookman Old Style" w:hAnsi="Bookman Old Style"/>
          <w:sz w:val="24"/>
          <w:szCs w:val="24"/>
        </w:rPr>
        <w:t>Normatif</w:t>
      </w:r>
      <w:proofErr w:type="spellEnd"/>
      <w:r w:rsidRPr="00DB7B3A">
        <w:rPr>
          <w:rFonts w:ascii="Bookman Old Style" w:hAnsi="Bookman Old Style"/>
          <w:sz w:val="24"/>
          <w:szCs w:val="24"/>
        </w:rPr>
        <w:t xml:space="preserve"> (</w:t>
      </w:r>
      <w:proofErr w:type="spellStart"/>
      <w:r w:rsidRPr="00DB7B3A">
        <w:rPr>
          <w:rFonts w:ascii="Bookman Old Style" w:hAnsi="Bookman Old Style"/>
          <w:sz w:val="24"/>
          <w:szCs w:val="24"/>
        </w:rPr>
        <w:t>Strategi</w:t>
      </w:r>
      <w:proofErr w:type="spellEnd"/>
      <w:r w:rsidRPr="00DB7B3A">
        <w:rPr>
          <w:rFonts w:ascii="Bookman Old Style" w:hAnsi="Bookman Old Style"/>
          <w:sz w:val="24"/>
          <w:szCs w:val="24"/>
        </w:rPr>
        <w:t xml:space="preserve"> </w:t>
      </w:r>
      <w:proofErr w:type="spellStart"/>
      <w:r w:rsidRPr="00DB7B3A">
        <w:rPr>
          <w:rFonts w:ascii="Bookman Old Style" w:hAnsi="Bookman Old Style"/>
          <w:sz w:val="24"/>
          <w:szCs w:val="24"/>
        </w:rPr>
        <w:t>Praktis</w:t>
      </w:r>
      <w:proofErr w:type="spellEnd"/>
      <w:r w:rsidRPr="00DB7B3A">
        <w:rPr>
          <w:rFonts w:ascii="Bookman Old Style" w:hAnsi="Bookman Old Style"/>
          <w:sz w:val="24"/>
          <w:szCs w:val="24"/>
        </w:rPr>
        <w:t xml:space="preserve"> </w:t>
      </w:r>
      <w:proofErr w:type="spellStart"/>
      <w:r w:rsidRPr="00DB7B3A">
        <w:rPr>
          <w:rFonts w:ascii="Bookman Old Style" w:hAnsi="Bookman Old Style"/>
          <w:sz w:val="24"/>
          <w:szCs w:val="24"/>
        </w:rPr>
        <w:t>Penul</w:t>
      </w:r>
      <w:r>
        <w:rPr>
          <w:rFonts w:ascii="Bookman Old Style" w:hAnsi="Bookman Old Style"/>
          <w:sz w:val="24"/>
          <w:szCs w:val="24"/>
        </w:rPr>
        <w:t>isan</w:t>
      </w:r>
      <w:proofErr w:type="spellEnd"/>
      <w:r>
        <w:rPr>
          <w:rFonts w:ascii="Bookman Old Style" w:hAnsi="Bookman Old Style"/>
          <w:sz w:val="24"/>
          <w:szCs w:val="24"/>
        </w:rPr>
        <w:t xml:space="preserve"> </w:t>
      </w:r>
      <w:proofErr w:type="spellStart"/>
      <w:r>
        <w:rPr>
          <w:rFonts w:ascii="Bookman Old Style" w:hAnsi="Bookman Old Style"/>
          <w:sz w:val="24"/>
          <w:szCs w:val="24"/>
        </w:rPr>
        <w:t>Skripsi</w:t>
      </w:r>
      <w:proofErr w:type="spellEnd"/>
      <w:r>
        <w:rPr>
          <w:rFonts w:ascii="Bookman Old Style" w:hAnsi="Bookman Old Style"/>
          <w:sz w:val="24"/>
          <w:szCs w:val="24"/>
        </w:rPr>
        <w:t xml:space="preserve">, </w:t>
      </w:r>
      <w:proofErr w:type="spellStart"/>
      <w:r>
        <w:rPr>
          <w:rFonts w:ascii="Bookman Old Style" w:hAnsi="Bookman Old Style"/>
          <w:sz w:val="24"/>
          <w:szCs w:val="24"/>
        </w:rPr>
        <w:t>Tesis</w:t>
      </w:r>
      <w:proofErr w:type="spellEnd"/>
      <w:r>
        <w:rPr>
          <w:rFonts w:ascii="Bookman Old Style" w:hAnsi="Bookman Old Style"/>
          <w:sz w:val="24"/>
          <w:szCs w:val="24"/>
        </w:rPr>
        <w:t xml:space="preserve">, </w:t>
      </w:r>
      <w:proofErr w:type="spellStart"/>
      <w:r>
        <w:rPr>
          <w:rFonts w:ascii="Bookman Old Style" w:hAnsi="Bookman Old Style"/>
          <w:sz w:val="24"/>
          <w:szCs w:val="24"/>
        </w:rPr>
        <w:t>Disertasi</w:t>
      </w:r>
      <w:proofErr w:type="spellEnd"/>
      <w:r>
        <w:rPr>
          <w:rFonts w:ascii="Bookman Old Style" w:hAnsi="Bookman Old Style"/>
          <w:sz w:val="24"/>
          <w:szCs w:val="24"/>
        </w:rPr>
        <w:t>)</w:t>
      </w:r>
      <w:proofErr w:type="spellStart"/>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t>Sitompul</w:t>
      </w:r>
      <w:proofErr w:type="spellEnd"/>
      <w:r w:rsidRPr="00DB7B3A">
        <w:rPr>
          <w:rFonts w:ascii="Bookman Old Style" w:hAnsi="Bookman Old Style"/>
          <w:sz w:val="24"/>
          <w:szCs w:val="24"/>
        </w:rPr>
        <w:t xml:space="preserve">, A. (2025). The Dynamics of Corruption in Indonesia </w:t>
      </w:r>
      <w:proofErr w:type="gramStart"/>
      <w:r w:rsidRPr="00DB7B3A">
        <w:rPr>
          <w:rFonts w:ascii="Bookman Old Style" w:hAnsi="Bookman Old Style"/>
          <w:sz w:val="24"/>
          <w:szCs w:val="24"/>
        </w:rPr>
        <w:t>Between</w:t>
      </w:r>
      <w:proofErr w:type="gramEnd"/>
      <w:r w:rsidRPr="00DB7B3A">
        <w:rPr>
          <w:rFonts w:ascii="Bookman Old Style" w:hAnsi="Bookman Old Style"/>
          <w:sz w:val="24"/>
          <w:szCs w:val="24"/>
        </w:rPr>
        <w:t xml:space="preserve"> Prevention and Eradication. </w:t>
      </w:r>
      <w:r w:rsidRPr="00DB7B3A">
        <w:rPr>
          <w:rFonts w:ascii="Bookman Old Style" w:hAnsi="Bookman Old Style"/>
          <w:i/>
          <w:iCs/>
          <w:sz w:val="24"/>
          <w:szCs w:val="24"/>
        </w:rPr>
        <w:t>LEMKAPI: Journal of Law &amp; Policy Studies</w:t>
      </w:r>
      <w:r w:rsidRPr="00DB7B3A">
        <w:rPr>
          <w:rFonts w:ascii="Bookman Old Style" w:hAnsi="Bookman Old Style"/>
          <w:sz w:val="24"/>
          <w:szCs w:val="24"/>
        </w:rPr>
        <w:t xml:space="preserve">, </w:t>
      </w:r>
      <w:r w:rsidRPr="00DB7B3A">
        <w:rPr>
          <w:rFonts w:ascii="Bookman Old Style" w:hAnsi="Bookman Old Style"/>
          <w:i/>
          <w:iCs/>
          <w:sz w:val="24"/>
          <w:szCs w:val="24"/>
        </w:rPr>
        <w:t>1</w:t>
      </w:r>
      <w:r w:rsidRPr="00DB7B3A">
        <w:rPr>
          <w:rFonts w:ascii="Bookman Old Style" w:hAnsi="Bookman Old Style"/>
          <w:sz w:val="24"/>
          <w:szCs w:val="24"/>
        </w:rPr>
        <w:t xml:space="preserve">(1), 22–29. Retrieved from </w:t>
      </w:r>
      <w:hyperlink r:id="rId8" w:history="1">
        <w:r w:rsidRPr="00DB7B3A">
          <w:rPr>
            <w:rStyle w:val="Hyperlink"/>
            <w:rFonts w:ascii="Bookman Old Style" w:hAnsi="Bookman Old Style"/>
            <w:sz w:val="24"/>
            <w:szCs w:val="24"/>
          </w:rPr>
          <w:t>https://lemkapi.com/index.php/lkp/article/view/7</w:t>
        </w:r>
      </w:hyperlink>
      <w:r w:rsidRPr="00DB7B3A">
        <w:rPr>
          <w:rFonts w:ascii="Bookman Old Style" w:hAnsi="Bookman Old Style"/>
          <w:sz w:val="24"/>
          <w:szCs w:val="24"/>
        </w:rPr>
        <w:t xml:space="preserve"> </w:t>
      </w:r>
    </w:p>
    <w:p w:rsidR="00DB7B3A" w:rsidRDefault="00DB7B3A" w:rsidP="00DB7B3A">
      <w:pPr>
        <w:spacing w:before="240"/>
        <w:ind w:left="709" w:hanging="709"/>
        <w:jc w:val="both"/>
        <w:rPr>
          <w:rFonts w:ascii="Bookman Old Style" w:hAnsi="Bookman Old Style"/>
          <w:sz w:val="24"/>
          <w:szCs w:val="24"/>
        </w:rPr>
      </w:pPr>
      <w:proofErr w:type="spellStart"/>
      <w:r w:rsidRPr="00DB7B3A">
        <w:rPr>
          <w:rFonts w:ascii="Bookman Old Style" w:hAnsi="Bookman Old Style"/>
          <w:sz w:val="24"/>
          <w:szCs w:val="24"/>
        </w:rPr>
        <w:t>Sitompul</w:t>
      </w:r>
      <w:proofErr w:type="spellEnd"/>
      <w:r w:rsidRPr="00DB7B3A">
        <w:rPr>
          <w:rFonts w:ascii="Bookman Old Style" w:hAnsi="Bookman Old Style"/>
          <w:sz w:val="24"/>
          <w:szCs w:val="24"/>
        </w:rPr>
        <w:t xml:space="preserve">, A. (2026). Legal Analysis of Savings and Loan Cooperatives with Money Laundering with the Origin of Fraud Together and Continues in </w:t>
      </w:r>
      <w:r w:rsidRPr="00DB7B3A">
        <w:rPr>
          <w:rFonts w:ascii="Bookman Old Style" w:hAnsi="Bookman Old Style"/>
          <w:sz w:val="24"/>
          <w:szCs w:val="24"/>
        </w:rPr>
        <w:lastRenderedPageBreak/>
        <w:t xml:space="preserve">Decision No. 2113 K / </w:t>
      </w:r>
      <w:proofErr w:type="spellStart"/>
      <w:r w:rsidRPr="00DB7B3A">
        <w:rPr>
          <w:rFonts w:ascii="Bookman Old Style" w:hAnsi="Bookman Old Style"/>
          <w:sz w:val="24"/>
          <w:szCs w:val="24"/>
        </w:rPr>
        <w:t>Pid.Sus</w:t>
      </w:r>
      <w:proofErr w:type="spellEnd"/>
      <w:r w:rsidRPr="00DB7B3A">
        <w:rPr>
          <w:rFonts w:ascii="Bookman Old Style" w:hAnsi="Bookman Old Style"/>
          <w:sz w:val="24"/>
          <w:szCs w:val="24"/>
        </w:rPr>
        <w:t xml:space="preserve">/2023. </w:t>
      </w:r>
      <w:r w:rsidRPr="00DB7B3A">
        <w:rPr>
          <w:rFonts w:ascii="Bookman Old Style" w:hAnsi="Bookman Old Style"/>
          <w:i/>
          <w:iCs/>
          <w:sz w:val="24"/>
          <w:szCs w:val="24"/>
        </w:rPr>
        <w:t xml:space="preserve">International Asia </w:t>
      </w:r>
      <w:proofErr w:type="gramStart"/>
      <w:r w:rsidRPr="00DB7B3A">
        <w:rPr>
          <w:rFonts w:ascii="Bookman Old Style" w:hAnsi="Bookman Old Style"/>
          <w:i/>
          <w:iCs/>
          <w:sz w:val="24"/>
          <w:szCs w:val="24"/>
        </w:rPr>
        <w:t>Of</w:t>
      </w:r>
      <w:proofErr w:type="gramEnd"/>
      <w:r w:rsidRPr="00DB7B3A">
        <w:rPr>
          <w:rFonts w:ascii="Bookman Old Style" w:hAnsi="Bookman Old Style"/>
          <w:i/>
          <w:iCs/>
          <w:sz w:val="24"/>
          <w:szCs w:val="24"/>
        </w:rPr>
        <w:t xml:space="preserve"> Law and Money Laundering (IAML)</w:t>
      </w:r>
      <w:r w:rsidRPr="00DB7B3A">
        <w:rPr>
          <w:rFonts w:ascii="Bookman Old Style" w:hAnsi="Bookman Old Style"/>
          <w:sz w:val="24"/>
          <w:szCs w:val="24"/>
        </w:rPr>
        <w:t xml:space="preserve">, </w:t>
      </w:r>
      <w:r w:rsidRPr="00DB7B3A">
        <w:rPr>
          <w:rFonts w:ascii="Bookman Old Style" w:hAnsi="Bookman Old Style"/>
          <w:i/>
          <w:iCs/>
          <w:sz w:val="24"/>
          <w:szCs w:val="24"/>
        </w:rPr>
        <w:t>5</w:t>
      </w:r>
      <w:r w:rsidRPr="00DB7B3A">
        <w:rPr>
          <w:rFonts w:ascii="Bookman Old Style" w:hAnsi="Bookman Old Style"/>
          <w:sz w:val="24"/>
          <w:szCs w:val="24"/>
        </w:rPr>
        <w:t xml:space="preserve">(1), 18–22. </w:t>
      </w:r>
      <w:hyperlink r:id="rId9" w:history="1">
        <w:r w:rsidRPr="00DB7B3A">
          <w:rPr>
            <w:rStyle w:val="Hyperlink"/>
            <w:rFonts w:ascii="Bookman Old Style" w:hAnsi="Bookman Old Style"/>
            <w:sz w:val="24"/>
            <w:szCs w:val="24"/>
          </w:rPr>
          <w:t>https://doi.org/10.59712/iaml.v5i1.158</w:t>
        </w:r>
      </w:hyperlink>
      <w:r w:rsidRPr="00DB7B3A">
        <w:rPr>
          <w:rFonts w:ascii="Bookman Old Style" w:hAnsi="Bookman Old Style"/>
          <w:sz w:val="24"/>
          <w:szCs w:val="24"/>
        </w:rPr>
        <w:t xml:space="preserve"> </w:t>
      </w:r>
    </w:p>
    <w:p w:rsidR="00DB7B3A" w:rsidRDefault="00DB7B3A" w:rsidP="00DB7B3A">
      <w:pPr>
        <w:spacing w:before="240"/>
        <w:ind w:left="709" w:hanging="709"/>
        <w:jc w:val="both"/>
        <w:rPr>
          <w:rFonts w:ascii="Bookman Old Style" w:hAnsi="Bookman Old Style"/>
          <w:sz w:val="24"/>
          <w:szCs w:val="24"/>
        </w:rPr>
      </w:pPr>
      <w:proofErr w:type="spellStart"/>
      <w:r w:rsidRPr="00DB7B3A">
        <w:rPr>
          <w:rFonts w:ascii="Bookman Old Style" w:hAnsi="Bookman Old Style"/>
          <w:sz w:val="24"/>
          <w:szCs w:val="24"/>
        </w:rPr>
        <w:t>Sitompul</w:t>
      </w:r>
      <w:proofErr w:type="spellEnd"/>
      <w:r w:rsidRPr="00DB7B3A">
        <w:rPr>
          <w:rFonts w:ascii="Bookman Old Style" w:hAnsi="Bookman Old Style"/>
          <w:sz w:val="24"/>
          <w:szCs w:val="24"/>
        </w:rPr>
        <w:t xml:space="preserve">, A., &amp; </w:t>
      </w:r>
      <w:proofErr w:type="spellStart"/>
      <w:r w:rsidRPr="00DB7B3A">
        <w:rPr>
          <w:rFonts w:ascii="Bookman Old Style" w:hAnsi="Bookman Old Style"/>
          <w:sz w:val="24"/>
          <w:szCs w:val="24"/>
        </w:rPr>
        <w:t>Sipayung</w:t>
      </w:r>
      <w:proofErr w:type="spellEnd"/>
      <w:r w:rsidRPr="00DB7B3A">
        <w:rPr>
          <w:rFonts w:ascii="Bookman Old Style" w:hAnsi="Bookman Old Style"/>
          <w:sz w:val="24"/>
          <w:szCs w:val="24"/>
        </w:rPr>
        <w:t xml:space="preserve">, I. M. (2025). The Development of the Death Penalty for Corruption Committed by Judges in Indonesia. </w:t>
      </w:r>
      <w:r w:rsidRPr="00DB7B3A">
        <w:rPr>
          <w:rFonts w:ascii="Bookman Old Style" w:hAnsi="Bookman Old Style"/>
          <w:i/>
          <w:iCs/>
          <w:sz w:val="24"/>
          <w:szCs w:val="24"/>
        </w:rPr>
        <w:t>Pakistan Journal of Criminology</w:t>
      </w:r>
      <w:r w:rsidRPr="00DB7B3A">
        <w:rPr>
          <w:rFonts w:ascii="Bookman Old Style" w:hAnsi="Bookman Old Style"/>
          <w:sz w:val="24"/>
          <w:szCs w:val="24"/>
        </w:rPr>
        <w:t xml:space="preserve">, </w:t>
      </w:r>
      <w:r w:rsidRPr="00DB7B3A">
        <w:rPr>
          <w:rFonts w:ascii="Bookman Old Style" w:hAnsi="Bookman Old Style"/>
          <w:i/>
          <w:iCs/>
          <w:sz w:val="24"/>
          <w:szCs w:val="24"/>
        </w:rPr>
        <w:t>17</w:t>
      </w:r>
      <w:r w:rsidRPr="00DB7B3A">
        <w:rPr>
          <w:rFonts w:ascii="Bookman Old Style" w:hAnsi="Bookman Old Style"/>
          <w:sz w:val="24"/>
          <w:szCs w:val="24"/>
        </w:rPr>
        <w:t xml:space="preserve">(02), 95-109. </w:t>
      </w:r>
    </w:p>
    <w:p w:rsidR="00DB7B3A" w:rsidRDefault="00DB7B3A" w:rsidP="00DB7B3A">
      <w:pPr>
        <w:spacing w:before="240"/>
        <w:ind w:left="709" w:hanging="709"/>
        <w:jc w:val="both"/>
        <w:rPr>
          <w:rFonts w:ascii="Bookman Old Style" w:hAnsi="Bookman Old Style"/>
          <w:sz w:val="24"/>
          <w:szCs w:val="24"/>
        </w:rPr>
      </w:pPr>
      <w:proofErr w:type="spellStart"/>
      <w:r w:rsidRPr="00DB7B3A">
        <w:rPr>
          <w:rFonts w:ascii="Bookman Old Style" w:hAnsi="Bookman Old Style"/>
          <w:sz w:val="24"/>
          <w:szCs w:val="24"/>
        </w:rPr>
        <w:t>Sitompul</w:t>
      </w:r>
      <w:proofErr w:type="spellEnd"/>
      <w:r w:rsidRPr="00DB7B3A">
        <w:rPr>
          <w:rFonts w:ascii="Bookman Old Style" w:hAnsi="Bookman Old Style"/>
          <w:sz w:val="24"/>
          <w:szCs w:val="24"/>
        </w:rPr>
        <w:t xml:space="preserve">, M. N. ., &amp; </w:t>
      </w:r>
      <w:proofErr w:type="spellStart"/>
      <w:r w:rsidRPr="00DB7B3A">
        <w:rPr>
          <w:rFonts w:ascii="Bookman Old Style" w:hAnsi="Bookman Old Style"/>
          <w:sz w:val="24"/>
          <w:szCs w:val="24"/>
        </w:rPr>
        <w:t>Sitompul</w:t>
      </w:r>
      <w:proofErr w:type="spellEnd"/>
      <w:r w:rsidRPr="00DB7B3A">
        <w:rPr>
          <w:rFonts w:ascii="Bookman Old Style" w:hAnsi="Bookman Old Style"/>
          <w:sz w:val="24"/>
          <w:szCs w:val="24"/>
        </w:rPr>
        <w:t>, A</w:t>
      </w:r>
      <w:proofErr w:type="gramStart"/>
      <w:r w:rsidRPr="00DB7B3A">
        <w:rPr>
          <w:rFonts w:ascii="Bookman Old Style" w:hAnsi="Bookman Old Style"/>
          <w:sz w:val="24"/>
          <w:szCs w:val="24"/>
        </w:rPr>
        <w:t>. .</w:t>
      </w:r>
      <w:proofErr w:type="gramEnd"/>
      <w:r w:rsidRPr="00DB7B3A">
        <w:rPr>
          <w:rFonts w:ascii="Bookman Old Style" w:hAnsi="Bookman Old Style"/>
          <w:sz w:val="24"/>
          <w:szCs w:val="24"/>
        </w:rPr>
        <w:t xml:space="preserve"> (2023). Application of money laundering in corruption cases in maintaining state stability. </w:t>
      </w:r>
      <w:r w:rsidRPr="00DB7B3A">
        <w:rPr>
          <w:rFonts w:ascii="Bookman Old Style" w:hAnsi="Bookman Old Style"/>
          <w:i/>
          <w:iCs/>
          <w:sz w:val="24"/>
          <w:szCs w:val="24"/>
        </w:rPr>
        <w:t>The International Journal of Politics and Sociology Research</w:t>
      </w:r>
      <w:r w:rsidRPr="00DB7B3A">
        <w:rPr>
          <w:rFonts w:ascii="Bookman Old Style" w:hAnsi="Bookman Old Style"/>
          <w:sz w:val="24"/>
          <w:szCs w:val="24"/>
        </w:rPr>
        <w:t xml:space="preserve">, </w:t>
      </w:r>
      <w:r w:rsidRPr="00DB7B3A">
        <w:rPr>
          <w:rFonts w:ascii="Bookman Old Style" w:hAnsi="Bookman Old Style"/>
          <w:i/>
          <w:iCs/>
          <w:sz w:val="24"/>
          <w:szCs w:val="24"/>
        </w:rPr>
        <w:t>11</w:t>
      </w:r>
      <w:r w:rsidRPr="00DB7B3A">
        <w:rPr>
          <w:rFonts w:ascii="Bookman Old Style" w:hAnsi="Bookman Old Style"/>
          <w:sz w:val="24"/>
          <w:szCs w:val="24"/>
        </w:rPr>
        <w:t xml:space="preserve">(1), 94–102. </w:t>
      </w:r>
      <w:hyperlink r:id="rId10" w:history="1">
        <w:r w:rsidRPr="00DB7B3A">
          <w:rPr>
            <w:rStyle w:val="Hyperlink"/>
            <w:rFonts w:ascii="Bookman Old Style" w:hAnsi="Bookman Old Style"/>
            <w:sz w:val="24"/>
            <w:szCs w:val="24"/>
          </w:rPr>
          <w:t>https://doi.org/10.35335/ijopsor.v11i1.121</w:t>
        </w:r>
      </w:hyperlink>
      <w:r w:rsidRPr="00DB7B3A">
        <w:rPr>
          <w:rFonts w:ascii="Bookman Old Style" w:hAnsi="Bookman Old Style"/>
          <w:sz w:val="24"/>
          <w:szCs w:val="24"/>
        </w:rPr>
        <w:t xml:space="preserve"> </w:t>
      </w:r>
    </w:p>
    <w:p w:rsidR="00DB7B3A" w:rsidRDefault="00DB7B3A" w:rsidP="00DB7B3A">
      <w:pPr>
        <w:spacing w:before="240"/>
        <w:ind w:left="709" w:hanging="709"/>
        <w:jc w:val="both"/>
        <w:rPr>
          <w:rFonts w:ascii="Bookman Old Style" w:hAnsi="Bookman Old Style"/>
          <w:sz w:val="24"/>
          <w:szCs w:val="24"/>
        </w:rPr>
      </w:pPr>
      <w:proofErr w:type="spellStart"/>
      <w:r w:rsidRPr="00DB7B3A">
        <w:rPr>
          <w:rFonts w:ascii="Bookman Old Style" w:hAnsi="Bookman Old Style"/>
          <w:sz w:val="24"/>
          <w:szCs w:val="24"/>
        </w:rPr>
        <w:t>Sitorus</w:t>
      </w:r>
      <w:proofErr w:type="spellEnd"/>
      <w:r w:rsidRPr="00DB7B3A">
        <w:rPr>
          <w:rFonts w:ascii="Bookman Old Style" w:hAnsi="Bookman Old Style"/>
          <w:sz w:val="24"/>
          <w:szCs w:val="24"/>
        </w:rPr>
        <w:t xml:space="preserve">, N. T., &amp; </w:t>
      </w:r>
      <w:proofErr w:type="spellStart"/>
      <w:r w:rsidRPr="00DB7B3A">
        <w:rPr>
          <w:rFonts w:ascii="Bookman Old Style" w:hAnsi="Bookman Old Style"/>
          <w:sz w:val="24"/>
          <w:szCs w:val="24"/>
        </w:rPr>
        <w:t>Sitompul</w:t>
      </w:r>
      <w:proofErr w:type="spellEnd"/>
      <w:r w:rsidRPr="00DB7B3A">
        <w:rPr>
          <w:rFonts w:ascii="Bookman Old Style" w:hAnsi="Bookman Old Style"/>
          <w:sz w:val="24"/>
          <w:szCs w:val="24"/>
        </w:rPr>
        <w:t xml:space="preserve">, A. (2025). </w:t>
      </w:r>
      <w:proofErr w:type="spellStart"/>
      <w:r w:rsidRPr="00DB7B3A">
        <w:rPr>
          <w:rFonts w:ascii="Bookman Old Style" w:hAnsi="Bookman Old Style"/>
          <w:sz w:val="24"/>
          <w:szCs w:val="24"/>
        </w:rPr>
        <w:t>Maswandi</w:t>
      </w:r>
      <w:proofErr w:type="spellEnd"/>
      <w:r w:rsidRPr="00DB7B3A">
        <w:rPr>
          <w:rFonts w:ascii="Bookman Old Style" w:hAnsi="Bookman Old Style"/>
          <w:sz w:val="24"/>
          <w:szCs w:val="24"/>
        </w:rPr>
        <w:t xml:space="preserve"> Criminal Liability </w:t>
      </w:r>
      <w:proofErr w:type="gramStart"/>
      <w:r w:rsidRPr="00DB7B3A">
        <w:rPr>
          <w:rFonts w:ascii="Bookman Old Style" w:hAnsi="Bookman Old Style"/>
          <w:sz w:val="24"/>
          <w:szCs w:val="24"/>
        </w:rPr>
        <w:t>For</w:t>
      </w:r>
      <w:proofErr w:type="gramEnd"/>
      <w:r w:rsidRPr="00DB7B3A">
        <w:rPr>
          <w:rFonts w:ascii="Bookman Old Style" w:hAnsi="Bookman Old Style"/>
          <w:sz w:val="24"/>
          <w:szCs w:val="24"/>
        </w:rPr>
        <w:t xml:space="preserve"> Corruption By Public Officials: Analysis Of Decision No. 141/</w:t>
      </w:r>
      <w:proofErr w:type="spellStart"/>
      <w:r w:rsidRPr="00DB7B3A">
        <w:rPr>
          <w:rFonts w:ascii="Bookman Old Style" w:hAnsi="Bookman Old Style"/>
          <w:sz w:val="24"/>
          <w:szCs w:val="24"/>
        </w:rPr>
        <w:t>Pid</w:t>
      </w:r>
      <w:proofErr w:type="spellEnd"/>
      <w:r w:rsidRPr="00DB7B3A">
        <w:rPr>
          <w:rFonts w:ascii="Bookman Old Style" w:hAnsi="Bookman Old Style"/>
          <w:sz w:val="24"/>
          <w:szCs w:val="24"/>
        </w:rPr>
        <w:t xml:space="preserve">. </w:t>
      </w:r>
      <w:proofErr w:type="spellStart"/>
      <w:r w:rsidRPr="00DB7B3A">
        <w:rPr>
          <w:rFonts w:ascii="Bookman Old Style" w:hAnsi="Bookman Old Style"/>
          <w:sz w:val="24"/>
          <w:szCs w:val="24"/>
        </w:rPr>
        <w:t>Sus</w:t>
      </w:r>
      <w:proofErr w:type="spellEnd"/>
      <w:r w:rsidRPr="00DB7B3A">
        <w:rPr>
          <w:rFonts w:ascii="Bookman Old Style" w:hAnsi="Bookman Old Style"/>
          <w:sz w:val="24"/>
          <w:szCs w:val="24"/>
        </w:rPr>
        <w:t xml:space="preserve">-TPK/2024/PN </w:t>
      </w:r>
      <w:proofErr w:type="spellStart"/>
      <w:r w:rsidRPr="00DB7B3A">
        <w:rPr>
          <w:rFonts w:ascii="Bookman Old Style" w:hAnsi="Bookman Old Style"/>
          <w:sz w:val="24"/>
          <w:szCs w:val="24"/>
        </w:rPr>
        <w:t>Mdn</w:t>
      </w:r>
      <w:proofErr w:type="spellEnd"/>
      <w:r w:rsidRPr="00DB7B3A">
        <w:rPr>
          <w:rFonts w:ascii="Bookman Old Style" w:hAnsi="Bookman Old Style"/>
          <w:sz w:val="24"/>
          <w:szCs w:val="24"/>
        </w:rPr>
        <w:t>: Criminal Liability For Corruption By Public Officials: Analysis Of Decision No. 141/</w:t>
      </w:r>
      <w:proofErr w:type="spellStart"/>
      <w:proofErr w:type="gramStart"/>
      <w:r w:rsidRPr="00DB7B3A">
        <w:rPr>
          <w:rFonts w:ascii="Bookman Old Style" w:hAnsi="Bookman Old Style"/>
          <w:sz w:val="24"/>
          <w:szCs w:val="24"/>
        </w:rPr>
        <w:t>Pid</w:t>
      </w:r>
      <w:proofErr w:type="spellEnd"/>
      <w:proofErr w:type="gramEnd"/>
      <w:r w:rsidRPr="00DB7B3A">
        <w:rPr>
          <w:rFonts w:ascii="Bookman Old Style" w:hAnsi="Bookman Old Style"/>
          <w:sz w:val="24"/>
          <w:szCs w:val="24"/>
        </w:rPr>
        <w:t xml:space="preserve">. </w:t>
      </w:r>
      <w:proofErr w:type="spellStart"/>
      <w:r w:rsidRPr="00DB7B3A">
        <w:rPr>
          <w:rFonts w:ascii="Bookman Old Style" w:hAnsi="Bookman Old Style"/>
          <w:sz w:val="24"/>
          <w:szCs w:val="24"/>
        </w:rPr>
        <w:t>Sus</w:t>
      </w:r>
      <w:proofErr w:type="spellEnd"/>
      <w:r w:rsidRPr="00DB7B3A">
        <w:rPr>
          <w:rFonts w:ascii="Bookman Old Style" w:hAnsi="Bookman Old Style"/>
          <w:sz w:val="24"/>
          <w:szCs w:val="24"/>
        </w:rPr>
        <w:t xml:space="preserve">-TPK/2024/PN </w:t>
      </w:r>
      <w:proofErr w:type="spellStart"/>
      <w:r w:rsidRPr="00DB7B3A">
        <w:rPr>
          <w:rFonts w:ascii="Bookman Old Style" w:hAnsi="Bookman Old Style"/>
          <w:sz w:val="24"/>
          <w:szCs w:val="24"/>
        </w:rPr>
        <w:t>Mdn</w:t>
      </w:r>
      <w:proofErr w:type="spellEnd"/>
      <w:r w:rsidRPr="00DB7B3A">
        <w:rPr>
          <w:rFonts w:ascii="Bookman Old Style" w:hAnsi="Bookman Old Style"/>
          <w:sz w:val="24"/>
          <w:szCs w:val="24"/>
        </w:rPr>
        <w:t xml:space="preserve">. </w:t>
      </w:r>
      <w:r w:rsidRPr="00DB7B3A">
        <w:rPr>
          <w:rFonts w:ascii="Bookman Old Style" w:hAnsi="Bookman Old Style"/>
          <w:i/>
          <w:iCs/>
          <w:sz w:val="24"/>
          <w:szCs w:val="24"/>
        </w:rPr>
        <w:t xml:space="preserve">Pena </w:t>
      </w:r>
      <w:proofErr w:type="spellStart"/>
      <w:r w:rsidRPr="00DB7B3A">
        <w:rPr>
          <w:rFonts w:ascii="Bookman Old Style" w:hAnsi="Bookman Old Style"/>
          <w:i/>
          <w:iCs/>
          <w:sz w:val="24"/>
          <w:szCs w:val="24"/>
        </w:rPr>
        <w:t>Justisia</w:t>
      </w:r>
      <w:proofErr w:type="spellEnd"/>
      <w:r w:rsidRPr="00DB7B3A">
        <w:rPr>
          <w:rFonts w:ascii="Bookman Old Style" w:hAnsi="Bookman Old Style"/>
          <w:i/>
          <w:iCs/>
          <w:sz w:val="24"/>
          <w:szCs w:val="24"/>
        </w:rPr>
        <w:t xml:space="preserve">: Media </w:t>
      </w:r>
      <w:proofErr w:type="spellStart"/>
      <w:r w:rsidRPr="00DB7B3A">
        <w:rPr>
          <w:rFonts w:ascii="Bookman Old Style" w:hAnsi="Bookman Old Style"/>
          <w:i/>
          <w:iCs/>
          <w:sz w:val="24"/>
          <w:szCs w:val="24"/>
        </w:rPr>
        <w:t>Komunikasi</w:t>
      </w:r>
      <w:proofErr w:type="spellEnd"/>
      <w:r w:rsidRPr="00DB7B3A">
        <w:rPr>
          <w:rFonts w:ascii="Bookman Old Style" w:hAnsi="Bookman Old Style"/>
          <w:i/>
          <w:iCs/>
          <w:sz w:val="24"/>
          <w:szCs w:val="24"/>
        </w:rPr>
        <w:t xml:space="preserve"> </w:t>
      </w:r>
      <w:proofErr w:type="spellStart"/>
      <w:r w:rsidRPr="00DB7B3A">
        <w:rPr>
          <w:rFonts w:ascii="Bookman Old Style" w:hAnsi="Bookman Old Style"/>
          <w:i/>
          <w:iCs/>
          <w:sz w:val="24"/>
          <w:szCs w:val="24"/>
        </w:rPr>
        <w:t>dan</w:t>
      </w:r>
      <w:proofErr w:type="spellEnd"/>
      <w:r w:rsidRPr="00DB7B3A">
        <w:rPr>
          <w:rFonts w:ascii="Bookman Old Style" w:hAnsi="Bookman Old Style"/>
          <w:i/>
          <w:iCs/>
          <w:sz w:val="24"/>
          <w:szCs w:val="24"/>
        </w:rPr>
        <w:t xml:space="preserve"> </w:t>
      </w:r>
      <w:proofErr w:type="spellStart"/>
      <w:r w:rsidRPr="00DB7B3A">
        <w:rPr>
          <w:rFonts w:ascii="Bookman Old Style" w:hAnsi="Bookman Old Style"/>
          <w:i/>
          <w:iCs/>
          <w:sz w:val="24"/>
          <w:szCs w:val="24"/>
        </w:rPr>
        <w:t>Kajian</w:t>
      </w:r>
      <w:proofErr w:type="spellEnd"/>
      <w:r w:rsidRPr="00DB7B3A">
        <w:rPr>
          <w:rFonts w:ascii="Bookman Old Style" w:hAnsi="Bookman Old Style"/>
          <w:i/>
          <w:iCs/>
          <w:sz w:val="24"/>
          <w:szCs w:val="24"/>
        </w:rPr>
        <w:t xml:space="preserve"> </w:t>
      </w:r>
      <w:proofErr w:type="spellStart"/>
      <w:r w:rsidRPr="00DB7B3A">
        <w:rPr>
          <w:rFonts w:ascii="Bookman Old Style" w:hAnsi="Bookman Old Style"/>
          <w:i/>
          <w:iCs/>
          <w:sz w:val="24"/>
          <w:szCs w:val="24"/>
        </w:rPr>
        <w:t>Hukum</w:t>
      </w:r>
      <w:proofErr w:type="spellEnd"/>
      <w:r w:rsidRPr="00DB7B3A">
        <w:rPr>
          <w:rFonts w:ascii="Bookman Old Style" w:hAnsi="Bookman Old Style"/>
          <w:sz w:val="24"/>
          <w:szCs w:val="24"/>
        </w:rPr>
        <w:t xml:space="preserve">, </w:t>
      </w:r>
      <w:r w:rsidRPr="00DB7B3A">
        <w:rPr>
          <w:rFonts w:ascii="Bookman Old Style" w:hAnsi="Bookman Old Style"/>
          <w:i/>
          <w:iCs/>
          <w:sz w:val="24"/>
          <w:szCs w:val="24"/>
        </w:rPr>
        <w:t>24</w:t>
      </w:r>
      <w:r w:rsidRPr="00DB7B3A">
        <w:rPr>
          <w:rFonts w:ascii="Bookman Old Style" w:hAnsi="Bookman Old Style"/>
          <w:sz w:val="24"/>
          <w:szCs w:val="24"/>
        </w:rPr>
        <w:t xml:space="preserve">(1), 4416-4423. </w:t>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{"citationItems":[{"id":"ITEM-1","itemData":{"ISBN":"0071392319","abstract":"This book explains the management principles and business philosophy behind Toyota's worldwide reputation for quality and reliability. It also shows managers in every industry how to improve business processes.","author":[{"dropping-particle":"","family":"Undang-Undang Republik Indonesia","given":"","non-dropping-particle":"","parse-names":false,"suffix":""}],"container-title":"CWL Publishing Enterprises, Inc., Madison","id":"ITEM-1","issued":{"date-parts":[["2004"]]},"page":"352","title":"Nomor 16 Tahun 2004 Tentang Kejaksaan Republik Indonesia","type":"article-journal"},"uris":["http://www.mendeley.com/documents/?uuid=b7abe480-a2b9-42f9-a3ff-32af29ace311"]}],"mendeley":{"formattedCitation":"Undang-Undang Republik Indonesia, “Nomor 16 Tahun 2004 Tentang Kejaksaan Republik Indonesia,” &lt;i&gt;CWL Publishing Enterprises, Inc., Madison&lt;/i&gt;, 2004, 352, https://peraturan.bpk.go.id/Details/40511/uu-no-16-tahun-2004.","plainTextFormattedCitation":"Undang-Undang Republik Indonesia, “Nomor 16 Tahun 2004 Tentang Kejaksaan Republik Indonesia,” CWL Publishing Enterprises, Inc., Madison, 2004, 352, https://peraturan.bpk.go.id/Details/40511/uu-no-16-tahun-2004.","previouslyFormattedCitation":"(Undang-Undang Republik Indonesia, 2004)"},"properties":{"noteIndex":9},"schema":"https://github.com/citation-style-language/schema/raw/master/csl-citation.json"}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 xml:space="preserve">Undang-Undang Republik Indonesia, “Nomor 16 Tahun 2004 Tentang Kejaksaan Republik Indonesia,” </w:t>
      </w:r>
      <w:r w:rsidRPr="00DB7B3A">
        <w:rPr>
          <w:rFonts w:ascii="Bookman Old Style" w:hAnsi="Bookman Old Style"/>
          <w:i/>
          <w:noProof/>
          <w:sz w:val="24"/>
          <w:szCs w:val="24"/>
        </w:rPr>
        <w:t>CWL Publishing Enterprises, Inc., Madison</w:t>
      </w:r>
      <w:r w:rsidRPr="00DB7B3A">
        <w:rPr>
          <w:rFonts w:ascii="Bookman Old Style" w:hAnsi="Bookman Old Style"/>
          <w:noProof/>
          <w:sz w:val="24"/>
          <w:szCs w:val="24"/>
        </w:rPr>
        <w:t>, 2004, 352, https://peraturan.bpk.go.id/Details/40511/uu-no-16-tahun-2004.</w:t>
      </w:r>
      <w:r w:rsidRPr="00DB7B3A">
        <w:rPr>
          <w:rFonts w:ascii="Bookman Old Style" w:hAnsi="Bookman Old Style"/>
          <w:sz w:val="24"/>
          <w:szCs w:val="24"/>
        </w:rPr>
        <w:fldChar w:fldCharType="end"/>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{"citationItems":[{"id":"ITEM-1","itemData":{"ISSN":"0125-9687","abstract":"Dalam melakukan tindakan justisial, Jalam menyelesaikan tindak pidana korupsi harus selalu menempuh prosedure dan ketentuan hukum yang berlaku, justru karena Pemerintah ingin tetap berjalan berdasarkan Rule of Law. Adalah menjadi pengharapan, bahwa apa yang telah digariskan oleh Ilmu Hukum atau yurisprudensi, dapat menjadi bahan sumbangan bagi perencanaan undang-undang khususnya avas dan afwezigheid van materiele wederrechtelijkheid, bagi KUHP yang akan datang, sehingga strafuitsluiting, exculpalting dan justifying ground, alasan pemaaf dan alasan pembenar itu menjadi uitsluiting yang sifatnya adalah wettelijk.","author":[{"dropping-particle":"","family":"Undang-Undang Republik Indonesia","given":"","non-dropping-particle":"","parse-names":false,"suffix":""}],"id":"ITEM-1","issued":{"date-parts":[["1999"]]},"page":"475","title":"Nomor 31 Tahun 1999 Tentang Pemberantasan Tindak Pidana Korupsi","type":"article-journal"},"uris":["http://www.mendeley.com/documents/?uuid=18570a8f-db2f-42b2-bb40-27cf1446505a"]}],"mendeley":{"formattedCitation":"Undang-Undang Republik Indonesia, “Nomor 31 Tahun 1999 Tentang Pemberantasan Tindak Pidana Korupsi,” 1999, 475.","plainTextFormattedCitation":"Undang-Undang Republik Indonesia, “Nomor 31 Tahun 1999 Tentang Pemberantasan Tindak Pidana Korupsi,” 1999, 475.","previouslyFormattedCitation":"(Undang-Undang Republik Indonesia, 1999)"},"properties":{"noteIndex":16},"schema":"https://github.com/citation-style-language/schema/raw/master/csl-citation.json"}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Undang-Undang Republik Indonesia, “Nomor 31 Tahun 1999 Tentang Pemberantasan Tindak Pidana Korupsi,” 1999, 475.</w:t>
      </w:r>
      <w:r w:rsidRPr="00DB7B3A">
        <w:rPr>
          <w:rFonts w:ascii="Bookman Old Style" w:hAnsi="Bookman Old Style"/>
          <w:sz w:val="24"/>
          <w:szCs w:val="24"/>
        </w:rPr>
        <w:fldChar w:fldCharType="end"/>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{"citationItems":[{"id":"ITEM-1","itemData":{"ISSN":"0125-9687","abstract":"Dalam melakukan tindakan justisial, Jalam menyelesaikan tindak pidana korupsi harus selalu menempuh prosedure dan ketentuan hukum yang berlaku, justru karena Pemerintah ingin tetap berjalan berdasarkan Rule of Law. Adalah menjadi pengharapan, bahwa apa yang telah digariskan oleh Ilmu Hukum atau yurisprudensi, dapat menjadi bahan sumbangan bagi perencanaan undang-undang khususnya avas dan afwezigheid van materiele wederrechtelijkheid, bagi KUHP yang akan datang, sehingga strafuitsluiting, exculpalting dan justifying ground, alasan pemaaf dan alasan pembenar itu menjadi uitsluiting yang sifatnya adalah wettelijk.","author":[{"dropping-particle":"","family":"Undang-Undang Republik Indonesia","given":"","non-dropping-particle":"","parse-names":false,"suffix":""}],"id":"ITEM-1","issued":{"date-parts":[["1999"]]},"page":"475","title":"Nomor 31 Tahun 1999 Tentang Pemberantasan Tindak Pidana Korupsi","type":"article-journal"},"uris":["http://www.mendeley.com/documents/?uuid=18570a8f-db2f-42b2-bb40-27cf1446505a"]}],"mendeley":{"formattedCitation":"Undang-Undang Republik Indonesia, “Nomor 31 Tahun 1999 Tentang Pemberantasan Tindak Pidana Korupsi,” 1999, 475.","plainTextFormattedCitation":"Undang-Undang Republik Indonesia, “Nomor 31 Tahun 1999 Tentang Pemberantasan Tindak Pidana Korupsi,” 1999, 475.","previouslyFormattedCitation":"(Undang-Undang Republik Indonesia, 1999)"},"properties":{"noteIndex":16},"schema":"https://github.com/citation-style-language/schema/raw/master/csl-citation.json"}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Undang-Undang Republik Indonesia, “Nomor 31 Tahun 1999 Tentang Pemberantasan Tindak Pidana Korupsi,” 1999, 475.</w:t>
      </w:r>
      <w:r w:rsidRPr="00DB7B3A">
        <w:rPr>
          <w:rFonts w:ascii="Bookman Old Style" w:hAnsi="Bookman Old Style"/>
          <w:sz w:val="24"/>
          <w:szCs w:val="24"/>
        </w:rPr>
        <w:fldChar w:fldCharType="end"/>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{"citationItems":[{"id":"ITEM-1","itemData":{"ISBN":"9783540773405","abstract":"Татаркин А.И., Анимица Е.Г. Формирование парадигмальной теории региональной экономики // Экономика региона. 2012. № 3. С. 11-21.","author":[{"dropping-particle":"","family":"Undang-Undang Republik Indonesia","given":"","non-dropping-particle":"","parse-names":false,"suffix":""}],"id":"ITEM-1","issued":{"date-parts":[["2006"]]},"title":"Undang-undang (UU) No. 15 Tahun 2006 Badan Pemeriksa Keuangan","type":"article-journal"},"uris":["http://www.mendeley.com/documents/?uuid=afe83227-947f-46b4-bbc3-48c7997f27f0"]}],"mendeley":{"formattedCitation":"Undang-Undang Republik Indonesia, “Undang-undang (UU) No. 15 Tahun 2006 Badan Pemeriksa Keuangan,” 2006, https://peraturan.bpk.go.id/Details/40184/uu-no-15-tahun-2006.","plainTextFormattedCitation":"Undang-Undang Republik Indonesia, “Undang-undang (UU) No. 15 Tahun 2006 Badan Pemeriksa Keuangan,” 2006, https://peraturan.bpk.go.id/Details/40184/uu-no-15-tahun-2006.","previouslyFormattedCitation":"(Undang-Undang Republik Indonesia, 2006)"},"properties":{"noteIndex":8},"schema":"https://github.com/citation-style-language/schema/raw/master/csl-citation.json"}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Undang-Undang Republik Indonesia, “Undang-undang (UU) No. 15 Tahun 2006 Badan Pemeriksa Keuangan,” 2006, https://peraturan.bpk.go.id/Details/40184/uu-no-15-tahun-2006.</w:t>
      </w:r>
      <w:r w:rsidRPr="00DB7B3A">
        <w:rPr>
          <w:rFonts w:ascii="Bookman Old Style" w:hAnsi="Bookman Old Style"/>
          <w:sz w:val="24"/>
          <w:szCs w:val="24"/>
        </w:rPr>
        <w:fldChar w:fldCharType="end"/>
      </w:r>
    </w:p>
    <w:p w:rsidR="00DB7B3A" w:rsidRDefault="00DB7B3A" w:rsidP="00DB7B3A">
      <w:pPr>
        <w:spacing w:before="240"/>
        <w:ind w:left="709" w:hanging="709"/>
        <w:jc w:val="both"/>
        <w:rPr>
          <w:rFonts w:ascii="Bookman Old Style" w:hAnsi="Bookman Old Style"/>
          <w:sz w:val="24"/>
          <w:szCs w:val="24"/>
        </w:rPr>
      </w:pPr>
      <w:r w:rsidRPr="00DB7B3A">
        <w:rPr>
          <w:rFonts w:ascii="Bookman Old Style" w:hAnsi="Bookman Old Style"/>
          <w:sz w:val="24"/>
          <w:szCs w:val="24"/>
        </w:rPr>
        <w:fldChar w:fldCharType="begin" w:fldLock="1"/>
      </w:r>
      <w:r w:rsidRPr="00DB7B3A">
        <w:rPr>
          <w:rFonts w:ascii="Bookman Old Style" w:hAnsi="Bookman Old Style"/>
          <w:sz w:val="24"/>
          <w:szCs w:val="24"/>
        </w:rPr>
        <w:instrText>ADDIN CSL_CITATION {"citationItems":[{"id":"ITEM-1","itemData":{"abstract":"Undang-undang (UU) ini mulai berlaku pada tanggal 21 November 2001. Pada saat mulai berlakunya Undang-undang ini, Pasal 209, Pasal 210, Pasal 387, Pasal 388, Pasal 415, Pasal 416, Pasal 417, Pasal 418, Pasal 419, Pasal 420, Pasal 423, Pasal 425, dan Pasal 435 Kitab Undang-undang Hukum Pidana jis. Undang-undang Nomor 1 Tahun 1946 tentang Peraturan Hukum Pidana (Berita Republik Indonesia II Nomor 9), Undang-undang Nomor 73 Tahun 1958 tentang Menyatakan Berlakunya Undang-undang Nomor 1 Tahun 1946 tentang Peraturan Hukum Pidana untuk Seluruh Wilayah Republik Indonesia dan Mengubah Kitab Undang-undang Hukum Pidana (Lembaran Negara Tahun 1958 Nomor 127, Tambahan Lembaran Negara Nomor 1660) sebagaimana telah beberapa kali diubah terakhir dengan Undang-undang Nomor 27 Tahun 1999 tentang Perubahan Kitab Undang-undang Hukum Pidana Yang Berkaitan Dengan Kejahatan Terhadap Keamanan Negara, dinyatakan tidak berlaku.”","author":[{"dropping-particle":"","family":"Undang-Undang","given":"","non-dropping-particle":"","parse-names":false,"suffix":""}],"id":"ITEM-1","issued":{"date-parts":[["1999"]]},"page":"1-20","title":"Nomor 20 Tahun 2001 Tentang Perubahan Atas Undang-Undang Nomor 31 Tahun 1999 Tentang Pemberantasan Tindak Pidana Korupsi","type":"article-journal"},"uris":["http://www.mendeley.com/documents/?uuid=81868214-ee34-49de-bd39-0aa353c00186"]}],"mendeley":{"formattedCitation":"Undang-Undang, “Nomor 20 Tahun 2001 Tentang Perubahan Atas Undang-Undang Nomor 31 Tahun 1999 Tentang Pemberantasan Tindak Pidana Korupsi,” 1999, 1–20.","plainTextFormattedCitation":"Undang-Undang, “Nomor 20 Tahun 2001 Tentang Perubahan Atas Undang-Undang Nomor 31 Tahun 1999 Tentang Pemberantasan Tindak Pidana Korupsi,” 1999, 1–20.","previouslyFormattedCitation":"(Undang-Undang, 1999)"},"properties":{"noteIndex":17},"schema":"https://github.com/citation-style-language/schema/raw/master/csl-citation.json"}</w:instrText>
      </w:r>
      <w:r w:rsidRPr="00DB7B3A">
        <w:rPr>
          <w:rFonts w:ascii="Bookman Old Style" w:hAnsi="Bookman Old Style"/>
          <w:sz w:val="24"/>
          <w:szCs w:val="24"/>
        </w:rPr>
        <w:fldChar w:fldCharType="separate"/>
      </w:r>
      <w:r w:rsidRPr="00DB7B3A">
        <w:rPr>
          <w:rFonts w:ascii="Bookman Old Style" w:hAnsi="Bookman Old Style"/>
          <w:noProof/>
          <w:sz w:val="24"/>
          <w:szCs w:val="24"/>
        </w:rPr>
        <w:t>Undang-Undang, “Nomor 20 Tahun 2001 Tentang Perubahan Atas Undang-Undang Nomor 31 Tahun 1999 Tentang Pemberantasan Tindak Pidana Korupsi,” 1999, 1–20.</w:t>
      </w:r>
      <w:r w:rsidRPr="00DB7B3A">
        <w:rPr>
          <w:rFonts w:ascii="Bookman Old Style" w:hAnsi="Bookman Old Style"/>
          <w:sz w:val="24"/>
          <w:szCs w:val="24"/>
        </w:rPr>
        <w:fldChar w:fldCharType="end"/>
      </w:r>
    </w:p>
    <w:p w:rsidR="00AE4913" w:rsidRPr="00DB7B3A" w:rsidRDefault="00AE4913" w:rsidP="00AE4913">
      <w:pPr>
        <w:pStyle w:val="FootnoteText"/>
        <w:jc w:val="both"/>
        <w:rPr>
          <w:rFonts w:ascii="Bookman Old Style" w:hAnsi="Bookman Old Style"/>
          <w:sz w:val="24"/>
          <w:szCs w:val="24"/>
        </w:rPr>
      </w:pPr>
    </w:p>
    <w:p w:rsidR="00AE4913" w:rsidRPr="00DB7B3A" w:rsidRDefault="00AE4913" w:rsidP="00991F03">
      <w:pPr>
        <w:spacing w:before="240"/>
        <w:ind w:left="709" w:hanging="709"/>
        <w:jc w:val="both"/>
        <w:rPr>
          <w:rFonts w:ascii="Bookman Old Style" w:hAnsi="Bookman Old Style"/>
          <w:sz w:val="24"/>
          <w:szCs w:val="24"/>
        </w:rPr>
      </w:pPr>
      <w:bookmarkStart w:id="0" w:name="_GoBack"/>
      <w:bookmarkEnd w:id="0"/>
    </w:p>
    <w:sectPr w:rsidR="00AE4913" w:rsidRPr="00DB7B3A" w:rsidSect="00B56EDE">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288" w:footer="706" w:gutter="0"/>
      <w:pgNumType w:start="2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4E6" w:rsidRDefault="00CB34E6" w:rsidP="00ED635A">
      <w:pPr>
        <w:spacing w:after="0" w:line="240" w:lineRule="auto"/>
      </w:pPr>
      <w:r>
        <w:separator/>
      </w:r>
    </w:p>
  </w:endnote>
  <w:endnote w:type="continuationSeparator" w:id="0">
    <w:p w:rsidR="00CB34E6" w:rsidRDefault="00CB34E6"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doni Bd BT">
    <w:panose1 w:val="02070803080706020303"/>
    <w:charset w:val="00"/>
    <w:family w:val="roman"/>
    <w:pitch w:val="variable"/>
    <w:sig w:usb0="800000AF" w:usb1="1000204A" w:usb2="00000000" w:usb3="00000000" w:csb0="00000011"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EndPr/>
    <w:sdtContent>
      <w:p w:rsidR="00C46A18" w:rsidRPr="00EB3C89" w:rsidRDefault="00C46A18">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DB7B3A">
          <w:rPr>
            <w:rFonts w:ascii="Bookman Old Style" w:hAnsi="Bookman Old Style"/>
            <w:noProof/>
            <w:sz w:val="18"/>
          </w:rPr>
          <w:t>36</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86"/>
      <w:docPartObj>
        <w:docPartGallery w:val="Page Numbers (Bottom of Page)"/>
        <w:docPartUnique/>
      </w:docPartObj>
    </w:sdtPr>
    <w:sdtEndPr/>
    <w:sdtContent>
      <w:p w:rsidR="00C46A18" w:rsidRDefault="00C46A18">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DB7B3A">
          <w:rPr>
            <w:rFonts w:ascii="Bookman Old Style" w:hAnsi="Bookman Old Style"/>
            <w:noProof/>
            <w:sz w:val="18"/>
          </w:rPr>
          <w:t>35</w:t>
        </w:r>
        <w:r w:rsidRPr="00EB3C89">
          <w:rPr>
            <w:rFonts w:ascii="Bookman Old Style" w:hAnsi="Bookman Old Style"/>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EndPr/>
    <w:sdtContent>
      <w:p w:rsidR="00C46A18" w:rsidRDefault="00C46A18">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DB7B3A">
          <w:rPr>
            <w:rFonts w:ascii="Bookman Old Style" w:hAnsi="Bookman Old Style"/>
            <w:noProof/>
            <w:sz w:val="18"/>
          </w:rPr>
          <w:t>26</w:t>
        </w:r>
        <w:r w:rsidRPr="00EB3C89">
          <w:rPr>
            <w:rFonts w:ascii="Bookman Old Style" w:hAnsi="Bookman Old Style"/>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4E6" w:rsidRDefault="00CB34E6" w:rsidP="00ED635A">
      <w:pPr>
        <w:spacing w:after="0" w:line="240" w:lineRule="auto"/>
      </w:pPr>
      <w:r>
        <w:separator/>
      </w:r>
    </w:p>
  </w:footnote>
  <w:footnote w:type="continuationSeparator" w:id="0">
    <w:p w:rsidR="00CB34E6" w:rsidRDefault="00CB34E6" w:rsidP="00ED635A">
      <w:pPr>
        <w:spacing w:after="0" w:line="240" w:lineRule="auto"/>
      </w:pPr>
      <w:r>
        <w:continuationSeparator/>
      </w:r>
    </w:p>
  </w:footnote>
  <w:footnote w:id="1">
    <w:p w:rsidR="00C46A18" w:rsidRPr="007A5512" w:rsidRDefault="00C46A18" w:rsidP="003F6D81">
      <w:pPr>
        <w:pStyle w:val="FootnoteText"/>
        <w:jc w:val="both"/>
        <w:rPr>
          <w:rFonts w:ascii="Bookman Old Style" w:hAnsi="Bookman Old Style" w:cs="Times New Roman"/>
          <w:color w:val="000000" w:themeColor="text1"/>
          <w:sz w:val="18"/>
        </w:rPr>
      </w:pP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r w:rsidR="00917402">
        <w:rPr>
          <w:rFonts w:ascii="Bookman Old Style" w:hAnsi="Bookman Old Style" w:cs="Times New Roman"/>
          <w:sz w:val="18"/>
        </w:rPr>
        <w:t xml:space="preserve"> </w:t>
      </w:r>
      <w:hyperlink r:id="rId1" w:history="1"/>
      <w:hyperlink r:id="rId2" w:history="1">
        <w:r w:rsidR="004C5060" w:rsidRPr="00475844">
          <w:rPr>
            <w:rStyle w:val="Hyperlink"/>
          </w:rPr>
          <w:t>ariman.sitompul@dharmawangsa.ac.id</w:t>
        </w:r>
      </w:hyperlink>
      <w:r w:rsidR="004C5060">
        <w:t xml:space="preserve"> </w:t>
      </w:r>
      <w:r w:rsidR="00577BA6">
        <w:rPr>
          <w:rFonts w:ascii="Bookman Old Style" w:hAnsi="Bookman Old Style" w:cs="Times New Roman"/>
          <w:sz w:val="18"/>
        </w:rPr>
        <w:t xml:space="preserve"> </w:t>
      </w:r>
    </w:p>
  </w:footnote>
  <w:footnote w:id="2">
    <w:p w:rsidR="002C7DE9" w:rsidRPr="002C7DE9" w:rsidRDefault="002C7DE9"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{"citationItems":[{"id":"ITEM-1","itemData":{"DOI":"10.31004/innovative.v5i4.20513","ISSN":"2807-4246","abstract":"Penegakan hukum pada hakikatnya tidak hanya berfokus pada pemberian sanksi terhadap pelaku kejahatan, tetapi juga bertujuan untuk mengembalikan kerugian yang diderita oleh negara atau korban secara materiil maupun immateriil. Seiring berkembangnya regulasi, Kejaksaan Republik Indonesia diberikan kewenangan lebih luas melalui pembentukan Badan Pemulihan Aset (BPA) berdasarkan Peraturan Jaksa Agung Nomor 3 Tahun 2024, yang memiliki tugas melakukan penelusuran, perampasan, dan pengembalian aset hasil tindak pidana. Namun, dalam praktiknya, proses pemulihan tersebut tidak jarang menghadapi gugatan perdata yang berpotensi menghambat upaya hukum, sebagaimana terjadi pada perkara penyitaan aset PT Fikasa Group oleh Kejaksaan Negeri Pekanbaru. Dalam konteks ini, keberadaan Jaksa Pengacara Negara (JPN) menjadi penting sebagai representasi negara dalam menyelesaikan persoalan keperdataan, baik secara litigasi maupun non-litigasi. JPN menjalankan tugas berdasarkan Peraturan Jaksa Agung Nomor 7 Tahun 2021, dengan ruang lingkup yang mencakup penegakan hukum, bantuan hukum, pertimbangan hukum, tindakan hukum lain, dan pelayanan hukum. Penelitian ini mengkaji bagaimana implementasi peran JPN dalam pemulihan kerugian negara dijalankan secara profesional, proporsional, dan akuntabel, sebagaimana dituntut oleh norma hukum dan etika penegakan hukum modern. Analisis dilakukan untuk menilai sejauh mana pelaksanaan tugas JPN sejalan dengan prinsip-prinsip tersebut serta tantangan yang dihadapi dalam praktik, khususnya pada ranah hukum perdata yang berkaitan dengan pemulihan aset negara. Penelitian ini diharapkan memberikan kontribusi bagi penguatan peran kejaksaan dalam menjaga keuangan negara secara lebih efektif dan berintegritas. Kata Kunci : Jaksa Pengacara Negara, Pemulihan Kerugian Negara, Badan Pemulihan Aset","author":[{"dropping-particle":"","family":"Pakaja","given":"Muhammad Hasan","non-dropping-particle":"","parse-names":false,"suffix":""},{"dropping-particle":"","family":"Mawuntu","given":"Ronald J.","non-dropping-particle":"","parse-names":false,"suffix":""},{"dropping-particle":"","family":"Waha","given":"Caecilia J. J.","non-dropping-particle":"","parse-names":false,"suffix":""}],"container-title":"Innovative: Journal Of Social Science Research","id":"ITEM-1","issue":"4","issued":{"date-parts":[["2025"]]},"page":"hlm. 3880-3895","title":"Implementasi Peran Jaksa Pengacara Negara Yang Profesional, Proporsional Dan Akuntabel Dalam Pemulihan Kerugian Negara","type":"article-journal","volume":"5"},"uris":["http://www.mendeley.com/documents/?uuid=d024166a-e972-4420-acf2-c51e035b9fa0"]}],"mendeley":{"formattedCitation":"Muhammad Hasan Pakaja, Ronald J. Mawuntu, dan Caecilia J. J. Waha, “Implementasi Peran Jaksa Pengacara Negara Yang Profesional, Proporsional Dan Akuntabel Dalam Pemulihan Kerugian Negara,” &lt;i&gt;Innovative: Journal Of Social Science Research&lt;/i&gt; 5, no. 4 (2025): hlm. 3880-3895, https://doi.org/10.31004/innovative.v5i4.20513.","plainTextFormattedCitation":"Muhammad Hasan Pakaja, Ronald J. Mawuntu, dan Caecilia J. J. Waha, “Implementasi Peran Jaksa Pengacara Negara Yang Profesional, Proporsional Dan Akuntabel Dalam Pemulihan Kerugian Negara,” Innovative: Journal Of Social Science Research 5, no. 4 (2025): hlm. 3880-3895, https://doi.org/10.31004/innovative.v5i4.20513.","previouslyFormattedCitation":"(Pakaja dkk., 2025)"},"properties":{"noteIndex":1},"schema":"https://github.com/citation-style-language/schema/raw/master/csl-citation.json"}</w:instrText>
      </w:r>
      <w:r w:rsidRPr="008B638F">
        <w:rPr>
          <w:rFonts w:cs="Times New Roman"/>
        </w:rPr>
        <w:fldChar w:fldCharType="separate"/>
      </w:r>
      <w:r w:rsidRPr="008B638F">
        <w:rPr>
          <w:rFonts w:cs="Times New Roman"/>
          <w:noProof/>
        </w:rPr>
        <w:t xml:space="preserve">Muhammad Hasan Pakaja, Ronald J. Mawuntu, dan Caecilia J. J. Waha, “Implementasi Peran Jaksa Pengacara Negara Yang Profesional, Proporsional Dan Akuntabel Dalam Pemulihan Kerugian Negara,” </w:t>
      </w:r>
      <w:r w:rsidRPr="008B638F">
        <w:rPr>
          <w:rFonts w:cs="Times New Roman"/>
          <w:i/>
          <w:noProof/>
        </w:rPr>
        <w:t>Innovative: Journal Of Social Science Research</w:t>
      </w:r>
      <w:r w:rsidRPr="008B638F">
        <w:rPr>
          <w:rFonts w:cs="Times New Roman"/>
          <w:noProof/>
        </w:rPr>
        <w:t xml:space="preserve"> 5, no. 4 (2025): hlm. 3880-3895, https://doi.org/10.31004/innovative.v5i4.20513.</w:t>
      </w:r>
      <w:r w:rsidRPr="008B638F">
        <w:rPr>
          <w:rFonts w:cs="Times New Roman"/>
        </w:rPr>
        <w:fldChar w:fldCharType="end"/>
      </w:r>
      <w:r>
        <w:rPr>
          <w:rFonts w:cs="Times New Roman"/>
        </w:rPr>
        <w:t xml:space="preserve"> </w:t>
      </w:r>
    </w:p>
  </w:footnote>
  <w:footnote w:id="3">
    <w:p w:rsidR="002C7DE9" w:rsidRPr="002C7DE9" w:rsidRDefault="002C7DE9"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{"citationItems":[{"id":"ITEM-1","itemData":{"abstract":"The dominus litis principle is a principle that gives authority to the public prosecutor to control criminal cases. This principle confirms that no other body has the right to carry out prosecutions other than the public prosecutor. In the legal system in Indonesia, the principle of dominus litis is confirmed in Article 1 number 25 of Law Number 16 of 2004 concerning the Prosecutor's of the Republic of Indonesia. This article states that a public prosecutor is an official who is authorized by law to act as a public prosecutor in criminal cases, especially corruption cases. Then, legal problems that arise in the field still include the practice of bribery with the aim of mitigating or even acquitting through P3 letters, fatwa issuance scandals, and exceptions to indictments to reduce sentences, so enforcement and supervision are needed to overcome this. The research uses a Normative Juridical research method and uses a Statute Approach and a Case Approach, where this research focuses on legal principles, statutory regulations, legal rules and cases related to this research. With the existence of the dominus litis principle, it is hoped that the criminal law enforcement process in Indonesia can run more effectively and efficiently. Discussion regarding law enforcement and the role of the prosecutor's commission is an urgency considering that prosecutors as pioneers are expected to be in line with practice in the field, so that in the future the prosecutor's office as the holder of the Dominus Litis principle does not happen again which makes a prosecutor get involved in handling a corruption case.","author":[{"dropping-particle":"","family":"Kalalo","given":"Gabriel","non-dropping-particle":"","parse-names":false,"suffix":""},{"dropping-particle":"","family":"Tjoneng","given":"Arman","non-dropping-particle":"","parse-names":false,"suffix":""}],"container-title":"Unes Law Review","id":"ITEM-1","issue":"4","issued":{"date-parts":[["2024"]]},"page":"9935","title":"Peran Komisi Kejaksaan Dalam Mengawasi Kinerja Kejaksaan Sebagai Pelaksana Asas Dominus Litis Dalam Penyelesaian Perkara Korupsi","type":"article-journal","volume":"6"},"uris":["http://www.mendeley.com/documents/?uuid=4f280b26-1df0-44f6-80ca-8fbe8bbf83fd"]}],"mendeley":{"formattedCitation":"Gabriel Kalalo dan Arman Tjoneng, “Peran Komisi Kejaksaan Dalam Mengawasi Kinerja Kejaksaan Sebagai Pelaksana Asas Dominus Litis Dalam Penyelesaian Perkara Korupsi,” &lt;i&gt;Unes Law Review&lt;/i&gt; 6, no. 4 (2024): 9935, https://review-unes.com/https://creativecommons.org/licenses/by/4.0/.","plainTextFormattedCitation":"Gabriel Kalalo dan Arman Tjoneng, “Peran Komisi Kejaksaan Dalam Mengawasi Kinerja Kejaksaan Sebagai Pelaksana Asas Dominus Litis Dalam Penyelesaian Perkara Korupsi,” Unes Law Review 6, no. 4 (2024): 9935, https://review-unes.com/https://creativecommons.org/licenses/by/4.0/.","previouslyFormattedCitation":"(Kalalo &amp; Tjoneng, 2024)"},"properties":{"noteIndex":2},"schema":"https://github.com/citation-style-language/schema/raw/master/csl-citation.json"}</w:instrText>
      </w:r>
      <w:r w:rsidRPr="008B638F">
        <w:rPr>
          <w:rFonts w:cs="Times New Roman"/>
        </w:rPr>
        <w:fldChar w:fldCharType="separate"/>
      </w:r>
      <w:r w:rsidRPr="008B638F">
        <w:rPr>
          <w:rFonts w:cs="Times New Roman"/>
          <w:noProof/>
        </w:rPr>
        <w:t xml:space="preserve">Gabriel Kalalo dan Arman Tjoneng, “Peran Komisi Kejaksaan Dalam Mengawasi Kinerja Kejaksaan Sebagai Pelaksana Asas Dominus Litis Dalam Penyelesaian Perkara Korupsi,” </w:t>
      </w:r>
      <w:r w:rsidRPr="008B638F">
        <w:rPr>
          <w:rFonts w:cs="Times New Roman"/>
          <w:i/>
          <w:noProof/>
        </w:rPr>
        <w:t>Unes Law Review</w:t>
      </w:r>
      <w:r w:rsidRPr="008B638F">
        <w:rPr>
          <w:rFonts w:cs="Times New Roman"/>
          <w:noProof/>
        </w:rPr>
        <w:t xml:space="preserve"> 6, no. 4 (2024): 9935, https://review-unes.com/https://creativecommons.org/licenses/by/4.0/.</w:t>
      </w:r>
      <w:r w:rsidRPr="008B638F">
        <w:rPr>
          <w:rFonts w:cs="Times New Roman"/>
        </w:rPr>
        <w:fldChar w:fldCharType="end"/>
      </w:r>
    </w:p>
  </w:footnote>
  <w:footnote w:id="4">
    <w:p w:rsidR="002C7DE9" w:rsidRPr="002C7DE9" w:rsidRDefault="002C7DE9"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{"citationItems":[{"id":"ITEM-1","itemData":{"DOI":"10.24235/mahkamah.v7i1.10413","ISSN":"1693-5063","abstract":"Salah satu cita-cita bangsa Indonesia adalah untuk menyelenggarakan pemerintahan secara benar (Good Governance) yang merefleksikan nilai-nilai demokrasi dan mengedepankan asas kepastian hukum. Terciptanya hukum yang baik dan terpadu tentu tidak akan dapat tercapai dengan begitu saja. Harus dibutuhkan suatu sistem hukum yang memang dapat menjawab dan menjadi alat untuk mencapai cita – cita bangsa tersebut. Didalam peradilan pidana sendiri, sudah dikenal dan mulai terlaksananya sebuah sistem yang dikenal dengan Sistem Peradilan Pidana Terpadu. Sebuah sistem dalam peradian pidana yang menjadi acuan demi terlaksananya suatu peradilan yang memang adil dan seperti yang diharapkan oleh masyarakat luas. Untuk sinkronisasi dalam sistem peradilan pidana sendiri, harus disinkronkan dengan 3 (tiga) sinkronisasi, yaitu sinkronisasi substansi, struktural, dan kultural. Didalam sistem peradilan pidana, ketiga pilar ini harus tetap seiring dan sinkron untuk dapat menjalankan sebuah sistem peradilan pidana yang benar – benar terpadu.","author":[{"dropping-particle":"","family":"Nursyamsudin","given":"Nursyamsudin","non-dropping-particle":"","parse-names":false,"suffix":""},{"dropping-particle":"","family":"Samud","given":"Samud","non-dropping-particle":"","parse-names":false,"suffix":""}],"container-title":"Mahkamah : Jurnal Kajian Hukum Islam","id":"ITEM-1","issue":"1","issued":{"date-parts":[["2022"]]},"page":"149","title":"Sistem Peradilan Pidana Terpadu (Integreted Criminal Justice System) Menurut Kuhap","type":"article-journal","volume":"7"},"uris":["http://www.mendeley.com/documents/?uuid=48dd0a94-2b17-4dcd-9bc3-bcfa490673a5"]}],"mendeley":{"formattedCitation":"Nursyamsudin Nursyamsudin dan Samud Samud, “Sistem Peradilan Pidana Terpadu (Integreted Criminal Justice System) Menurut Kuhap,” &lt;i&gt;Mahkamah : Jurnal Kajian Hukum Islam&lt;/i&gt; 7, no. 1 (2022): 149, https://doi.org/10.24235/mahkamah.v7i1.10413.","plainTextFormattedCitation":"Nursyamsudin Nursyamsudin dan Samud Samud, “Sistem Peradilan Pidana Terpadu (Integreted Criminal Justice System) Menurut Kuhap,” Mahkamah : Jurnal Kajian Hukum Islam 7, no. 1 (2022): 149, https://doi.org/10.24235/mahkamah.v7i1.10413.","previouslyFormattedCitation":"(Nursyamsudin &amp; Samud, 2022)"},"properties":{"noteIndex":3},"schema":"https://github.com/citation-style-language/schema/raw/master/csl-citation.json"}</w:instrText>
      </w:r>
      <w:r w:rsidRPr="008B638F">
        <w:rPr>
          <w:rFonts w:cs="Times New Roman"/>
        </w:rPr>
        <w:fldChar w:fldCharType="separate"/>
      </w:r>
      <w:r w:rsidRPr="008B638F">
        <w:rPr>
          <w:rFonts w:cs="Times New Roman"/>
          <w:noProof/>
        </w:rPr>
        <w:t xml:space="preserve">Nursyamsudin Nursyamsudin dan Samud Samud, “Sistem Peradilan Pidana Terpadu (Integreted Criminal Justice System) Menurut Kuhap,” </w:t>
      </w:r>
      <w:r w:rsidRPr="008B638F">
        <w:rPr>
          <w:rFonts w:cs="Times New Roman"/>
          <w:i/>
          <w:noProof/>
        </w:rPr>
        <w:t>Mahkamah : Jurnal Kajian Hukum Islam</w:t>
      </w:r>
      <w:r w:rsidRPr="008B638F">
        <w:rPr>
          <w:rFonts w:cs="Times New Roman"/>
          <w:noProof/>
        </w:rPr>
        <w:t xml:space="preserve"> 7, no. 1 (2022): 149, https://doi.org/10.24235/mahkamah.v7i1.10413.</w:t>
      </w:r>
      <w:r w:rsidRPr="008B638F">
        <w:rPr>
          <w:rFonts w:cs="Times New Roman"/>
        </w:rPr>
        <w:fldChar w:fldCharType="end"/>
      </w:r>
    </w:p>
  </w:footnote>
  <w:footnote w:id="5">
    <w:p w:rsidR="002C7DE9" w:rsidRDefault="002C7DE9" w:rsidP="003F6D81">
      <w:pPr>
        <w:pStyle w:val="FootnoteText"/>
        <w:jc w:val="both"/>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{"citationItems":[{"id":"ITEM-1","itemData":{"ISBN":"3021-8586","author":[{"dropping-particle":"","family":"Fitri","given":"Rizki Rahayu","non-dropping-particle":"","parse-names":false,"suffix":""},{"dropping-particle":"","family":"Fitryantica","given":"Agnes","non-dropping-particle":"","parse-names":false,"suffix":""}],"container-title":"Prosiding Seminar Hukum Aktual Fakultas Hukum Universitas Islam Indonesia","id":"ITEM-1","issue":"2","issued":{"date-parts":[["2025"]]},"page":"105-115","title":"Transformasi Konstitusional Pertanggungjawaban Presiden Dalam Sistem Ketatanegaraan Indonesia Pasca Amandemen UUD 1945","type":"article-journal","volume":"2"},"uris":["http://www.mendeley.com/documents/?uuid=46ce9d28-2c5e-4e26-831f-bfd894a6978d"]}],"mendeley":{"formattedCitation":"Rizki Rahayu Fitri dan Agnes Fitryantica, “Transformasi Konstitusional Pertanggungjawaban Presiden Dalam Sistem Ketatanegaraan Indonesia Pasca Amandemen UUD 1945,” &lt;i&gt;Prosiding Seminar Hukum Aktual Fakultas Hukum Universitas Islam Indonesia&lt;/i&gt; 2, no. 2 (2025): 105–15, https://journal.uii.ac.id/psha/article/view/44964.","plainTextFormattedCitation":"Rizki Rahayu Fitri dan Agnes Fitryantica, “Transformasi Konstitusional Pertanggungjawaban Presiden Dalam Sistem Ketatanegaraan Indonesia Pasca Amandemen UUD 1945,” Prosiding Seminar Hukum Aktual Fakultas Hukum Universitas Islam Indonesia 2, no. 2 (2025): 105–15, https://journal.uii.ac.id/psha/article/view/44964.","previouslyFormattedCitation":"(Fitri &amp; Fitryantica, 2025)"},"properties":{"noteIndex":4},"schema":"https://github.com/citation-style-language/schema/raw/master/csl-citation.json"}</w:instrText>
      </w:r>
      <w:r w:rsidRPr="008B638F">
        <w:rPr>
          <w:rFonts w:cs="Times New Roman"/>
        </w:rPr>
        <w:fldChar w:fldCharType="separate"/>
      </w:r>
      <w:r w:rsidRPr="008B638F">
        <w:rPr>
          <w:rFonts w:cs="Times New Roman"/>
          <w:noProof/>
        </w:rPr>
        <w:t xml:space="preserve">Rizki Rahayu Fitri dan Agnes Fitryantica, “Transformasi Konstitusional Pertanggungjawaban Presiden Dalam Sistem Ketatanegaraan Indonesia Pasca Amandemen UUD 1945,” </w:t>
      </w:r>
      <w:r w:rsidRPr="008B638F">
        <w:rPr>
          <w:rFonts w:cs="Times New Roman"/>
          <w:i/>
          <w:noProof/>
        </w:rPr>
        <w:t>Prosiding Seminar Hukum Aktual Fakultas Hukum Universitas Islam Indonesia</w:t>
      </w:r>
      <w:r w:rsidRPr="008B638F">
        <w:rPr>
          <w:rFonts w:cs="Times New Roman"/>
          <w:noProof/>
        </w:rPr>
        <w:t xml:space="preserve"> 2, no. 2 (2025): 105–15, https://journal.uii.ac.id/psha/article/view/44964.</w:t>
      </w:r>
      <w:r w:rsidRPr="008B638F">
        <w:rPr>
          <w:rFonts w:cs="Times New Roman"/>
        </w:rPr>
        <w:fldChar w:fldCharType="end"/>
      </w:r>
    </w:p>
  </w:footnote>
  <w:footnote w:id="6">
    <w:p w:rsidR="002C7DE9" w:rsidRPr="008B638F" w:rsidRDefault="002C7DE9"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{"citationItems":[{"id":"ITEM-1","itemData":{"DOI":"10.22219/ljih.v31i2.29381","ISSN":"25494600","abstract":"In the contemporary digital age, corruption has evolved into a common enemy, transcending borders and becoming a transnational and extraordinary crime. Within the ASEAN framework, corruption is no longer perceived as the concern of a single nation but as a shared threat to all member states and the global community at large. Despite the pervasive and deeply entrenched nature of corruption, concerted efforts have been made to combat this scourge. Among these measures, asset recovery stands out as an extraordinary tool, addressing not only the prevention and enforcement aspects but also the crucial task of repatriating ill-gotten gains to their rightful country of origin. Indonesia and the ASEAN community have entered into various treaties aimed at facilitating asset recovery, with the ASEAN Mutual Legal Assistance Treaty (AMLAT) serving as a pivotal legal instrument in this endeavor. Recognizing the transnational nature of corruption, interstate relations, and diplomatic cooperation have assumed a vital role in supporting the success of asset recovery processes. This study explores the evolving landscape of corruption in the digital age, its transformation into a transnational concern, and the collective efforts undertaken within ASEAN to combat it. By focusing on asset recovery as an extraordinary measure, it sheds light on the multifaceted dimensions of eradicating corruption and emphasizes the importance of international collaboration in returning misappropriated assets to their rightful owners.","author":[{"dropping-particle":"","family":"Arifin","given":"Ridwan","non-dropping-particle":"","parse-names":false,"suffix":""},{"dropping-particle":"","family":"Riyanto","given":"Sigit","non-dropping-particle":"","parse-names":false,"suffix":""},{"dropping-particle":"","family":"Putra","given":"Akbar Kurnia","non-dropping-particle":"","parse-names":false,"suffix":""}],"container-title":"Legality: Jurnal Ilmiah Hukum","id":"ITEM-1","issue":"2","issued":{"date-parts":[["2023"]]},"page":"329-343","title":"Collaborative Efforts in ASEAN for Global Asset Recovery Frameworks to Combat Corruption in the Digital Era","type":"article-journal","volume":"31"},"uris":["http://www.mendeley.com/documents/?uuid=9a2f4243-1205-49fc-b73d-bc015cf59372"]}],"mendeley":{"formattedCitation":"Ridwan Arifin, Sigit Riyanto, dan Akbar Kurnia Putra, “Collaborative Efforts in ASEAN for Global Asset Recovery Frameworks to Combat Corruption in the Digital Era,” &lt;i&gt;Legality: Jurnal Ilmiah Hukum&lt;/i&gt; 31, no. 2 (2023): 329–43, https://doi.org/10.22219/ljih.v31i2.29381.","plainTextFormattedCitation":"Ridwan Arifin, Sigit Riyanto, dan Akbar Kurnia Putra, “Collaborative Efforts in ASEAN for Global Asset Recovery Frameworks to Combat Corruption in the Digital Era,” Legality: Jurnal Ilmiah Hukum 31, no. 2 (2023): 329–43, https://doi.org/10.22219/ljih.v31i2.29381.","previouslyFormattedCitation":"(Arifin dkk., 2023)"},"properties":{"noteIndex":5},"schema":"https://github.com/citation-style-language/schema/raw/master/csl-citation.json"}</w:instrText>
      </w:r>
      <w:r w:rsidRPr="008B638F">
        <w:rPr>
          <w:rFonts w:cs="Times New Roman"/>
        </w:rPr>
        <w:fldChar w:fldCharType="separate"/>
      </w:r>
      <w:r w:rsidRPr="008B638F">
        <w:rPr>
          <w:rFonts w:cs="Times New Roman"/>
          <w:noProof/>
        </w:rPr>
        <w:t xml:space="preserve">Ridwan Arifin, Sigit Riyanto, dan Akbar Kurnia Putra, “Collaborative Efforts in ASEAN for Global Asset Recovery Frameworks to Combat Corruption in the Digital Era,” </w:t>
      </w:r>
      <w:r w:rsidRPr="008B638F">
        <w:rPr>
          <w:rFonts w:cs="Times New Roman"/>
          <w:i/>
          <w:noProof/>
        </w:rPr>
        <w:t>Legality: Jurnal Ilmiah Hukum</w:t>
      </w:r>
      <w:r w:rsidRPr="008B638F">
        <w:rPr>
          <w:rFonts w:cs="Times New Roman"/>
          <w:noProof/>
        </w:rPr>
        <w:t xml:space="preserve"> 31, no. 2 (2023): 329–43, https://doi.org/10.22219/ljih.v31i2.29381.</w:t>
      </w:r>
      <w:r w:rsidRPr="008B638F">
        <w:rPr>
          <w:rFonts w:cs="Times New Roman"/>
        </w:rPr>
        <w:fldChar w:fldCharType="end"/>
      </w:r>
    </w:p>
    <w:p w:rsidR="002C7DE9" w:rsidRDefault="002C7DE9" w:rsidP="003F6D81">
      <w:pPr>
        <w:pStyle w:val="FootnoteText"/>
        <w:jc w:val="both"/>
      </w:pPr>
    </w:p>
  </w:footnote>
  <w:footnote w:id="7">
    <w:p w:rsidR="002C7DE9" w:rsidRPr="00A44D9A" w:rsidRDefault="002C7DE9"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author":[{"dropping-particle":"","family":"Aulia","given":"","non-dropping-particle":"","parse-names":false,"suffix":""},{"dropping-particle":"","family":"Nur","given":"Muhammad","non-dropping-particle":"","parse-names":false,"suffix":""},{"dropping-particle":"","family":"Sulaiman","given":"","non-dropping-particle":"","parse-names":false,"suffix":""}],"container-title":"Jurnal Suloh: Fakultas Hukum Universitas Malikussaleh","id":"ITEM-1","issue":"1","issued":{"date-parts":[["2025"]]},"page":"41-66","title":"Termination Of Investigation Of Corruption Offences By The Prosecutor's Office Against The Return Of State Financial Losses","type":"article-journal","volume":"13"},"uris":["http://www.mendeley.com/documents/?uuid=a9b3e52f-b330-4f50-9268-57bcfdfb04a6"]}],"mendeley":{"formattedCitation":"Aulia, Muhammad Nur, dan Sulaiman, “Termination Of Investigation Of Corruption Offences By The Prosecutor’s Office Against The Return Of State Financial Losses,” &lt;i&gt;Jurnal Suloh: Fakultas Hukum Universitas Malikussaleh&lt;/i&gt; 13, no. 1 (2025): 41–66, https://doi.org/10.29103/sjp.v13i1.19122.","plainTextFormattedCitation":"Aulia, Muhammad Nur, dan Sulaiman, “Termination Of Investigation Of Corruption Offences By The Prosecutor’s Office Against The Return Of State Financial Losses,” Jurnal Suloh: Fakultas Hukum Universitas Malikussaleh 13, no. 1 (2025): 41–66, https://doi.org/10.29103/sjp.v13i1.19122.","previouslyFormattedCitation":"(Aulia dkk., 2025)"},"properties":{"noteIndex":6},"schema":"https://github.com/citation-style-language/schema/raw/master/csl-citation.json"}</w:instrText>
      </w:r>
      <w:r w:rsidRPr="008B638F">
        <w:rPr>
          <w:rFonts w:cs="Times New Roman"/>
        </w:rPr>
        <w:fldChar w:fldCharType="separate"/>
      </w:r>
      <w:r w:rsidRPr="008B638F">
        <w:rPr>
          <w:rFonts w:cs="Times New Roman"/>
          <w:noProof/>
        </w:rPr>
        <w:t xml:space="preserve">Aulia, Muhammad Nur, dan Sulaiman, “Termination Of Investigation Of Corruption Offences By The Prosecutor’s Office Against The Return Of State Financial Losses,” </w:t>
      </w:r>
      <w:r w:rsidRPr="008B638F">
        <w:rPr>
          <w:rFonts w:cs="Times New Roman"/>
          <w:i/>
          <w:noProof/>
        </w:rPr>
        <w:t>Jurnal Suloh: Fakultas Hukum Universitas Malikussaleh</w:t>
      </w:r>
      <w:r w:rsidRPr="008B638F">
        <w:rPr>
          <w:rFonts w:cs="Times New Roman"/>
          <w:noProof/>
        </w:rPr>
        <w:t xml:space="preserve"> 13, no. 1 (2025): 41–66, https://doi.org/10.29103/sjp.v13i1.19122.</w:t>
      </w:r>
      <w:r w:rsidRPr="008B638F">
        <w:rPr>
          <w:rFonts w:cs="Times New Roman"/>
        </w:rPr>
        <w:fldChar w:fldCharType="end"/>
      </w:r>
    </w:p>
  </w:footnote>
  <w:footnote w:id="8">
    <w:p w:rsidR="00F33E41" w:rsidRDefault="00F33E41">
      <w:pPr>
        <w:pStyle w:val="FootnoteText"/>
      </w:pPr>
      <w:r>
        <w:rPr>
          <w:rStyle w:val="FootnoteReference"/>
        </w:rPr>
        <w:footnoteRef/>
      </w:r>
      <w:r>
        <w:t xml:space="preserve"> </w:t>
      </w:r>
      <w:proofErr w:type="spellStart"/>
      <w:r>
        <w:t>Maswandi</w:t>
      </w:r>
      <w:proofErr w:type="spellEnd"/>
      <w:r>
        <w:t xml:space="preserve">, A. S. (2024). </w:t>
      </w:r>
      <w:proofErr w:type="spellStart"/>
      <w:r>
        <w:rPr>
          <w:i/>
          <w:iCs/>
        </w:rPr>
        <w:t>Metode</w:t>
      </w:r>
      <w:proofErr w:type="spellEnd"/>
      <w:r>
        <w:rPr>
          <w:i/>
          <w:iCs/>
        </w:rPr>
        <w:t xml:space="preserve"> </w:t>
      </w:r>
      <w:proofErr w:type="spellStart"/>
      <w:r>
        <w:rPr>
          <w:i/>
          <w:iCs/>
        </w:rPr>
        <w:t>Penelitian</w:t>
      </w:r>
      <w:proofErr w:type="spellEnd"/>
      <w:r>
        <w:rPr>
          <w:i/>
          <w:iCs/>
        </w:rPr>
        <w:t xml:space="preserve"> </w:t>
      </w:r>
      <w:proofErr w:type="spellStart"/>
      <w:r>
        <w:rPr>
          <w:i/>
          <w:iCs/>
        </w:rPr>
        <w:t>Hukum</w:t>
      </w:r>
      <w:proofErr w:type="spellEnd"/>
      <w:r>
        <w:rPr>
          <w:i/>
          <w:iCs/>
        </w:rPr>
        <w:t xml:space="preserve"> </w:t>
      </w:r>
      <w:proofErr w:type="spellStart"/>
      <w:r>
        <w:rPr>
          <w:i/>
          <w:iCs/>
        </w:rPr>
        <w:t>Normatif</w:t>
      </w:r>
      <w:proofErr w:type="spellEnd"/>
      <w:r>
        <w:rPr>
          <w:i/>
          <w:iCs/>
        </w:rPr>
        <w:t xml:space="preserve"> (</w:t>
      </w:r>
      <w:proofErr w:type="spellStart"/>
      <w:r>
        <w:rPr>
          <w:i/>
          <w:iCs/>
        </w:rPr>
        <w:t>Mekanisme</w:t>
      </w:r>
      <w:proofErr w:type="spellEnd"/>
      <w:r>
        <w:rPr>
          <w:i/>
          <w:iCs/>
        </w:rPr>
        <w:t xml:space="preserve"> </w:t>
      </w:r>
      <w:proofErr w:type="spellStart"/>
      <w:r>
        <w:rPr>
          <w:i/>
          <w:iCs/>
        </w:rPr>
        <w:t>Dalam</w:t>
      </w:r>
      <w:proofErr w:type="spellEnd"/>
      <w:r>
        <w:rPr>
          <w:i/>
          <w:iCs/>
        </w:rPr>
        <w:t xml:space="preserve"> </w:t>
      </w:r>
      <w:proofErr w:type="spellStart"/>
      <w:r>
        <w:rPr>
          <w:i/>
          <w:iCs/>
        </w:rPr>
        <w:t>Penulisan</w:t>
      </w:r>
      <w:proofErr w:type="spellEnd"/>
      <w:r>
        <w:rPr>
          <w:i/>
          <w:iCs/>
        </w:rPr>
        <w:t xml:space="preserve"> </w:t>
      </w:r>
      <w:proofErr w:type="spellStart"/>
      <w:r>
        <w:rPr>
          <w:i/>
          <w:iCs/>
        </w:rPr>
        <w:t>Ilmiah</w:t>
      </w:r>
      <w:proofErr w:type="spellEnd"/>
      <w:r>
        <w:rPr>
          <w:i/>
          <w:iCs/>
        </w:rPr>
        <w:t>), Mazda Media, Malang</w:t>
      </w:r>
      <w:r>
        <w:t>.</w:t>
      </w:r>
      <w:r>
        <w:t xml:space="preserve"> </w:t>
      </w:r>
    </w:p>
  </w:footnote>
  <w:footnote w:id="9">
    <w:p w:rsidR="00A44D9A" w:rsidRPr="00A44D9A" w:rsidRDefault="00A44D9A"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{"citationItems":[{"id":"ITEM-1","itemData":{"ISBN":"9786027985162","author":[{"dropping-particle":"","family":"Marzuki","given":"Mahmud","non-dropping-particle":"","parse-names":false,"suffix":""}],"container-title":"Prenada Media","id":"ITEM-1","issued":{"date-parts":[["2021"]]},"page":"hal 270","publisher":"Prenada Media","title":"Penelitian Hukum: Edisi Revisi","type":"chapter"},"uris":["http://www.mendeley.com/documents/?uuid=6174d97f-0fbb-4cda-a1e0-e52856776bf9"]}],"mendeley":{"formattedCitation":"Mahmud Marzuki, “Penelitian Hukum: Edisi Revisi,” in &lt;i&gt;Prenada Media&lt;/i&gt; (Prenada Media, 2021), hal 270, https://books.google.co.id/books?id=CKZADwAAQBAJ.","plainTextFormattedCitation":"Mahmud Marzuki, “Penelitian Hukum: Edisi Revisi,” in Prenada Media (Prenada Media, 2021), hal 270, https://books.google.co.id/books?id=CKZADwAAQBAJ.","previouslyFormattedCitation":"(Marzuki, 2021)"},"properties":{"noteIndex":7},"schema":"https://github.com/citation-style-language/schema/raw/master/csl-citation.json"}</w:instrText>
      </w:r>
      <w:r w:rsidRPr="008B638F">
        <w:rPr>
          <w:rFonts w:cs="Times New Roman"/>
        </w:rPr>
        <w:fldChar w:fldCharType="separate"/>
      </w:r>
      <w:r w:rsidRPr="008B638F">
        <w:rPr>
          <w:rFonts w:cs="Times New Roman"/>
          <w:noProof/>
        </w:rPr>
        <w:t xml:space="preserve">Mahmud Marzuki, “Penelitian Hukum: Edisi Revisi,” in </w:t>
      </w:r>
      <w:r w:rsidRPr="008B638F">
        <w:rPr>
          <w:rFonts w:cs="Times New Roman"/>
          <w:i/>
          <w:noProof/>
        </w:rPr>
        <w:t>Prenada Media</w:t>
      </w:r>
      <w:r w:rsidRPr="008B638F">
        <w:rPr>
          <w:rFonts w:cs="Times New Roman"/>
          <w:noProof/>
        </w:rPr>
        <w:t xml:space="preserve"> (Prenada Media, 2021), hal 270, https://books.google.co.id/books?id=CKZADwAAQBAJ.</w:t>
      </w:r>
      <w:r w:rsidRPr="008B638F">
        <w:rPr>
          <w:rFonts w:cs="Times New Roman"/>
        </w:rPr>
        <w:fldChar w:fldCharType="end"/>
      </w:r>
    </w:p>
  </w:footnote>
  <w:footnote w:id="10">
    <w:p w:rsidR="00A44D9A" w:rsidRPr="00A44D9A" w:rsidRDefault="00A44D9A"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{"citationItems":[{"id":"ITEM-1","itemData":{"ISBN":"9783540773405","abstract":"Татаркин А.И., Анимица Е.Г. Формирование парадигмальной теории региональной экономики // Экономика региона. 2012. № 3. С. 11-21.","author":[{"dropping-particle":"","family":"Undang-Undang Republik Indonesia","given":"","non-dropping-particle":"","parse-names":false,"suffix":""}],"id":"ITEM-1","issued":{"date-parts":[["2006"]]},"title":"Undang-undang (UU) No. 15 Tahun 2006 Badan Pemeriksa Keuangan","type":"article-journal"},"uris":["http://www.mendeley.com/documents/?uuid=afe83227-947f-46b4-bbc3-48c7997f27f0"]}],"mendeley":{"formattedCitation":"Undang-Undang Republik Indonesia, “Undang-undang (UU) No. 15 Tahun 2006 Badan Pemeriksa Keuangan,” 2006, https://peraturan.bpk.go.id/Details/40184/uu-no-15-tahun-2006.","plainTextFormattedCitation":"Undang-Undang Republik Indonesia, “Undang-undang (UU) No. 15 Tahun 2006 Badan Pemeriksa Keuangan,” 2006, https://peraturan.bpk.go.id/Details/40184/uu-no-15-tahun-2006.","previouslyFormattedCitation":"(Undang-Undang Republik Indonesia, 2006)"},"properties":{"noteIndex":8},"schema":"https://github.com/citation-style-language/schema/raw/master/csl-citation.json"}</w:instrText>
      </w:r>
      <w:r w:rsidRPr="008B638F">
        <w:rPr>
          <w:rFonts w:cs="Times New Roman"/>
        </w:rPr>
        <w:fldChar w:fldCharType="separate"/>
      </w:r>
      <w:r w:rsidRPr="008B638F">
        <w:rPr>
          <w:rFonts w:cs="Times New Roman"/>
          <w:noProof/>
        </w:rPr>
        <w:t>Undang-Undang Republik Indonesia, “Undang-undang (UU) No. 15 Tahun 2006 Badan Pemeriksa Keuangan,” 2006, https://peraturan.bpk.go.id/Details/40184/uu-no-15-tahun-2006.</w:t>
      </w:r>
      <w:r w:rsidRPr="008B638F">
        <w:rPr>
          <w:rFonts w:cs="Times New Roman"/>
        </w:rPr>
        <w:fldChar w:fldCharType="end"/>
      </w:r>
    </w:p>
  </w:footnote>
  <w:footnote w:id="11">
    <w:p w:rsidR="00A44D9A" w:rsidRPr="008B638F" w:rsidRDefault="00A44D9A"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{"citationItems":[{"id":"ITEM-1","itemData":{"ISBN":"0071392319","abstract":"This book explains the management principles and business philosophy behind Toyota's worldwide reputation for quality and reliability. It also shows managers in every industry how to improve business processes.","author":[{"dropping-particle":"","family":"Undang-Undang Republik Indonesia","given":"","non-dropping-particle":"","parse-names":false,"suffix":""}],"container-title":"CWL Publishing Enterprises, Inc., Madison","id":"ITEM-1","issued":{"date-parts":[["2004"]]},"page":"352","title":"Nomor 16 Tahun 2004 Tentang Kejaksaan Republik Indonesia","type":"article-journal"},"uris":["http://www.mendeley.com/documents/?uuid=b7abe480-a2b9-42f9-a3ff-32af29ace311"]}],"mendeley":{"formattedCitation":"Undang-Undang Republik Indonesia, “Nomor 16 Tahun 2004 Tentang Kejaksaan Republik Indonesia,” &lt;i&gt;CWL Publishing Enterprises, Inc., Madison&lt;/i&gt;, 2004, 352, https://peraturan.bpk.go.id/Details/40511/uu-no-16-tahun-2004.","plainTextFormattedCitation":"Undang-Undang Republik Indonesia, “Nomor 16 Tahun 2004 Tentang Kejaksaan Republik Indonesia,” CWL Publishing Enterprises, Inc., Madison, 2004, 352, https://peraturan.bpk.go.id/Details/40511/uu-no-16-tahun-2004.","previouslyFormattedCitation":"(Undang-Undang Republik Indonesia, 2004)"},"properties":{"noteIndex":9},"schema":"https://github.com/citation-style-language/schema/raw/master/csl-citation.json"}</w:instrText>
      </w:r>
      <w:r w:rsidRPr="008B638F">
        <w:rPr>
          <w:rFonts w:cs="Times New Roman"/>
        </w:rPr>
        <w:fldChar w:fldCharType="separate"/>
      </w:r>
      <w:r w:rsidRPr="008B638F">
        <w:rPr>
          <w:rFonts w:cs="Times New Roman"/>
          <w:noProof/>
        </w:rPr>
        <w:t xml:space="preserve">Undang-Undang Republik Indonesia, “Nomor 16 Tahun 2004 Tentang Kejaksaan Republik Indonesia,” </w:t>
      </w:r>
      <w:r w:rsidRPr="008B638F">
        <w:rPr>
          <w:rFonts w:cs="Times New Roman"/>
          <w:i/>
          <w:noProof/>
        </w:rPr>
        <w:t>CWL Publishing Enterprises, Inc., Madison</w:t>
      </w:r>
      <w:r w:rsidRPr="008B638F">
        <w:rPr>
          <w:rFonts w:cs="Times New Roman"/>
          <w:noProof/>
        </w:rPr>
        <w:t>, 2004, 352, https://peraturan.bpk.go.id/Details/40511/uu-no-16-tahun-2004.</w:t>
      </w:r>
      <w:r w:rsidRPr="008B638F">
        <w:rPr>
          <w:rFonts w:cs="Times New Roman"/>
        </w:rPr>
        <w:fldChar w:fldCharType="end"/>
      </w:r>
    </w:p>
    <w:p w:rsidR="00A44D9A" w:rsidRDefault="00A44D9A" w:rsidP="003F6D81">
      <w:pPr>
        <w:pStyle w:val="FootnoteText"/>
        <w:jc w:val="both"/>
      </w:pPr>
    </w:p>
  </w:footnote>
  <w:footnote w:id="12">
    <w:p w:rsidR="00A44D9A" w:rsidRPr="00A44D9A" w:rsidRDefault="00A44D9A" w:rsidP="003F6D81">
      <w:pPr>
        <w:pStyle w:val="FootnoteText"/>
        <w:jc w:val="both"/>
        <w:rPr>
          <w:rFonts w:cs="Times New Roman"/>
        </w:rPr>
      </w:pPr>
      <w:r>
        <w:rPr>
          <w:rStyle w:val="FootnoteReference"/>
        </w:rPr>
        <w:footnoteRef/>
      </w:r>
      <w:r>
        <w:t xml:space="preserve"> </w:t>
      </w:r>
      <w:proofErr w:type="spellStart"/>
      <w:r w:rsidR="00F33E41">
        <w:t>Sitompul</w:t>
      </w:r>
      <w:proofErr w:type="spellEnd"/>
      <w:r w:rsidR="00F33E41">
        <w:t xml:space="preserve">, A. (2022). </w:t>
      </w:r>
      <w:proofErr w:type="spellStart"/>
      <w:r w:rsidR="00F33E41">
        <w:t>Metode</w:t>
      </w:r>
      <w:proofErr w:type="spellEnd"/>
      <w:r w:rsidR="00F33E41">
        <w:t xml:space="preserve"> </w:t>
      </w:r>
      <w:proofErr w:type="spellStart"/>
      <w:r w:rsidR="00F33E41">
        <w:t>Penelitian</w:t>
      </w:r>
      <w:proofErr w:type="spellEnd"/>
      <w:r w:rsidR="00F33E41">
        <w:t xml:space="preserve"> </w:t>
      </w:r>
      <w:proofErr w:type="spellStart"/>
      <w:r w:rsidR="00F33E41">
        <w:t>Hukum</w:t>
      </w:r>
      <w:proofErr w:type="spellEnd"/>
      <w:r w:rsidR="00F33E41">
        <w:t xml:space="preserve"> </w:t>
      </w:r>
      <w:proofErr w:type="spellStart"/>
      <w:r w:rsidR="00F33E41">
        <w:t>Normatif</w:t>
      </w:r>
      <w:proofErr w:type="spellEnd"/>
      <w:r w:rsidR="00F33E41">
        <w:t xml:space="preserve"> (</w:t>
      </w:r>
      <w:proofErr w:type="spellStart"/>
      <w:r w:rsidR="00F33E41">
        <w:t>Strategi</w:t>
      </w:r>
      <w:proofErr w:type="spellEnd"/>
      <w:r w:rsidR="00F33E41">
        <w:t xml:space="preserve"> </w:t>
      </w:r>
      <w:proofErr w:type="spellStart"/>
      <w:r w:rsidR="00F33E41">
        <w:t>Praktis</w:t>
      </w:r>
      <w:proofErr w:type="spellEnd"/>
      <w:r w:rsidR="00F33E41">
        <w:t xml:space="preserve"> </w:t>
      </w:r>
      <w:proofErr w:type="spellStart"/>
      <w:r w:rsidR="00F33E41">
        <w:t>Penulisan</w:t>
      </w:r>
      <w:proofErr w:type="spellEnd"/>
      <w:r w:rsidR="00F33E41">
        <w:t xml:space="preserve"> </w:t>
      </w:r>
      <w:proofErr w:type="spellStart"/>
      <w:r w:rsidR="00F33E41">
        <w:t>Skripsi</w:t>
      </w:r>
      <w:proofErr w:type="spellEnd"/>
      <w:r w:rsidR="00F33E41">
        <w:t xml:space="preserve">, </w:t>
      </w:r>
      <w:proofErr w:type="spellStart"/>
      <w:r w:rsidR="00F33E41">
        <w:t>Tesis</w:t>
      </w:r>
      <w:proofErr w:type="spellEnd"/>
      <w:r w:rsidR="00F33E41">
        <w:t xml:space="preserve">, </w:t>
      </w:r>
      <w:proofErr w:type="spellStart"/>
      <w:r w:rsidR="00F33E41">
        <w:t>Disertasi</w:t>
      </w:r>
      <w:proofErr w:type="spellEnd"/>
      <w:r w:rsidR="00F33E41">
        <w:t>).</w:t>
      </w:r>
    </w:p>
  </w:footnote>
  <w:footnote w:id="13">
    <w:p w:rsidR="003F6D81" w:rsidRDefault="003F6D81">
      <w:pPr>
        <w:pStyle w:val="FootnoteText"/>
      </w:pPr>
      <w:r>
        <w:rPr>
          <w:rStyle w:val="FootnoteReference"/>
        </w:rPr>
        <w:footnoteRef/>
      </w:r>
      <w:r>
        <w:t xml:space="preserve"> </w:t>
      </w:r>
      <w:proofErr w:type="spellStart"/>
      <w:r>
        <w:t>Sitompul</w:t>
      </w:r>
      <w:proofErr w:type="spellEnd"/>
      <w:r>
        <w:t xml:space="preserve">, A. (2026). Legal Analysis of Savings and Loan Cooperatives with Money Laundering with the Origin of Fraud Together and Continues in Decision No. 2113 K / </w:t>
      </w:r>
      <w:proofErr w:type="spellStart"/>
      <w:r>
        <w:t>Pid.Sus</w:t>
      </w:r>
      <w:proofErr w:type="spellEnd"/>
      <w:r>
        <w:t xml:space="preserve">/2023. </w:t>
      </w:r>
      <w:r>
        <w:rPr>
          <w:i/>
          <w:iCs/>
        </w:rPr>
        <w:t xml:space="preserve">International Asia </w:t>
      </w:r>
      <w:proofErr w:type="gramStart"/>
      <w:r>
        <w:rPr>
          <w:i/>
          <w:iCs/>
        </w:rPr>
        <w:t>Of</w:t>
      </w:r>
      <w:proofErr w:type="gramEnd"/>
      <w:r>
        <w:rPr>
          <w:i/>
          <w:iCs/>
        </w:rPr>
        <w:t xml:space="preserve"> Law and Money Laundering (IAML)</w:t>
      </w:r>
      <w:r>
        <w:t xml:space="preserve">, </w:t>
      </w:r>
      <w:r>
        <w:rPr>
          <w:i/>
          <w:iCs/>
        </w:rPr>
        <w:t>5</w:t>
      </w:r>
      <w:r>
        <w:t xml:space="preserve">(1), 18–22. </w:t>
      </w:r>
      <w:hyperlink r:id="rId3" w:history="1">
        <w:r w:rsidRPr="00475844">
          <w:rPr>
            <w:rStyle w:val="Hyperlink"/>
          </w:rPr>
          <w:t>https://doi.org/10.59712/iaml.v5i1.158</w:t>
        </w:r>
      </w:hyperlink>
      <w:r>
        <w:t xml:space="preserve"> </w:t>
      </w:r>
    </w:p>
  </w:footnote>
  <w:footnote w:id="14">
    <w:p w:rsidR="00B56EDE" w:rsidRDefault="00B56EDE" w:rsidP="003F6D81">
      <w:pPr>
        <w:pStyle w:val="FootnoteText"/>
        <w:jc w:val="both"/>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{"citationItems":[{"id":"ITEM-1","itemData":{"author":[{"dropping-particle":"","family":"Erlangga","given":"Puteri Kencana Surya","non-dropping-particle":"","parse-names":false,"suffix":""},{"dropping-particle":"","family":"Mulyono","given":"","non-dropping-particle":"","parse-names":false,"suffix":""},{"dropping-particle":"","family":"Fauziah","given":"","non-dropping-particle":"","parse-names":false,"suffix":""}],"container-title":"Jurisdictie","id":"ITEM-1","issue":"2","issued":{"date-parts":[["2023"]]},"page":"137-156","title":"Efektifitas Peran Kejaksaan Dalam Pengembalian Kerugian Keuangan Negara Dalam Perkara Korupsi Melalui Pelaksanaan Putusan Pengadilan","type":"article-journal","volume":"5"},"uris":["http://www.mendeley.com/documents/?uuid=90f105c5-8ca0-4341-82c6-1092013c7d00"]}],"mendeley":{"formattedCitation":"Puteri Kencana Surya Erlangga, Mulyono, dan Fauziah, “Efektifitas Peran Kejaksaan Dalam Pengembalian Kerugian Keuangan Negara Dalam Perkara Korupsi Melalui Pelaksanaan Putusan Pengadilan,” &lt;i&gt;Jurisdictie&lt;/i&gt; 5, no. 2 (2023): 137–56, https://doi.org/10.34005/jhj.v5i2.132.","plainTextFormattedCitation":"Puteri Kencana Surya Erlangga, Mulyono, dan Fauziah, “Efektifitas Peran Kejaksaan Dalam Pengembalian Kerugian Keuangan Negara Dalam Perkara Korupsi Melalui Pelaksanaan Putusan Pengadilan,” Jurisdictie 5, no. 2 (2023): 137–56, https://doi.org/10.34005/jhj.v5i2.132.","previouslyFormattedCitation":"(Erlangga dkk., 2023)"},"properties":{"noteIndex":12},"schema":"https://github.com/citation-style-language/schema/raw/master/csl-citation.json"}</w:instrText>
      </w:r>
      <w:r w:rsidRPr="008B638F">
        <w:rPr>
          <w:rFonts w:cs="Times New Roman"/>
        </w:rPr>
        <w:fldChar w:fldCharType="separate"/>
      </w:r>
      <w:r w:rsidRPr="008B638F">
        <w:rPr>
          <w:rFonts w:cs="Times New Roman"/>
          <w:noProof/>
        </w:rPr>
        <w:t xml:space="preserve">Puteri Kencana Surya Erlangga, Mulyono, dan Fauziah, “Efektifitas Peran Kejaksaan Dalam Pengembalian Kerugian Keuangan Negara Dalam Perkara Korupsi Melalui Pelaksanaan Putusan Pengadilan,” </w:t>
      </w:r>
      <w:r w:rsidRPr="008B638F">
        <w:rPr>
          <w:rFonts w:cs="Times New Roman"/>
          <w:i/>
          <w:noProof/>
        </w:rPr>
        <w:t>Jurisdictie</w:t>
      </w:r>
      <w:r w:rsidRPr="008B638F">
        <w:rPr>
          <w:rFonts w:cs="Times New Roman"/>
          <w:noProof/>
        </w:rPr>
        <w:t xml:space="preserve"> 5, no. 2 (2023): 137–56, https://doi.org/10.34005/jhj.v5i2.132.</w:t>
      </w:r>
      <w:r w:rsidRPr="008B638F">
        <w:rPr>
          <w:rFonts w:cs="Times New Roman"/>
        </w:rPr>
        <w:fldChar w:fldCharType="end"/>
      </w:r>
      <w:r w:rsidR="003F6D81">
        <w:rPr>
          <w:rFonts w:cs="Times New Roman"/>
        </w:rPr>
        <w:t xml:space="preserve"> </w:t>
      </w:r>
      <w:proofErr w:type="spellStart"/>
      <w:proofErr w:type="gramStart"/>
      <w:r w:rsidR="003F6D81">
        <w:rPr>
          <w:rFonts w:cs="Times New Roman"/>
        </w:rPr>
        <w:t>lihat</w:t>
      </w:r>
      <w:proofErr w:type="spellEnd"/>
      <w:proofErr w:type="gramEnd"/>
      <w:r w:rsidR="003F6D81">
        <w:rPr>
          <w:rFonts w:cs="Times New Roman"/>
        </w:rPr>
        <w:t xml:space="preserve"> </w:t>
      </w:r>
      <w:proofErr w:type="spellStart"/>
      <w:r w:rsidR="003F6D81">
        <w:rPr>
          <w:rFonts w:cs="Times New Roman"/>
        </w:rPr>
        <w:t>juga</w:t>
      </w:r>
      <w:proofErr w:type="spellEnd"/>
      <w:r w:rsidR="003F6D81">
        <w:rPr>
          <w:rFonts w:cs="Times New Roman"/>
        </w:rPr>
        <w:t xml:space="preserve"> </w:t>
      </w:r>
      <w:proofErr w:type="spellStart"/>
      <w:r w:rsidR="003F6D81">
        <w:t>Sitorus</w:t>
      </w:r>
      <w:proofErr w:type="spellEnd"/>
      <w:r w:rsidR="003F6D81">
        <w:t xml:space="preserve">, N. T., &amp; </w:t>
      </w:r>
      <w:proofErr w:type="spellStart"/>
      <w:r w:rsidR="003F6D81">
        <w:t>Sitompul</w:t>
      </w:r>
      <w:proofErr w:type="spellEnd"/>
      <w:r w:rsidR="003F6D81">
        <w:t xml:space="preserve">, A. (2025). </w:t>
      </w:r>
      <w:proofErr w:type="spellStart"/>
      <w:r w:rsidR="003F6D81">
        <w:t>Maswandi</w:t>
      </w:r>
      <w:proofErr w:type="spellEnd"/>
      <w:r w:rsidR="003F6D81">
        <w:t xml:space="preserve"> Criminal Liability </w:t>
      </w:r>
      <w:proofErr w:type="gramStart"/>
      <w:r w:rsidR="003F6D81">
        <w:t>For</w:t>
      </w:r>
      <w:proofErr w:type="gramEnd"/>
      <w:r w:rsidR="003F6D81">
        <w:t xml:space="preserve"> Corruption By Public Officials: Analysis Of Decision No. 141/</w:t>
      </w:r>
      <w:proofErr w:type="spellStart"/>
      <w:r w:rsidR="003F6D81">
        <w:t>Pid</w:t>
      </w:r>
      <w:proofErr w:type="spellEnd"/>
      <w:r w:rsidR="003F6D81">
        <w:t xml:space="preserve">. </w:t>
      </w:r>
      <w:proofErr w:type="spellStart"/>
      <w:r w:rsidR="003F6D81">
        <w:t>Sus</w:t>
      </w:r>
      <w:proofErr w:type="spellEnd"/>
      <w:r w:rsidR="003F6D81">
        <w:t xml:space="preserve">-TPK/2024/PN </w:t>
      </w:r>
      <w:proofErr w:type="spellStart"/>
      <w:r w:rsidR="003F6D81">
        <w:t>Mdn</w:t>
      </w:r>
      <w:proofErr w:type="spellEnd"/>
      <w:r w:rsidR="003F6D81">
        <w:t>: Criminal Liability For Corruption By Public Officials: Analysis Of Decision No. 141/</w:t>
      </w:r>
      <w:proofErr w:type="spellStart"/>
      <w:proofErr w:type="gramStart"/>
      <w:r w:rsidR="003F6D81">
        <w:t>Pid</w:t>
      </w:r>
      <w:proofErr w:type="spellEnd"/>
      <w:proofErr w:type="gramEnd"/>
      <w:r w:rsidR="003F6D81">
        <w:t xml:space="preserve">. </w:t>
      </w:r>
      <w:proofErr w:type="spellStart"/>
      <w:r w:rsidR="003F6D81">
        <w:t>Sus</w:t>
      </w:r>
      <w:proofErr w:type="spellEnd"/>
      <w:r w:rsidR="003F6D81">
        <w:t xml:space="preserve">-TPK/2024/PN </w:t>
      </w:r>
      <w:proofErr w:type="spellStart"/>
      <w:r w:rsidR="003F6D81">
        <w:t>Mdn</w:t>
      </w:r>
      <w:proofErr w:type="spellEnd"/>
      <w:r w:rsidR="003F6D81">
        <w:t xml:space="preserve">. </w:t>
      </w:r>
      <w:r w:rsidR="003F6D81">
        <w:rPr>
          <w:i/>
          <w:iCs/>
        </w:rPr>
        <w:t xml:space="preserve">Pena </w:t>
      </w:r>
      <w:proofErr w:type="spellStart"/>
      <w:r w:rsidR="003F6D81">
        <w:rPr>
          <w:i/>
          <w:iCs/>
        </w:rPr>
        <w:t>Justisia</w:t>
      </w:r>
      <w:proofErr w:type="spellEnd"/>
      <w:r w:rsidR="003F6D81">
        <w:rPr>
          <w:i/>
          <w:iCs/>
        </w:rPr>
        <w:t xml:space="preserve">: Media </w:t>
      </w:r>
      <w:proofErr w:type="spellStart"/>
      <w:r w:rsidR="003F6D81">
        <w:rPr>
          <w:i/>
          <w:iCs/>
        </w:rPr>
        <w:t>Komunikasi</w:t>
      </w:r>
      <w:proofErr w:type="spellEnd"/>
      <w:r w:rsidR="003F6D81">
        <w:rPr>
          <w:i/>
          <w:iCs/>
        </w:rPr>
        <w:t xml:space="preserve"> </w:t>
      </w:r>
      <w:proofErr w:type="spellStart"/>
      <w:r w:rsidR="003F6D81">
        <w:rPr>
          <w:i/>
          <w:iCs/>
        </w:rPr>
        <w:t>dan</w:t>
      </w:r>
      <w:proofErr w:type="spellEnd"/>
      <w:r w:rsidR="003F6D81">
        <w:rPr>
          <w:i/>
          <w:iCs/>
        </w:rPr>
        <w:t xml:space="preserve"> </w:t>
      </w:r>
      <w:proofErr w:type="spellStart"/>
      <w:r w:rsidR="003F6D81">
        <w:rPr>
          <w:i/>
          <w:iCs/>
        </w:rPr>
        <w:t>Kajian</w:t>
      </w:r>
      <w:proofErr w:type="spellEnd"/>
      <w:r w:rsidR="003F6D81">
        <w:rPr>
          <w:i/>
          <w:iCs/>
        </w:rPr>
        <w:t xml:space="preserve"> </w:t>
      </w:r>
      <w:proofErr w:type="spellStart"/>
      <w:r w:rsidR="003F6D81">
        <w:rPr>
          <w:i/>
          <w:iCs/>
        </w:rPr>
        <w:t>Hukum</w:t>
      </w:r>
      <w:proofErr w:type="spellEnd"/>
      <w:r w:rsidR="003F6D81">
        <w:t xml:space="preserve">, </w:t>
      </w:r>
      <w:r w:rsidR="003F6D81">
        <w:rPr>
          <w:i/>
          <w:iCs/>
        </w:rPr>
        <w:t>24</w:t>
      </w:r>
      <w:r w:rsidR="003F6D81">
        <w:t>(1), 4416-4423.</w:t>
      </w:r>
      <w:r w:rsidR="003F6D81">
        <w:t xml:space="preserve"> </w:t>
      </w:r>
    </w:p>
  </w:footnote>
  <w:footnote w:id="15">
    <w:p w:rsidR="00B56EDE" w:rsidRPr="00B56EDE" w:rsidRDefault="00B56EDE"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{"citationItems":[{"id":"ITEM-1","itemData":{"DOI":"10.31004/innovative.v5i4.20513","ISSN":"2807-4246","abstract":"Penegakan hukum pada hakikatnya tidak hanya berfokus pada pemberian sanksi terhadap pelaku kejahatan, tetapi juga bertujuan untuk mengembalikan kerugian yang diderita oleh negara atau korban secara materiil maupun immateriil. Seiring berkembangnya regulasi, Kejaksaan Republik Indonesia diberikan kewenangan lebih luas melalui pembentukan Badan Pemulihan Aset (BPA) berdasarkan Peraturan Jaksa Agung Nomor 3 Tahun 2024, yang memiliki tugas melakukan penelusuran, perampasan, dan pengembalian aset hasil tindak pidana. Namun, dalam praktiknya, proses pemulihan tersebut tidak jarang menghadapi gugatan perdata yang berpotensi menghambat upaya hukum, sebagaimana terjadi pada perkara penyitaan aset PT Fikasa Group oleh Kejaksaan Negeri Pekanbaru. Dalam konteks ini, keberadaan Jaksa Pengacara Negara (JPN) menjadi penting sebagai representasi negara dalam menyelesaikan persoalan keperdataan, baik secara litigasi maupun non-litigasi. JPN menjalankan tugas berdasarkan Peraturan Jaksa Agung Nomor 7 Tahun 2021, dengan ruang lingkup yang mencakup penegakan hukum, bantuan hukum, pertimbangan hukum, tindakan hukum lain, dan pelayanan hukum. Penelitian ini mengkaji bagaimana implementasi peran JPN dalam pemulihan kerugian negara dijalankan secara profesional, proporsional, dan akuntabel, sebagaimana dituntut oleh norma hukum dan etika penegakan hukum modern. Analisis dilakukan untuk menilai sejauh mana pelaksanaan tugas JPN sejalan dengan prinsip-prinsip tersebut serta tantangan yang dihadapi dalam praktik, khususnya pada ranah hukum perdata yang berkaitan dengan pemulihan aset negara. Penelitian ini diharapkan memberikan kontribusi bagi penguatan peran kejaksaan dalam menjaga keuangan negara secara lebih efektif dan berintegritas. Kata Kunci : Jaksa Pengacara Negara, Pemulihan Kerugian Negara, Badan Pemulihan Aset","author":[{"dropping-particle":"","family":"Pakaja","given":"Muhammad Hasan","non-dropping-particle":"","parse-names":false,"suffix":""},{"dropping-particle":"","family":"Mawuntu","given":"Ronald J.","non-dropping-particle":"","parse-names":false,"suffix":""},{"dropping-particle":"","family":"Waha","given":"Caecilia J. J.","non-dropping-particle":"","parse-names":false,"suffix":""}],"container-title":"Innovative: Journal Of Social Science Research","id":"ITEM-1","issue":"4","issued":{"date-parts":[["2025"]]},"page":"hlm. 3880-3895","title":"Implementasi Peran Jaksa Pengacara Negara Yang Profesional, Proporsional Dan Akuntabel Dalam Pemulihan Kerugian Negara","type":"article-journal","volume":"5"},"uris":["http://www.mendeley.com/documents/?uuid=d024166a-e972-4420-acf2-c51e035b9fa0"]}],"mendeley":{"formattedCitation":"Pakaja, Mawuntu, dan Waha, “Implementasi Peran Jaksa Pengacara Negara Yang Profesional, Proporsional Dan Akuntabel Dalam Pemulihan Kerugian Negara.”","plainTextFormattedCitation":"Pakaja, Mawuntu, dan Waha, “Implementasi Peran Jaksa Pengacara Negara Yang Profesional, Proporsional Dan Akuntabel Dalam Pemulihan Kerugian Negara.”","previouslyFormattedCitation":"(Pakaja dkk., 2025)"},"properties":{"noteIndex":13},"schema":"https://github.com/citation-style-language/schema/raw/master/csl-citation.json"}</w:instrText>
      </w:r>
      <w:r w:rsidRPr="008B638F">
        <w:rPr>
          <w:rFonts w:cs="Times New Roman"/>
        </w:rPr>
        <w:fldChar w:fldCharType="separate"/>
      </w:r>
      <w:r w:rsidRPr="008B638F">
        <w:rPr>
          <w:rFonts w:cs="Times New Roman"/>
          <w:noProof/>
        </w:rPr>
        <w:t>Pakaja, Mawuntu, dan Waha, “Implementasi Peran Jaksa Pengacara Negara Yang Profesional, Proporsional Dan Akuntabel Dalam Pemulihan Kerugian Negara.”</w:t>
      </w:r>
      <w:r w:rsidRPr="008B638F">
        <w:rPr>
          <w:rFonts w:cs="Times New Roman"/>
        </w:rPr>
        <w:fldChar w:fldCharType="end"/>
      </w:r>
    </w:p>
  </w:footnote>
  <w:footnote w:id="16">
    <w:p w:rsidR="00253019" w:rsidRDefault="00253019">
      <w:pPr>
        <w:pStyle w:val="FootnoteText"/>
      </w:pPr>
      <w:r>
        <w:rPr>
          <w:rStyle w:val="FootnoteReference"/>
        </w:rPr>
        <w:footnoteRef/>
      </w:r>
      <w:r>
        <w:t xml:space="preserve"> </w:t>
      </w:r>
      <w:proofErr w:type="spellStart"/>
      <w:r>
        <w:t>Sitompul</w:t>
      </w:r>
      <w:proofErr w:type="spellEnd"/>
      <w:r>
        <w:t xml:space="preserve">, A., &amp; </w:t>
      </w:r>
      <w:proofErr w:type="spellStart"/>
      <w:r>
        <w:t>Sipayung</w:t>
      </w:r>
      <w:proofErr w:type="spellEnd"/>
      <w:r>
        <w:t xml:space="preserve">, I. M. (2025). The Development of the Death Penalty for Corruption Committed by Judges in Indonesia. </w:t>
      </w:r>
      <w:r>
        <w:rPr>
          <w:i/>
          <w:iCs/>
        </w:rPr>
        <w:t>Pakistan Journal of Criminology</w:t>
      </w:r>
      <w:r>
        <w:t xml:space="preserve">, </w:t>
      </w:r>
      <w:r>
        <w:rPr>
          <w:i/>
          <w:iCs/>
        </w:rPr>
        <w:t>17</w:t>
      </w:r>
      <w:r>
        <w:t>(02), 95-109.</w:t>
      </w:r>
      <w:r>
        <w:t xml:space="preserve"> </w:t>
      </w:r>
    </w:p>
  </w:footnote>
  <w:footnote w:id="17">
    <w:p w:rsidR="00B56EDE" w:rsidRPr="008B638F" w:rsidRDefault="00B56EDE"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{"citationItems":[{"id":"ITEM-1","itemData":{"abstract":"The dominus litis principle is a principle that gives authority to the public prosecutor to control criminal cases. This principle confirms that no other body has the right to carry out prosecutions other than the public prosecutor. In the legal system in Indonesia, the principle of dominus litis is confirmed in Article 1 number 25 of Law Number 16 of 2004 concerning the Prosecutor's of the Republic of Indonesia. This article states that a public prosecutor is an official who is authorized by law to act as a public prosecutor in criminal cases, especially corruption cases. Then, legal problems that arise in the field still include the practice of bribery with the aim of mitigating or even acquitting through P3 letters, fatwa issuance scandals, and exceptions to indictments to reduce sentences, so enforcement and supervision are needed to overcome this. The research uses a Normative Juridical research method and uses a Statute Approach and a Case Approach, where this research focuses on legal principles, statutory regulations, legal rules and cases related to this research. With the existence of the dominus litis principle, it is hoped that the criminal law enforcement process in Indonesia can run more effectively and efficiently. Discussion regarding law enforcement and the role of the prosecutor's commission is an urgency considering that prosecutors as pioneers are expected to be in line with practice in the field, so that in the future the prosecutor's office as the holder of the Dominus Litis principle does not happen again which makes a prosecutor get involved in handling a corruption case.","author":[{"dropping-particle":"","family":"Kalalo","given":"Gabriel","non-dropping-particle":"","parse-names":false,"suffix":""},{"dropping-particle":"","family":"Tjoneng","given":"Arman","non-dropping-particle":"","parse-names":false,"suffix":""}],"container-title":"Unes Law Review","id":"ITEM-1","issue":"4","issued":{"date-parts":[["2024"]]},"page":"9935","title":"Peran Komisi Kejaksaan Dalam Mengawasi Kinerja Kejaksaan Sebagai Pelaksana Asas Dominus Litis Dalam Penyelesaian Perkara Korupsi","type":"article-journal","volume":"6"},"uris":["http://www.mendeley.com/documents/?uuid=4f280b26-1df0-44f6-80ca-8fbe8bbf83fd"]}],"mendeley":{"formattedCitation":"Kalalo dan Tjoneng, “Peran Komisi Kejaksaan Dalam Mengawasi Kinerja Kejaksaan Sebagai Pelaksana Asas Dominus Litis Dalam Penyelesaian Perkara Korupsi.”","plainTextFormattedCitation":"Kalalo dan Tjoneng, “Peran Komisi Kejaksaan Dalam Mengawasi Kinerja Kejaksaan Sebagai Pelaksana Asas Dominus Litis Dalam Penyelesaian Perkara Korupsi.”","previouslyFormattedCitation":"(Kalalo &amp; Tjoneng, 2024)"},"properties":{"noteIndex":14},"schema":"https://github.com/citation-style-language/schema/raw/master/csl-citation.json"}</w:instrText>
      </w:r>
      <w:r w:rsidRPr="008B638F">
        <w:rPr>
          <w:rFonts w:cs="Times New Roman"/>
        </w:rPr>
        <w:fldChar w:fldCharType="separate"/>
      </w:r>
      <w:r w:rsidRPr="008B638F">
        <w:rPr>
          <w:rFonts w:cs="Times New Roman"/>
          <w:noProof/>
        </w:rPr>
        <w:t>Kalalo dan Tjoneng, “Peran Komisi Kejaksaan Dalam Mengawasi Kinerja Kejaksaan Sebagai Pelaksana Asas Dominus Litis Dalam Penyelesaian Perkara Korupsi.”</w:t>
      </w:r>
      <w:r w:rsidRPr="008B638F">
        <w:rPr>
          <w:rFonts w:cs="Times New Roman"/>
        </w:rPr>
        <w:fldChar w:fldCharType="end"/>
      </w:r>
      <w:r w:rsidR="00253019">
        <w:rPr>
          <w:rFonts w:cs="Times New Roman"/>
        </w:rPr>
        <w:t xml:space="preserve"> </w:t>
      </w:r>
      <w:proofErr w:type="spellStart"/>
      <w:r w:rsidR="00253019">
        <w:rPr>
          <w:rFonts w:cs="Times New Roman"/>
        </w:rPr>
        <w:t>Lihat</w:t>
      </w:r>
      <w:proofErr w:type="spellEnd"/>
      <w:r w:rsidR="00253019">
        <w:rPr>
          <w:rFonts w:cs="Times New Roman"/>
        </w:rPr>
        <w:t xml:space="preserve"> </w:t>
      </w:r>
      <w:proofErr w:type="spellStart"/>
      <w:r w:rsidR="00253019">
        <w:rPr>
          <w:rFonts w:cs="Times New Roman"/>
        </w:rPr>
        <w:t>juga</w:t>
      </w:r>
      <w:proofErr w:type="spellEnd"/>
      <w:r w:rsidR="00253019">
        <w:rPr>
          <w:rFonts w:cs="Times New Roman"/>
        </w:rPr>
        <w:t xml:space="preserve"> </w:t>
      </w:r>
      <w:proofErr w:type="spellStart"/>
      <w:r w:rsidR="00253019">
        <w:t>Sitompul</w:t>
      </w:r>
      <w:proofErr w:type="spellEnd"/>
      <w:r w:rsidR="00253019">
        <w:t xml:space="preserve">, A. (2024). The Role Of The State In Conducting Civil Suits In The Results Of Corruption Controlled By The Heirs Of The Perpetrators Of Corruption. </w:t>
      </w:r>
      <w:r w:rsidR="00253019">
        <w:rPr>
          <w:i/>
          <w:iCs/>
        </w:rPr>
        <w:t xml:space="preserve">Pena </w:t>
      </w:r>
      <w:proofErr w:type="spellStart"/>
      <w:r w:rsidR="00253019">
        <w:rPr>
          <w:i/>
          <w:iCs/>
        </w:rPr>
        <w:t>Justisia</w:t>
      </w:r>
      <w:proofErr w:type="spellEnd"/>
      <w:r w:rsidR="00253019">
        <w:rPr>
          <w:i/>
          <w:iCs/>
        </w:rPr>
        <w:t xml:space="preserve">: Media </w:t>
      </w:r>
      <w:proofErr w:type="spellStart"/>
      <w:r w:rsidR="00253019">
        <w:rPr>
          <w:i/>
          <w:iCs/>
        </w:rPr>
        <w:t>Komunikasi</w:t>
      </w:r>
      <w:proofErr w:type="spellEnd"/>
      <w:r w:rsidR="00253019">
        <w:rPr>
          <w:i/>
          <w:iCs/>
        </w:rPr>
        <w:t xml:space="preserve"> </w:t>
      </w:r>
      <w:proofErr w:type="spellStart"/>
      <w:r w:rsidR="00253019">
        <w:rPr>
          <w:i/>
          <w:iCs/>
        </w:rPr>
        <w:t>dan</w:t>
      </w:r>
      <w:proofErr w:type="spellEnd"/>
      <w:r w:rsidR="00253019">
        <w:rPr>
          <w:i/>
          <w:iCs/>
        </w:rPr>
        <w:t xml:space="preserve"> </w:t>
      </w:r>
      <w:proofErr w:type="spellStart"/>
      <w:r w:rsidR="00253019">
        <w:rPr>
          <w:i/>
          <w:iCs/>
        </w:rPr>
        <w:t>Kajian</w:t>
      </w:r>
      <w:proofErr w:type="spellEnd"/>
      <w:r w:rsidR="00253019">
        <w:rPr>
          <w:i/>
          <w:iCs/>
        </w:rPr>
        <w:t xml:space="preserve"> </w:t>
      </w:r>
      <w:proofErr w:type="spellStart"/>
      <w:r w:rsidR="00253019">
        <w:rPr>
          <w:i/>
          <w:iCs/>
        </w:rPr>
        <w:t>Hukum</w:t>
      </w:r>
      <w:proofErr w:type="spellEnd"/>
      <w:r w:rsidR="00253019">
        <w:t xml:space="preserve">, </w:t>
      </w:r>
      <w:r w:rsidR="00253019">
        <w:rPr>
          <w:i/>
          <w:iCs/>
        </w:rPr>
        <w:t>23</w:t>
      </w:r>
      <w:r w:rsidR="00253019">
        <w:t>(002), 1614-1623.</w:t>
      </w:r>
      <w:r w:rsidR="00253019">
        <w:t xml:space="preserve"> </w:t>
      </w:r>
    </w:p>
    <w:p w:rsidR="00B56EDE" w:rsidRDefault="00B56EDE" w:rsidP="003F6D81">
      <w:pPr>
        <w:pStyle w:val="FootnoteText"/>
        <w:jc w:val="both"/>
      </w:pPr>
    </w:p>
  </w:footnote>
  <w:footnote w:id="18">
    <w:p w:rsidR="00B56EDE" w:rsidRPr="008B638F" w:rsidRDefault="00B56EDE"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{"citationItems":[{"id":"ITEM-1","itemData":{"author":[{"dropping-particle":"","family":"Sofian","given":"Ahmad","non-dropping-particle":"","parse-names":false,"suffix":""}],"container-title":"PAMPAS: Journal of Criminal Law","id":"ITEM-1","issue":"2","issued":{"date-parts":[["2025"]]},"page":"183-217","title":"Penguatan Kapasitas Jaksa Melalui Koordinasi dalam Proses Penyidikan dan Penuntutan dalam RUU KUHAP: Studi Perbandingan AS, Belanda dan Indonesia","type":"article-journal","volume":"6"},"uris":["http://www.mendeley.com/documents/?uuid=9cba2d2c-c934-4731-8125-35341da7526c"]}],"mendeley":{"formattedCitation":"Ahmad Sofian, “Penguatan Kapasitas Jaksa Melalui Koordinasi dalam Proses Penyidikan dan Penuntutan dalam RUU KUHAP: Studi Perbandingan AS, Belanda dan Indonesia,” &lt;i&gt;PAMPAS: Journal of Criminal Law&lt;/i&gt; 6, no. 2 (2025): 183–217, https://online-journal.unja.ac.id/Pampas/article/view/42540.","plainTextFormattedCitation":"Ahmad Sofian, “Penguatan Kapasitas Jaksa Melalui Koordinasi dalam Proses Penyidikan dan Penuntutan dalam RUU KUHAP: Studi Perbandingan AS, Belanda dan Indonesia,” PAMPAS: Journal of Criminal Law 6, no. 2 (2025): 183–217, https://online-journal.unja.ac.id/Pampas/article/view/42540.","previouslyFormattedCitation":"(Sofian, 2025)"},"properties":{"noteIndex":15},"schema":"https://github.com/citation-style-language/schema/raw/master/csl-citation.json"}</w:instrText>
      </w:r>
      <w:r w:rsidRPr="008B638F">
        <w:rPr>
          <w:rFonts w:cs="Times New Roman"/>
        </w:rPr>
        <w:fldChar w:fldCharType="separate"/>
      </w:r>
      <w:r w:rsidRPr="008B638F">
        <w:rPr>
          <w:rFonts w:cs="Times New Roman"/>
          <w:noProof/>
        </w:rPr>
        <w:t xml:space="preserve">Ahmad Sofian, “Penguatan Kapasitas Jaksa Melalui Koordinasi dalam Proses Penyidikan dan Penuntutan dalam RUU KUHAP: Studi Perbandingan AS, Belanda dan Indonesia,” </w:t>
      </w:r>
      <w:r w:rsidRPr="008B638F">
        <w:rPr>
          <w:rFonts w:cs="Times New Roman"/>
          <w:i/>
          <w:noProof/>
        </w:rPr>
        <w:t>PAMPAS: Journal of Criminal Law</w:t>
      </w:r>
      <w:r w:rsidRPr="008B638F">
        <w:rPr>
          <w:rFonts w:cs="Times New Roman"/>
          <w:noProof/>
        </w:rPr>
        <w:t xml:space="preserve"> 6, no. 2 (2025): 183–217, https://online-journal.unja.ac.id/Pampas/article/view/42540.</w:t>
      </w:r>
      <w:r w:rsidRPr="008B638F">
        <w:rPr>
          <w:rFonts w:cs="Times New Roman"/>
        </w:rPr>
        <w:fldChar w:fldCharType="end"/>
      </w:r>
      <w:r w:rsidR="00F33E41">
        <w:rPr>
          <w:rFonts w:cs="Times New Roman"/>
        </w:rPr>
        <w:t xml:space="preserve"> </w:t>
      </w:r>
      <w:proofErr w:type="spellStart"/>
      <w:proofErr w:type="gramStart"/>
      <w:r w:rsidR="00F33E41">
        <w:rPr>
          <w:rFonts w:cs="Times New Roman"/>
        </w:rPr>
        <w:t>lihat</w:t>
      </w:r>
      <w:proofErr w:type="spellEnd"/>
      <w:proofErr w:type="gramEnd"/>
      <w:r w:rsidR="00F33E41">
        <w:rPr>
          <w:rFonts w:cs="Times New Roman"/>
        </w:rPr>
        <w:t xml:space="preserve"> </w:t>
      </w:r>
      <w:proofErr w:type="spellStart"/>
      <w:r w:rsidR="00F33E41">
        <w:rPr>
          <w:rFonts w:cs="Times New Roman"/>
        </w:rPr>
        <w:t>juga</w:t>
      </w:r>
      <w:proofErr w:type="spellEnd"/>
      <w:r w:rsidR="00F33E41">
        <w:rPr>
          <w:rFonts w:cs="Times New Roman"/>
        </w:rPr>
        <w:t xml:space="preserve"> </w:t>
      </w:r>
      <w:proofErr w:type="spellStart"/>
      <w:r w:rsidR="00F33E41">
        <w:t>Sitompul</w:t>
      </w:r>
      <w:proofErr w:type="spellEnd"/>
      <w:r w:rsidR="00F33E41">
        <w:t xml:space="preserve">, A. (2025). The Dynamics of Corruption in Indonesia </w:t>
      </w:r>
      <w:proofErr w:type="gramStart"/>
      <w:r w:rsidR="00F33E41">
        <w:t>Between</w:t>
      </w:r>
      <w:proofErr w:type="gramEnd"/>
      <w:r w:rsidR="00F33E41">
        <w:t xml:space="preserve"> Prevention and Eradication. </w:t>
      </w:r>
      <w:r w:rsidR="00F33E41">
        <w:rPr>
          <w:i/>
          <w:iCs/>
        </w:rPr>
        <w:t>LEMKAPI: Journal of Law &amp; Policy Studies</w:t>
      </w:r>
      <w:r w:rsidR="00F33E41">
        <w:t xml:space="preserve">, </w:t>
      </w:r>
      <w:r w:rsidR="00F33E41">
        <w:rPr>
          <w:i/>
          <w:iCs/>
        </w:rPr>
        <w:t>1</w:t>
      </w:r>
      <w:r w:rsidR="00F33E41">
        <w:t xml:space="preserve">(1), 22–29. Retrieved from </w:t>
      </w:r>
      <w:hyperlink r:id="rId4" w:history="1">
        <w:r w:rsidR="00F33E41" w:rsidRPr="00475844">
          <w:rPr>
            <w:rStyle w:val="Hyperlink"/>
          </w:rPr>
          <w:t>https://lemkapi.com/index.php/lkp/article/view/7</w:t>
        </w:r>
      </w:hyperlink>
      <w:r w:rsidR="00F33E41">
        <w:t xml:space="preserve"> </w:t>
      </w:r>
    </w:p>
    <w:p w:rsidR="00B56EDE" w:rsidRPr="003F6D81" w:rsidRDefault="00B56EDE" w:rsidP="003F6D81">
      <w:pPr>
        <w:pStyle w:val="FootnoteText"/>
        <w:jc w:val="both"/>
        <w:rPr>
          <w:rFonts w:cs="Times New Roman"/>
        </w:rPr>
      </w:pPr>
      <w:r w:rsidRPr="008B638F">
        <w:rPr>
          <w:rStyle w:val="FootnoteReference"/>
          <w:rFonts w:cs="Times New Roman"/>
        </w:rPr>
        <w:footnoteRef/>
      </w:r>
      <w:r w:rsidRPr="008B638F">
        <w:rPr>
          <w:rFonts w:cs="Times New Roman"/>
        </w:rPr>
        <w:t xml:space="preserve"> </w:t>
      </w:r>
      <w:r w:rsidRPr="008B638F">
        <w:rPr>
          <w:rFonts w:cs="Times New Roman"/>
        </w:rPr>
        <w:fldChar w:fldCharType="begin" w:fldLock="1"/>
      </w:r>
      <w:r w:rsidRPr="008B638F">
        <w:rPr>
          <w:rFonts w:cs="Times New Roman"/>
        </w:rPr>
        <w:instrText>ADDIN CSL_CITATION {"citationItems":[{"id":"ITEM-1","itemData":{"ISSN":"0125-9687","abstract":"Dalam melakukan tindakan justisial, Jalam menyelesaikan tindak pidana korupsi harus selalu menempuh prosedure dan ketentuan hukum yang berlaku, justru karena Pemerintah ingin tetap berjalan berdasarkan Rule of Law. Adalah menjadi pengharapan, bahwa apa yang telah digariskan oleh Ilmu Hukum atau yurisprudensi, dapat menjadi bahan sumbangan bagi perencanaan undang-undang khususnya avas dan afwezigheid van materiele wederrechtelijkheid, bagi KUHP yang akan datang, sehingga strafuitsluiting, exculpalting dan justifying ground, alasan pemaaf dan alasan pembenar itu menjadi uitsluiting yang sifatnya adalah wettelijk.","author":[{"dropping-particle":"","family":"Undang-Undang Republik Indonesia","given":"","non-dropping-particle":"","parse-names":false,"suffix":""}],"id":"ITEM-1","issued":{"date-parts":[["1999"]]},"page":"475","title":"Nomor 31 Tahun 1999 Tentang Pemberantasan Tindak Pidana Korupsi","type":"article-journal"},"uris":["http://www.mendeley.com/documents/?uuid=18570a8f-db2f-42b2-bb40-27cf1446505a"]}],"mendeley":{"formattedCitation":"Undang-Undang Republik Indonesia, “Nomor 31 Tahun 1999 Tentang Pemberantasan Tindak Pidana Korupsi,” 1999, 475.","plainTextFormattedCitation":"Undang-Undang Republik Indonesia, “Nomor 31 Tahun 1999 Tentang Pemberantasan Tindak Pidana Korupsi,” 1999, 475.","previouslyFormattedCitation":"(Undang-Undang Republik Indonesia, 1999)"},"properties":{"noteIndex":16},"schema":"https://github.com/citation-style-language/schema/raw/master/csl-citation.json"}</w:instrText>
      </w:r>
      <w:r w:rsidRPr="008B638F">
        <w:rPr>
          <w:rFonts w:cs="Times New Roman"/>
        </w:rPr>
        <w:fldChar w:fldCharType="separate"/>
      </w:r>
      <w:r w:rsidRPr="008B638F">
        <w:rPr>
          <w:rFonts w:cs="Times New Roman"/>
          <w:noProof/>
        </w:rPr>
        <w:t>Undang-Undang Republik Indonesia, “Nomor 31 Tahun 1999 Tentang Pemberantasan Tindak Pidana Korupsi,” 1999, 475.</w:t>
      </w:r>
      <w:r w:rsidRPr="008B638F">
        <w:rPr>
          <w:rFonts w:cs="Times New Roman"/>
        </w:rPr>
        <w:fldChar w:fldCharType="end"/>
      </w:r>
    </w:p>
  </w:footnote>
  <w:footnote w:id="19">
    <w:p w:rsidR="003F6D81" w:rsidRPr="003F6D81" w:rsidRDefault="003F6D81"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{"citationItems":[{"id":"ITEM-1","itemData":{"ISSN":"0125-9687","abstract":"Dalam melakukan tindakan justisial, Jalam menyelesaikan tindak pidana korupsi harus selalu menempuh prosedure dan ketentuan hukum yang berlaku, justru karena Pemerintah ingin tetap berjalan berdasarkan Rule of Law. Adalah menjadi pengharapan, bahwa apa yang telah digariskan oleh Ilmu Hukum atau yurisprudensi, dapat menjadi bahan sumbangan bagi perencanaan undang-undang khususnya avas dan afwezigheid van materiele wederrechtelijkheid, bagi KUHP yang akan datang, sehingga strafuitsluiting, exculpalting dan justifying ground, alasan pemaaf dan alasan pembenar itu menjadi uitsluiting yang sifatnya adalah wettelijk.","author":[{"dropping-particle":"","family":"Undang-Undang Republik Indonesia","given":"","non-dropping-particle":"","parse-names":false,"suffix":""}],"id":"ITEM-1","issued":{"date-parts":[["1999"]]},"page":"475","title":"Nomor 31 Tahun 1999 Tentang Pemberantasan Tindak Pidana Korupsi","type":"article-journal"},"uris":["http://www.mendeley.com/documents/?uuid=18570a8f-db2f-42b2-bb40-27cf1446505a"]}],"mendeley":{"formattedCitation":"Undang-Undang Republik Indonesia, “Nomor 31 Tahun 1999 Tentang Pemberantasan Tindak Pidana Korupsi,” 1999, 475.","plainTextFormattedCitation":"Undang-Undang Republik Indonesia, “Nomor 31 Tahun 1999 Tentang Pemberantasan Tindak Pidana Korupsi,” 1999, 475.","previouslyFormattedCitation":"(Undang-Undang Republik Indonesia, 1999)"},"properties":{"noteIndex":16},"schema":"https://github.com/citation-style-language/schema/raw/master/csl-citation.json"}</w:instrText>
      </w:r>
      <w:r w:rsidRPr="008B638F">
        <w:rPr>
          <w:rFonts w:cs="Times New Roman"/>
        </w:rPr>
        <w:fldChar w:fldCharType="separate"/>
      </w:r>
      <w:r w:rsidRPr="008B638F">
        <w:rPr>
          <w:rFonts w:cs="Times New Roman"/>
          <w:noProof/>
        </w:rPr>
        <w:t>Undang-Undang Republik Indonesia, “Nomor 31 Tahun 1999 Tentang Pemberantasan Tindak Pidana Korupsi,” 1999, 475.</w:t>
      </w:r>
      <w:r w:rsidRPr="008B638F">
        <w:rPr>
          <w:rFonts w:cs="Times New Roman"/>
        </w:rPr>
        <w:fldChar w:fldCharType="end"/>
      </w:r>
    </w:p>
  </w:footnote>
  <w:footnote w:id="20">
    <w:p w:rsidR="003F6D81" w:rsidRPr="003F6D81" w:rsidRDefault="003F6D81"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{"citationItems":[{"id":"ITEM-1","itemData":{"abstract":"Undang-undang (UU) ini mulai berlaku pada tanggal 21 November 2001. Pada saat mulai berlakunya Undang-undang ini, Pasal 209, Pasal 210, Pasal 387, Pasal 388, Pasal 415, Pasal 416, Pasal 417, Pasal 418, Pasal 419, Pasal 420, Pasal 423, Pasal 425, dan Pasal 435 Kitab Undang-undang Hukum Pidana jis. Undang-undang Nomor 1 Tahun 1946 tentang Peraturan Hukum Pidana (Berita Republik Indonesia II Nomor 9), Undang-undang Nomor 73 Tahun 1958 tentang Menyatakan Berlakunya Undang-undang Nomor 1 Tahun 1946 tentang Peraturan Hukum Pidana untuk Seluruh Wilayah Republik Indonesia dan Mengubah Kitab Undang-undang Hukum Pidana (Lembaran Negara Tahun 1958 Nomor 127, Tambahan Lembaran Negara Nomor 1660) sebagaimana telah beberapa kali diubah terakhir dengan Undang-undang Nomor 27 Tahun 1999 tentang Perubahan Kitab Undang-undang Hukum Pidana Yang Berkaitan Dengan Kejahatan Terhadap Keamanan Negara, dinyatakan tidak berlaku.”","author":[{"dropping-particle":"","family":"Undang-Undang","given":"","non-dropping-particle":"","parse-names":false,"suffix":""}],"id":"ITEM-1","issued":{"date-parts":[["1999"]]},"page":"1-20","title":"Nomor 20 Tahun 2001 Tentang Perubahan Atas Undang-Undang Nomor 31 Tahun 1999 Tentang Pemberantasan Tindak Pidana Korupsi","type":"article-journal"},"uris":["http://www.mendeley.com/documents/?uuid=81868214-ee34-49de-bd39-0aa353c00186"]}],"mendeley":{"formattedCitation":"Undang-Undang, “Nomor 20 Tahun 2001 Tentang Perubahan Atas Undang-Undang Nomor 31 Tahun 1999 Tentang Pemberantasan Tindak Pidana Korupsi,” 1999, 1–20.","plainTextFormattedCitation":"Undang-Undang, “Nomor 20 Tahun 2001 Tentang Perubahan Atas Undang-Undang Nomor 31 Tahun 1999 Tentang Pemberantasan Tindak Pidana Korupsi,” 1999, 1–20.","previouslyFormattedCitation":"(Undang-Undang, 1999)"},"properties":{"noteIndex":17},"schema":"https://github.com/citation-style-language/schema/raw/master/csl-citation.json"}</w:instrText>
      </w:r>
      <w:r w:rsidRPr="008B638F">
        <w:rPr>
          <w:rFonts w:cs="Times New Roman"/>
        </w:rPr>
        <w:fldChar w:fldCharType="separate"/>
      </w:r>
      <w:r w:rsidRPr="008B638F">
        <w:rPr>
          <w:rFonts w:cs="Times New Roman"/>
          <w:noProof/>
        </w:rPr>
        <w:t>Undang-Undang, “Nomor 20 Tahun 2001 Tentang Perubahan Atas Undang-Undang Nomor 31 Tahun 1999 Tentang Pemberantasan Tindak Pidana Korupsi,” 1999, 1–20.</w:t>
      </w:r>
      <w:r w:rsidRPr="008B638F">
        <w:rPr>
          <w:rFonts w:cs="Times New Roman"/>
        </w:rPr>
        <w:fldChar w:fldCharType="end"/>
      </w:r>
    </w:p>
  </w:footnote>
  <w:footnote w:id="21">
    <w:p w:rsidR="003F6D81" w:rsidRPr="00F33E41" w:rsidRDefault="003F6D81"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{"citationItems":[{"id":"ITEM-1","itemData":{"abstract":"This study aims to determine the effect of business capital assistance and entrepreneurship training in increasing the growth of MSMEs. In this study, the author uses research with a quantitative approach and survey methods. A total of 96 MSME entrepreneurs were used as respondents and selected purposively. Data were analyzed using multiple linear regression. The results of the study show the following: First, Business capital and training have a significant effect on increasing MSME businesses together. Second, Business capital has a significant effect on increasing MSME development partially. Third, Training has a significant effect on increasing MSME development partially. ABSTRAK","author":[{"dropping-particle":"","family":"Rasyda","given":"Helmy Febrianto","non-dropping-particle":"","parse-names":false,"suffix":""},{"dropping-particle":"","family":"Chandra","given":"Tofik Yanuar","non-dropping-particle":"","parse-names":false,"suffix":""},{"dropping-particle":"","family":"Ismed","given":"Mohamad","non-dropping-particle":"","parse-names":false,"suffix":""}],"container-title":"Jurnal Penelitian dan Pengkajian Ilmiah","id":"ITEM-1","issue":"8","issued":{"date-parts":[["2025"]]},"page":"305-316","title":"Kewenangan Jaksa Penuntut Umum dalam Penyelesaian Pengembalian Kerugian Keuangan Negara pada Perkara Tindak Pidana Korupsi","type":"article-journal","volume":"2"},"uris":["http://www.mendeley.com/documents/?uuid=fb723106-f85f-46cc-b05b-1ebd529d41ee"]}],"mendeley":{"formattedCitation":"Helmy Febrianto Rasyda, Tofik Yanuar Chandra, dan Mohamad Ismed, “Kewenangan Jaksa Penuntut Umum dalam Penyelesaian Pengembalian Kerugian Keuangan Negara pada Perkara Tindak Pidana Korupsi,” &lt;i&gt;Jurnal Penelitian dan Pengkajian Ilmiah&lt;/i&gt; 2, no. 8 (2025): 305–16, https://doi.org/10.62335/cendekia.v3i2.2417.","plainTextFormattedCitation":"Helmy Febrianto Rasyda, Tofik Yanuar Chandra, dan Mohamad Ismed, “Kewenangan Jaksa Penuntut Umum dalam Penyelesaian Pengembalian Kerugian Keuangan Negara pada Perkara Tindak Pidana Korupsi,” Jurnal Penelitian dan Pengkajian Ilmiah 2, no. 8 (2025): 305–16, https://doi.org/10.62335/cendekia.v3i2.2417.","previouslyFormattedCitation":"(Rasyda dkk., 2025)"},"properties":{"noteIndex":18},"schema":"https://github.com/citation-style-language/schema/raw/master/csl-citation.json"}</w:instrText>
      </w:r>
      <w:r w:rsidRPr="008B638F">
        <w:rPr>
          <w:rFonts w:cs="Times New Roman"/>
        </w:rPr>
        <w:fldChar w:fldCharType="separate"/>
      </w:r>
      <w:r w:rsidRPr="008B638F">
        <w:rPr>
          <w:rFonts w:cs="Times New Roman"/>
          <w:noProof/>
        </w:rPr>
        <w:t xml:space="preserve">Helmy Febrianto Rasyda, Tofik Yanuar Chandra, dan Mohamad Ismed, “Kewenangan Jaksa Penuntut Umum dalam Penyelesaian Pengembalian Kerugian Keuangan Negara pada Perkara Tindak Pidana Korupsi,” </w:t>
      </w:r>
      <w:r w:rsidRPr="008B638F">
        <w:rPr>
          <w:rFonts w:cs="Times New Roman"/>
          <w:i/>
          <w:noProof/>
        </w:rPr>
        <w:t>Jurnal Penelitian dan Pengkajian Ilmiah</w:t>
      </w:r>
      <w:r w:rsidRPr="008B638F">
        <w:rPr>
          <w:rFonts w:cs="Times New Roman"/>
          <w:noProof/>
        </w:rPr>
        <w:t xml:space="preserve"> 2, no. 8 (2025): 305–16, https://doi.org/10.62335/cendekia.v3i2.2417.</w:t>
      </w:r>
      <w:r w:rsidRPr="008B638F">
        <w:rPr>
          <w:rFonts w:cs="Times New Roman"/>
        </w:rPr>
        <w:fldChar w:fldCharType="end"/>
      </w:r>
      <w:r w:rsidR="00F33E41">
        <w:rPr>
          <w:rFonts w:cs="Times New Roman"/>
        </w:rPr>
        <w:t xml:space="preserve"> </w:t>
      </w:r>
      <w:proofErr w:type="spellStart"/>
      <w:proofErr w:type="gramStart"/>
      <w:r w:rsidR="00F33E41">
        <w:rPr>
          <w:rFonts w:cs="Times New Roman"/>
        </w:rPr>
        <w:t>lihat</w:t>
      </w:r>
      <w:proofErr w:type="spellEnd"/>
      <w:proofErr w:type="gramEnd"/>
      <w:r w:rsidR="00F33E41">
        <w:rPr>
          <w:rFonts w:cs="Times New Roman"/>
        </w:rPr>
        <w:t xml:space="preserve"> </w:t>
      </w:r>
      <w:proofErr w:type="spellStart"/>
      <w:r w:rsidR="00F33E41">
        <w:rPr>
          <w:rFonts w:cs="Times New Roman"/>
        </w:rPr>
        <w:t>juga</w:t>
      </w:r>
      <w:proofErr w:type="spellEnd"/>
      <w:r w:rsidR="00F33E41">
        <w:rPr>
          <w:rFonts w:cs="Times New Roman"/>
        </w:rPr>
        <w:t xml:space="preserve"> </w:t>
      </w:r>
      <w:proofErr w:type="spellStart"/>
      <w:r w:rsidR="00F33E41">
        <w:t>Sitompul</w:t>
      </w:r>
      <w:proofErr w:type="spellEnd"/>
      <w:r w:rsidR="00F33E41">
        <w:t xml:space="preserve">, M. N. ., &amp; </w:t>
      </w:r>
      <w:proofErr w:type="spellStart"/>
      <w:r w:rsidR="00F33E41">
        <w:t>Sitompul</w:t>
      </w:r>
      <w:proofErr w:type="spellEnd"/>
      <w:r w:rsidR="00F33E41">
        <w:t xml:space="preserve">, A. . (2023). Application of money laundering in corruption cases in maintaining state stability. </w:t>
      </w:r>
      <w:r w:rsidR="00F33E41">
        <w:rPr>
          <w:i/>
          <w:iCs/>
        </w:rPr>
        <w:t>The International Journal of Politics and Sociology Research</w:t>
      </w:r>
      <w:r w:rsidR="00F33E41">
        <w:t xml:space="preserve">, </w:t>
      </w:r>
      <w:r w:rsidR="00F33E41">
        <w:rPr>
          <w:i/>
          <w:iCs/>
        </w:rPr>
        <w:t>11</w:t>
      </w:r>
      <w:r w:rsidR="00F33E41">
        <w:t xml:space="preserve">(1), 94–102. </w:t>
      </w:r>
      <w:hyperlink r:id="rId5" w:history="1">
        <w:r w:rsidR="00F33E41" w:rsidRPr="00475844">
          <w:rPr>
            <w:rStyle w:val="Hyperlink"/>
          </w:rPr>
          <w:t>https://doi.org/10.35335/ijopsor.v11i1.121</w:t>
        </w:r>
      </w:hyperlink>
      <w:r w:rsidR="00F33E41">
        <w:t xml:space="preserve"> </w:t>
      </w:r>
    </w:p>
  </w:footnote>
  <w:footnote w:id="22">
    <w:p w:rsidR="003F6D81" w:rsidRPr="003F6D81" w:rsidRDefault="003F6D81"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{"citationItems":[{"id":"ITEM-1","itemData":{"DOI":"10.31004/innovative.v5i4.20513","ISSN":"2807-4246","abstract":"Penegakan hukum pada hakikatnya tidak hanya berfokus pada pemberian sanksi terhadap pelaku kejahatan, tetapi juga bertujuan untuk mengembalikan kerugian yang diderita oleh negara atau korban secara materiil maupun immateriil. Seiring berkembangnya regulasi, Kejaksaan Republik Indonesia diberikan kewenangan lebih luas melalui pembentukan Badan Pemulihan Aset (BPA) berdasarkan Peraturan Jaksa Agung Nomor 3 Tahun 2024, yang memiliki tugas melakukan penelusuran, perampasan, dan pengembalian aset hasil tindak pidana. Namun, dalam praktiknya, proses pemulihan tersebut tidak jarang menghadapi gugatan perdata yang berpotensi menghambat upaya hukum, sebagaimana terjadi pada perkara penyitaan aset PT Fikasa Group oleh Kejaksaan Negeri Pekanbaru. Dalam konteks ini, keberadaan Jaksa Pengacara Negara (JPN) menjadi penting sebagai representasi negara dalam menyelesaikan persoalan keperdataan, baik secara litigasi maupun non-litigasi. JPN menjalankan tugas berdasarkan Peraturan Jaksa Agung Nomor 7 Tahun 2021, dengan ruang lingkup yang mencakup penegakan hukum, bantuan hukum, pertimbangan hukum, tindakan hukum lain, dan pelayanan hukum. Penelitian ini mengkaji bagaimana implementasi peran JPN dalam pemulihan kerugian negara dijalankan secara profesional, proporsional, dan akuntabel, sebagaimana dituntut oleh norma hukum dan etika penegakan hukum modern. Analisis dilakukan untuk menilai sejauh mana pelaksanaan tugas JPN sejalan dengan prinsip-prinsip tersebut serta tantangan yang dihadapi dalam praktik, khususnya pada ranah hukum perdata yang berkaitan dengan pemulihan aset negara. Penelitian ini diharapkan memberikan kontribusi bagi penguatan peran kejaksaan dalam menjaga keuangan negara secara lebih efektif dan berintegritas. Kata Kunci : Jaksa Pengacara Negara, Pemulihan Kerugian Negara, Badan Pemulihan Aset","author":[{"dropping-particle":"","family":"Pakaja","given":"Muhammad Hasan","non-dropping-particle":"","parse-names":false,"suffix":""},{"dropping-particle":"","family":"Mawuntu","given":"Ronald J.","non-dropping-particle":"","parse-names":false,"suffix":""},{"dropping-particle":"","family":"Waha","given":"Caecilia J. J.","non-dropping-particle":"","parse-names":false,"suffix":""}],"container-title":"Innovative: Journal Of Social Science Research","id":"ITEM-1","issue":"4","issued":{"date-parts":[["2025"]]},"page":"hlm. 3880-3895","title":"Implementasi Peran Jaksa Pengacara Negara Yang Profesional, Proporsional Dan Akuntabel Dalam Pemulihan Kerugian Negara","type":"article-journal","volume":"5"},"uris":["http://www.mendeley.com/documents/?uuid=d024166a-e972-4420-acf2-c51e035b9fa0"]}],"mendeley":{"formattedCitation":"Pakaja, Mawuntu, dan Waha, “Implementasi Peran Jaksa Pengacara Negara Yang Profesional, Proporsional Dan Akuntabel Dalam Pemulihan Kerugian Negara.”","plainTextFormattedCitation":"Pakaja, Mawuntu, dan Waha, “Implementasi Peran Jaksa Pengacara Negara Yang Profesional, Proporsional Dan Akuntabel Dalam Pemulihan Kerugian Negara.”","previouslyFormattedCitation":"(Pakaja dkk., 2025)"},"properties":{"noteIndex":19},"schema":"https://github.com/citation-style-language/schema/raw/master/csl-citation.json"}</w:instrText>
      </w:r>
      <w:r w:rsidRPr="008B638F">
        <w:rPr>
          <w:rFonts w:cs="Times New Roman"/>
        </w:rPr>
        <w:fldChar w:fldCharType="separate"/>
      </w:r>
      <w:r w:rsidRPr="008B638F">
        <w:rPr>
          <w:rFonts w:cs="Times New Roman"/>
          <w:noProof/>
        </w:rPr>
        <w:t>Pakaja, Mawuntu, dan Waha, “Implementasi Peran Jaksa Pengacara Negara Yang Profesional, Proporsional Dan Akuntabel Dalam Pemulihan Kerugian Negara.”</w:t>
      </w:r>
      <w:r w:rsidRPr="008B638F">
        <w:rPr>
          <w:rFonts w:cs="Times New Roman"/>
        </w:rPr>
        <w:fldChar w:fldCharType="end"/>
      </w:r>
    </w:p>
  </w:footnote>
  <w:footnote w:id="23">
    <w:p w:rsidR="003F6D81" w:rsidRPr="008B638F" w:rsidRDefault="003F6D81"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author":[{"dropping-particle":"","family":"Aulia","given":"","non-dropping-particle":"","parse-names":false,"suffix":""},{"dropping-particle":"","family":"Nur","given":"Muhammad","non-dropping-particle":"","parse-names":false,"suffix":""},{"dropping-particle":"","family":"Sulaiman","given":"","non-dropping-particle":"","parse-names":false,"suffix":""}],"container-title":"Jurnal Suloh: Fakultas Hukum Universitas Malikussaleh","id":"ITEM-1","issue":"1","issued":{"date-parts":[["2025"]]},"page":"41-66","title":"Termination Of Investigation Of Corruption Offences By The Prosecutor's Office Against The Return Of State Financial Losses","type":"article-journal","volume":"13"},"uris":["http://www.mendeley.com/documents/?uuid=a9b3e52f-b330-4f50-9268-57bcfdfb04a6"]}],"mendeley":{"formattedCitation":"Aulia, Nur, dan Sulaiman, “Termination Of Investigation Of Corruption Offences By The Prosecutor’s Office Against The Return Of State Financial Losses.”","plainTextFormattedCitation":"Aulia, Nur, dan Sulaiman, “Termination Of Investigation Of Corruption Offences By The Prosecutor’s Office Against The Return Of State Financial Losses.”","previouslyFormattedCitation":"(Aulia dkk., 2025)"},"properties":{"noteIndex":20},"schema":"https://github.com/citation-style-language/schema/raw/master/csl-citation.json"}</w:instrText>
      </w:r>
      <w:r w:rsidRPr="008B638F">
        <w:rPr>
          <w:rFonts w:cs="Times New Roman"/>
        </w:rPr>
        <w:fldChar w:fldCharType="separate"/>
      </w:r>
      <w:r w:rsidRPr="008B638F">
        <w:rPr>
          <w:rFonts w:cs="Times New Roman"/>
          <w:noProof/>
        </w:rPr>
        <w:t>Aulia, Nur, dan Sulaiman, “Termination Of Investigation Of Corruption Offences By The Prosecutor’s Office Against The Return Of State Financial Losses.”</w:t>
      </w:r>
      <w:r w:rsidRPr="008B638F">
        <w:rPr>
          <w:rFonts w:cs="Times New Roman"/>
        </w:rPr>
        <w:fldChar w:fldCharType="end"/>
      </w:r>
    </w:p>
    <w:p w:rsidR="003F6D81" w:rsidRDefault="003F6D81" w:rsidP="003F6D81">
      <w:pPr>
        <w:pStyle w:val="FootnoteText"/>
        <w:jc w:val="both"/>
      </w:pPr>
    </w:p>
  </w:footnote>
  <w:footnote w:id="24">
    <w:p w:rsidR="003F6D81" w:rsidRPr="003F6D81" w:rsidRDefault="003F6D81"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{"citationItems":[{"id":"ITEM-1","itemData":{"author":[{"dropping-particle":"","family":"Salsabila","given":"","non-dropping-particle":"","parse-names":false,"suffix":""},{"dropping-particle":"","family":"Wahyudi","given":"Tri Slamet","non-dropping-particle":"","parse-names":false,"suffix":""}],"container-title":"Jurnal Masalah-Masalah Hukum","id":"ITEM-1","issue":"1","issued":{"date-parts":[["2022"]]},"page":"61-70","title":"Peran Kejaksaan Dalam Penyelesaian Perkara Tindak Pidana Korupsi Menggunakan Pendekatan Restorative Justice","type":"article-journal","volume":"51"},"uris":["http://www.mendeley.com/documents/?uuid=f8d90e36-e0e6-4efd-94f0-28b0a6891668"]}],"mendeley":{"formattedCitation":"Salsabila dan Tri Slamet Wahyudi, “Peran Kejaksaan Dalam Penyelesaian Perkara Tindak Pidana Korupsi Menggunakan Pendekatan Restorative Justice,” &lt;i&gt;Jurnal Masalah-Masalah Hukum&lt;/i&gt; 51, no. 1 (2022): 61–70, https://doi.org/10.14710/mmh.51.1.2022.61-70.","plainTextFormattedCitation":"Salsabila dan Tri Slamet Wahyudi, “Peran Kejaksaan Dalam Penyelesaian Perkara Tindak Pidana Korupsi Menggunakan Pendekatan Restorative Justice,” Jurnal Masalah-Masalah Hukum 51, no. 1 (2022): 61–70, https://doi.org/10.14710/mmh.51.1.2022.61-70.","previouslyFormattedCitation":"(Salsabila &amp; Wahyudi, 2022)"},"properties":{"noteIndex":21},"schema":"https://github.com/citation-style-language/schema/raw/master/csl-citation.json"}</w:instrText>
      </w:r>
      <w:r w:rsidRPr="008B638F">
        <w:rPr>
          <w:rFonts w:cs="Times New Roman"/>
        </w:rPr>
        <w:fldChar w:fldCharType="separate"/>
      </w:r>
      <w:r w:rsidRPr="008B638F">
        <w:rPr>
          <w:rFonts w:cs="Times New Roman"/>
          <w:noProof/>
        </w:rPr>
        <w:t xml:space="preserve">Salsabila dan Tri Slamet Wahyudi, “Peran Kejaksaan Dalam Penyelesaian Perkara Tindak Pidana Korupsi Menggunakan Pendekatan Restorative Justice,” </w:t>
      </w:r>
      <w:r w:rsidRPr="008B638F">
        <w:rPr>
          <w:rFonts w:cs="Times New Roman"/>
          <w:i/>
          <w:noProof/>
        </w:rPr>
        <w:t>Jurnal Masalah-Masalah Hukum</w:t>
      </w:r>
      <w:r w:rsidRPr="008B638F">
        <w:rPr>
          <w:rFonts w:cs="Times New Roman"/>
          <w:noProof/>
        </w:rPr>
        <w:t xml:space="preserve"> 51, no. 1 (2022): 61–70, https://doi.org/10.14710/mmh.51.1.2022.61-70.</w:t>
      </w:r>
      <w:r w:rsidRPr="008B638F">
        <w:rPr>
          <w:rFonts w:cs="Times New Roman"/>
        </w:rPr>
        <w:fldChar w:fldCharType="end"/>
      </w:r>
    </w:p>
  </w:footnote>
  <w:footnote w:id="25">
    <w:p w:rsidR="003F6D81" w:rsidRDefault="003F6D81" w:rsidP="003F6D81">
      <w:pPr>
        <w:pStyle w:val="FootnoteText"/>
        <w:jc w:val="both"/>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{"citationItems":[{"id":"ITEM-1","itemData":{"DOI":"10.56370/jhlg.v3i7.279","abstract":"Kerugian keuangan negara merupakan bentuk tindak pidana korupsi yang telah ditetapkan dalam peraturan perundang-undangan. Wujud pengembalian kerugian tersebut dilakukan dengan mekanisme perampasan aset. Namun, hal tersebut tidak diatur secara eksplisit dalam KUHP, UU No. 31 Tahun 1999 jo. UU No. 20 Tahun 2001 tentang Pemberantasan Tindak Pidana Korupsi, UU No. 17 Tahun 2003 tentang Keuangan Negara maupun dalam UU No. 1 Tahun 2004 tentang Perbendaharaan Negara. Hadirnya Pusat Pemulihan Aset (PPA) kejaksaan sebagai sentral pemulihan aset berperan melaksanakan kegiatan pemulihan aset, melakukan pendampingan, serta mengoordinasikan dan memastikan setiap tahap pemulihan aset dapat terintegrasi dengan mewujudkan pemerintahan yang baik.","author":[{"dropping-particle":"","family":"Kurniawan","given":"Fajri","non-dropping-particle":"","parse-names":false,"suffix":""},{"dropping-particle":"","family":"Alghazali","given":"Muhammad Syammakh Daffa","non-dropping-particle":"","parse-names":false,"suffix":""},{"dropping-particle":"","family":"Fadhila","given":"Afdhal","non-dropping-particle":"","parse-names":false,"suffix":""}],"container-title":"Jurnal Hukum Lex Generalis","id":"ITEM-1","issue":"7","issued":{"date-parts":[["2022"]]},"page":"565-588","title":"Determinasi Upaya Pemulihan Kerugian Keuangan Negara Melalui Peran Kejaksaan terhadap Perampasan Aset Tindak Pidana Korupsi","type":"article-journal","volume":"3"},"uris":["http://www.mendeley.com/documents/?uuid=31ef9b73-339d-4b6c-9e04-562d9d0f554a"]}],"mendeley":{"formattedCitation":"Fajri Kurniawan, Muhammad Syammakh Daffa Alghazali, dan Afdhal Fadhila, “Determinasi Upaya Pemulihan Kerugian Keuangan Negara Melalui Peran Kejaksaan terhadap Perampasan Aset Tindak Pidana Korupsi,” &lt;i&gt;Jurnal Hukum Lex Generalis&lt;/i&gt; 3, no. 7 (2022): 565–88, https://doi.org/10.56370/jhlg.v3i7.279.","plainTextFormattedCitation":"Fajri Kurniawan, Muhammad Syammakh Daffa Alghazali, dan Afdhal Fadhila, “Determinasi Upaya Pemulihan Kerugian Keuangan Negara Melalui Peran Kejaksaan terhadap Perampasan Aset Tindak Pidana Korupsi,” Jurnal Hukum Lex Generalis 3, no. 7 (2022): 565–88, https://doi.org/10.56370/jhlg.v3i7.279.","previouslyFormattedCitation":"(Kurniawan dkk., 2022)"},"properties":{"noteIndex":22},"schema":"https://github.com/citation-style-language/schema/raw/master/csl-citation.json"}</w:instrText>
      </w:r>
      <w:r w:rsidRPr="008B638F">
        <w:rPr>
          <w:rFonts w:cs="Times New Roman"/>
        </w:rPr>
        <w:fldChar w:fldCharType="separate"/>
      </w:r>
      <w:r w:rsidRPr="008B638F">
        <w:rPr>
          <w:rFonts w:cs="Times New Roman"/>
          <w:noProof/>
        </w:rPr>
        <w:t xml:space="preserve">Fajri Kurniawan, Muhammad Syammakh Daffa Alghazali, dan Afdhal Fadhila, “Determinasi Upaya Pemulihan Kerugian Keuangan Negara Melalui Peran Kejaksaan terhadap Perampasan Aset Tindak Pidana Korupsi,” </w:t>
      </w:r>
      <w:r w:rsidRPr="008B638F">
        <w:rPr>
          <w:rFonts w:cs="Times New Roman"/>
          <w:i/>
          <w:noProof/>
        </w:rPr>
        <w:t>Jurnal Hukum Lex Generalis</w:t>
      </w:r>
      <w:r w:rsidRPr="008B638F">
        <w:rPr>
          <w:rFonts w:cs="Times New Roman"/>
          <w:noProof/>
        </w:rPr>
        <w:t xml:space="preserve"> 3, no. 7 (2022): 565–88, https://doi.org/10.56370/jhlg.v3i7.279.</w:t>
      </w:r>
      <w:r w:rsidRPr="008B638F">
        <w:rPr>
          <w:rFonts w:cs="Times New Roman"/>
        </w:rPr>
        <w:fldChar w:fldCharType="end"/>
      </w:r>
    </w:p>
  </w:footnote>
  <w:footnote w:id="26">
    <w:p w:rsidR="003F6D81" w:rsidRPr="008B638F" w:rsidRDefault="003F6D81" w:rsidP="003F6D81">
      <w:pPr>
        <w:pStyle w:val="FootnoteText"/>
        <w:jc w:val="both"/>
        <w:rPr>
          <w:rFonts w:cs="Times New Roman"/>
        </w:rPr>
      </w:pPr>
      <w:r>
        <w:rPr>
          <w:rStyle w:val="FootnoteReference"/>
        </w:rPr>
        <w:footnoteRef/>
      </w:r>
      <w:r>
        <w:t xml:space="preserve"> </w:t>
      </w:r>
      <w:r w:rsidRPr="008B638F">
        <w:rPr>
          <w:rFonts w:cs="Times New Roman"/>
        </w:rPr>
        <w:fldChar w:fldCharType="begin" w:fldLock="1"/>
      </w:r>
      <w:r w:rsidRPr="008B638F">
        <w:rPr>
          <w:rFonts w:cs="Times New Roman"/>
        </w:rPr>
        <w:instrText>ADDIN CSL_CITATION {"citationItems":[{"id":"ITEM-1","itemData":{"author":[{"dropping-particle":"","family":"Erlangga","given":"Puteri Kencana Surya","non-dropping-particle":"","parse-names":false,"suffix":""},{"dropping-particle":"","family":"Mulyono","given":"","non-dropping-particle":"","parse-names":false,"suffix":""},{"dropping-particle":"","family":"Fauziah","given":"","non-dropping-particle":"","parse-names":false,"suffix":""}],"container-title":"Jurisdictie","id":"ITEM-1","issue":"2","issued":{"date-parts":[["2023"]]},"page":"137-156","title":"Efektifitas Peran Kejaksaan Dalam Pengembalian Kerugian Keuangan Negara Dalam Perkara Korupsi Melalui Pelaksanaan Putusan Pengadilan","type":"article-journal","volume":"5"},"uris":["http://www.mendeley.com/documents/?uuid=90f105c5-8ca0-4341-82c6-1092013c7d00"]}],"mendeley":{"formattedCitation":"Erlangga, Mulyono, dan Fauziah, “Efektifitas Peran Kejaksaan Dalam Pengembalian Kerugian Keuangan Negara Dalam Perkara Korupsi Melalui Pelaksanaan Putusan Pengadilan.”","plainTextFormattedCitation":"Erlangga, Mulyono, dan Fauziah, “Efektifitas Peran Kejaksaan Dalam Pengembalian Kerugian Keuangan Negara Dalam Perkara Korupsi Melalui Pelaksanaan Putusan Pengadilan.”","previouslyFormattedCitation":"(Erlangga dkk., 2023)"},"properties":{"noteIndex":23},"schema":"https://github.com/citation-style-language/schema/raw/master/csl-citation.json"}</w:instrText>
      </w:r>
      <w:r w:rsidRPr="008B638F">
        <w:rPr>
          <w:rFonts w:cs="Times New Roman"/>
        </w:rPr>
        <w:fldChar w:fldCharType="separate"/>
      </w:r>
      <w:r w:rsidRPr="008B638F">
        <w:rPr>
          <w:rFonts w:cs="Times New Roman"/>
          <w:noProof/>
        </w:rPr>
        <w:t>Erlangga, Mulyono, dan Fauziah, “Efektifitas Peran Kejaksaan Dalam Pengembalian Kerugian Keuangan Negara Dalam Perkara Korupsi Melalui Pelaksanaan Putusan Pengadilan.”</w:t>
      </w:r>
      <w:r w:rsidRPr="008B638F">
        <w:rPr>
          <w:rFonts w:cs="Times New Roman"/>
        </w:rPr>
        <w:fldChar w:fldCharType="end"/>
      </w:r>
    </w:p>
    <w:p w:rsidR="003F6D81" w:rsidRDefault="003F6D81" w:rsidP="003F6D81">
      <w:pPr>
        <w:pStyle w:val="FootnoteText"/>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1B6" w:rsidRDefault="000921B6" w:rsidP="004F38D2">
    <w:pPr>
      <w:pStyle w:val="Title"/>
      <w:jc w:val="left"/>
      <w:rPr>
        <w:rStyle w:val="ypks7kbdpwfgdykd3qb9"/>
        <w:rFonts w:ascii="Bookman Old Style" w:hAnsi="Bookman Old Style"/>
        <w:b w:val="0"/>
        <w:sz w:val="18"/>
        <w:szCs w:val="18"/>
      </w:rPr>
    </w:pPr>
  </w:p>
  <w:p w:rsidR="00641ED0" w:rsidRPr="00641ED0" w:rsidRDefault="002911BF" w:rsidP="00641ED0">
    <w:pPr>
      <w:spacing w:after="0"/>
      <w:rPr>
        <w:rFonts w:ascii="Bookman Old Style" w:hAnsi="Bookman Old Style"/>
        <w:bCs/>
        <w:sz w:val="18"/>
        <w:szCs w:val="18"/>
      </w:rPr>
    </w:pPr>
    <w:r w:rsidRPr="002911BF">
      <w:rPr>
        <w:rStyle w:val="ypks7kbdpwfgdykd3qb9"/>
        <w:rFonts w:ascii="Bookman Old Style" w:hAnsi="Bookman Old Style"/>
        <w:sz w:val="18"/>
        <w:szCs w:val="18"/>
      </w:rPr>
      <w:t xml:space="preserve">The Role Of The Prosecutor's Office And The BPK In The Process Of Returning State Losses Between Dominus </w:t>
    </w:r>
    <w:proofErr w:type="spellStart"/>
    <w:r w:rsidRPr="002911BF">
      <w:rPr>
        <w:rStyle w:val="ypks7kbdpwfgdykd3qb9"/>
        <w:rFonts w:ascii="Bookman Old Style" w:hAnsi="Bookman Old Style"/>
        <w:sz w:val="18"/>
        <w:szCs w:val="18"/>
      </w:rPr>
      <w:t>Litis</w:t>
    </w:r>
    <w:proofErr w:type="spellEnd"/>
    <w:r w:rsidRPr="002911BF">
      <w:rPr>
        <w:rStyle w:val="ypks7kbdpwfgdykd3qb9"/>
        <w:rFonts w:ascii="Bookman Old Style" w:hAnsi="Bookman Old Style"/>
        <w:sz w:val="18"/>
        <w:szCs w:val="18"/>
      </w:rPr>
      <w:t xml:space="preserve"> And Justice</w:t>
    </w:r>
  </w:p>
  <w:p w:rsidR="00716896" w:rsidRPr="00641ED0" w:rsidRDefault="00716896" w:rsidP="004F38D2">
    <w:pPr>
      <w:pStyle w:val="Title"/>
      <w:jc w:val="left"/>
      <w:rPr>
        <w:rFonts w:ascii="Bookman Old Style" w:hAnsi="Bookman Old Style"/>
        <w:b w:val="0"/>
        <w:sz w:val="18"/>
        <w:szCs w:val="18"/>
        <w:lang w:val="en-US"/>
      </w:rPr>
    </w:pPr>
  </w:p>
  <w:p w:rsidR="004F38D2" w:rsidRPr="004F38D2" w:rsidRDefault="004F38D2" w:rsidP="00514FC1">
    <w:pPr>
      <w:pStyle w:val="Title"/>
      <w:jc w:val="left"/>
      <w:rPr>
        <w:rFonts w:ascii="Bookman Old Style" w:hAnsi="Bookman Old Style"/>
        <w:szCs w:val="28"/>
        <w:lang w:val="en-US"/>
      </w:rPr>
    </w:pPr>
  </w:p>
  <w:p w:rsidR="00C46A18" w:rsidRPr="00641ED0" w:rsidRDefault="002911BF" w:rsidP="00641ED0">
    <w:pPr>
      <w:pStyle w:val="Header"/>
      <w:jc w:val="right"/>
      <w:rPr>
        <w:i/>
        <w:sz w:val="6"/>
        <w:lang w:val="en-US"/>
      </w:rPr>
    </w:pPr>
    <w:proofErr w:type="spellStart"/>
    <w:r>
      <w:rPr>
        <w:rFonts w:ascii="Bookman Old Style" w:hAnsi="Bookman Old Style"/>
        <w:b/>
        <w:bCs/>
        <w:i/>
        <w:iCs/>
        <w:color w:val="000000"/>
        <w:sz w:val="16"/>
        <w:szCs w:val="24"/>
        <w:lang w:val="en-US"/>
      </w:rPr>
      <w:t>Ariman</w:t>
    </w:r>
    <w:proofErr w:type="spellEnd"/>
    <w:r>
      <w:rPr>
        <w:rFonts w:ascii="Bookman Old Style" w:hAnsi="Bookman Old Style"/>
        <w:b/>
        <w:bCs/>
        <w:i/>
        <w:iCs/>
        <w:color w:val="000000"/>
        <w:sz w:val="16"/>
        <w:szCs w:val="24"/>
        <w:lang w:val="en-US"/>
      </w:rPr>
      <w:t xml:space="preserve"> </w:t>
    </w:r>
    <w:proofErr w:type="spellStart"/>
    <w:r>
      <w:rPr>
        <w:rFonts w:ascii="Bookman Old Style" w:hAnsi="Bookman Old Style"/>
        <w:b/>
        <w:bCs/>
        <w:i/>
        <w:iCs/>
        <w:color w:val="000000"/>
        <w:sz w:val="16"/>
        <w:szCs w:val="24"/>
        <w:lang w:val="en-US"/>
      </w:rPr>
      <w:t>Sitompul</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A18" w:rsidRDefault="00C46A18" w:rsidP="00EB3C89">
    <w:pPr>
      <w:pStyle w:val="Heading1"/>
      <w:spacing w:line="240" w:lineRule="auto"/>
      <w:jc w:val="right"/>
      <w:rPr>
        <w:rFonts w:ascii="Bookman Old Style" w:hAnsi="Bookman Old Style"/>
        <w:b w:val="0"/>
        <w:sz w:val="16"/>
        <w:szCs w:val="24"/>
      </w:rPr>
    </w:pPr>
  </w:p>
  <w:p w:rsidR="00C46A18" w:rsidRDefault="00C46A18" w:rsidP="00EB3C89">
    <w:pPr>
      <w:pStyle w:val="Heading1"/>
      <w:spacing w:line="240" w:lineRule="auto"/>
      <w:jc w:val="right"/>
      <w:rPr>
        <w:rFonts w:ascii="Bookman Old Style" w:hAnsi="Bookman Old Style"/>
        <w:b w:val="0"/>
        <w:sz w:val="16"/>
        <w:szCs w:val="24"/>
      </w:rPr>
    </w:pPr>
  </w:p>
  <w:p w:rsidR="00C46A18" w:rsidRPr="00FD5C18" w:rsidRDefault="00C46A18"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 xml:space="preserve">Legal </w:t>
    </w:r>
    <w:proofErr w:type="spellStart"/>
    <w:r>
      <w:rPr>
        <w:rFonts w:ascii="Bookman Old Style" w:hAnsi="Bookman Old Style" w:cs="Arial"/>
        <w:sz w:val="16"/>
        <w:szCs w:val="24"/>
        <w:lang w:val="en-US"/>
      </w:rPr>
      <w:t>Preneur</w:t>
    </w:r>
    <w:proofErr w:type="spellEnd"/>
    <w:r>
      <w:rPr>
        <w:rFonts w:ascii="Bookman Old Style" w:hAnsi="Bookman Old Style" w:cs="Arial"/>
        <w:sz w:val="16"/>
        <w:szCs w:val="24"/>
        <w:lang w:val="en-US"/>
      </w:rPr>
      <w:t xml:space="preserve"> Journal</w:t>
    </w:r>
  </w:p>
  <w:p w:rsidR="00C46A18" w:rsidRPr="00EB3C89" w:rsidRDefault="00C46A18"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sidR="004F3905">
      <w:rPr>
        <w:rFonts w:ascii="Bookman Old Style" w:hAnsi="Bookman Old Style" w:cs="Arial"/>
        <w:sz w:val="16"/>
        <w:szCs w:val="24"/>
        <w:lang w:val="en-US"/>
      </w:rPr>
      <w:t>4</w:t>
    </w:r>
    <w:r w:rsidRPr="00EB3C89">
      <w:rPr>
        <w:rFonts w:ascii="Bookman Old Style" w:hAnsi="Bookman Old Style" w:cs="Arial"/>
        <w:sz w:val="16"/>
        <w:szCs w:val="24"/>
        <w:lang w:val="id-ID"/>
      </w:rPr>
      <w:t xml:space="preserve"> No. </w:t>
    </w:r>
    <w:r w:rsidR="002B7537">
      <w:rPr>
        <w:rFonts w:ascii="Bookman Old Style" w:hAnsi="Bookman Old Style" w:cs="Arial"/>
        <w:sz w:val="16"/>
        <w:szCs w:val="24"/>
        <w:lang w:val="en-US"/>
      </w:rPr>
      <w:t>2</w:t>
    </w:r>
    <w:r>
      <w:rPr>
        <w:rFonts w:ascii="Bookman Old Style" w:hAnsi="Bookman Old Style" w:cs="Arial"/>
        <w:sz w:val="16"/>
        <w:szCs w:val="24"/>
        <w:lang w:val="en-US"/>
      </w:rPr>
      <w:t xml:space="preserve"> </w:t>
    </w:r>
    <w:r w:rsidR="002B7537">
      <w:rPr>
        <w:rFonts w:ascii="Bookman Old Style" w:hAnsi="Bookman Old Style" w:cs="Arial"/>
        <w:sz w:val="16"/>
        <w:szCs w:val="24"/>
        <w:lang w:val="en-US"/>
      </w:rPr>
      <w:t>April</w:t>
    </w:r>
    <w:r w:rsidR="004F3905">
      <w:rPr>
        <w:rFonts w:ascii="Bookman Old Style" w:hAnsi="Bookman Old Style" w:cs="Arial"/>
        <w:sz w:val="16"/>
        <w:szCs w:val="24"/>
        <w:lang w:val="en-US"/>
      </w:rPr>
      <w:t xml:space="preserve"> </w:t>
    </w:r>
    <w:r w:rsidR="002B7537">
      <w:rPr>
        <w:rFonts w:ascii="Bookman Old Style" w:hAnsi="Bookman Old Style" w:cs="Arial"/>
        <w:sz w:val="16"/>
        <w:szCs w:val="24"/>
        <w:lang w:val="en-US"/>
      </w:rPr>
      <w:t>2026</w:t>
    </w:r>
  </w:p>
  <w:p w:rsidR="00C46A18" w:rsidRPr="00EB3C89" w:rsidRDefault="00C46A18"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A18" w:rsidRDefault="00C46A18">
    <w:pPr>
      <w:pStyle w:val="Header"/>
    </w:pPr>
    <w:r>
      <w:rPr>
        <w:rFonts w:ascii="Times New Roman" w:hAnsi="Times New Roman"/>
        <w:noProof/>
        <w:sz w:val="24"/>
        <w:szCs w:val="24"/>
        <w:lang w:val="en-US"/>
      </w:rPr>
      <mc:AlternateContent>
        <mc:Choice Requires="wps">
          <w:drawing>
            <wp:anchor distT="0" distB="0" distL="114300" distR="114300" simplePos="0" relativeHeight="251658240"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C46A18" w:rsidRDefault="00C46A18"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C46A18" w:rsidRDefault="00C46A18"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C46A18" w:rsidRPr="008612D9" w:rsidTr="00EB31D3">
      <w:trPr>
        <w:trHeight w:val="1446"/>
      </w:trPr>
      <w:tc>
        <w:tcPr>
          <w:tcW w:w="8208" w:type="dxa"/>
        </w:tcPr>
        <w:p w:rsidR="00C46A18" w:rsidRPr="008612D9" w:rsidRDefault="00C46A18" w:rsidP="00BF7BF6">
          <w:pPr>
            <w:spacing w:after="0" w:line="240" w:lineRule="auto"/>
            <w:jc w:val="right"/>
            <w:rPr>
              <w:rFonts w:asciiTheme="minorHAnsi" w:hAnsiTheme="minorHAnsi" w:cstheme="minorBidi"/>
              <w:lang w:val="id-ID"/>
            </w:rPr>
          </w:pPr>
        </w:p>
        <w:p w:rsidR="00C46A18" w:rsidRPr="008612D9" w:rsidRDefault="00C46A18" w:rsidP="008612D9">
          <w:pPr>
            <w:spacing w:after="0" w:line="240" w:lineRule="auto"/>
            <w:rPr>
              <w:rFonts w:asciiTheme="minorHAnsi" w:hAnsiTheme="minorHAnsi" w:cstheme="minorBidi"/>
              <w:b/>
              <w:bCs/>
              <w:color w:val="FF5050"/>
              <w:sz w:val="6"/>
              <w:szCs w:val="6"/>
              <w:lang w:val="id-ID"/>
            </w:rPr>
          </w:pPr>
        </w:p>
        <w:p w:rsidR="00C46A18" w:rsidRPr="00BD513B" w:rsidRDefault="00C46A18"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C46A18" w:rsidRPr="00A80B85" w:rsidRDefault="00C46A18"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C46A18" w:rsidRPr="00A80B85" w:rsidRDefault="00C46A18"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Pr>
              <w:rFonts w:ascii="Bookman Old Style" w:hAnsi="Bookman Old Style" w:cstheme="minorBidi"/>
              <w:bCs/>
              <w:sz w:val="18"/>
              <w:szCs w:val="18"/>
              <w:lang w:val="en-US"/>
            </w:rPr>
            <w:t>4</w:t>
          </w:r>
          <w:r w:rsidRPr="00A80B85">
            <w:rPr>
              <w:rFonts w:ascii="Bookman Old Style" w:hAnsi="Bookman Old Style" w:cstheme="minorBidi"/>
              <w:bCs/>
              <w:sz w:val="18"/>
              <w:szCs w:val="18"/>
              <w:lang w:val="id-ID"/>
            </w:rPr>
            <w:t xml:space="preserve">, No. </w:t>
          </w:r>
          <w:r w:rsidR="005F58EB">
            <w:rPr>
              <w:rFonts w:ascii="Bookman Old Style" w:hAnsi="Bookman Old Style" w:cstheme="minorBidi"/>
              <w:bCs/>
              <w:sz w:val="18"/>
              <w:szCs w:val="18"/>
              <w:lang w:val="en-US"/>
            </w:rPr>
            <w:t>2</w:t>
          </w:r>
          <w:r>
            <w:rPr>
              <w:rFonts w:ascii="Bookman Old Style" w:hAnsi="Bookman Old Style" w:cstheme="minorBidi"/>
              <w:bCs/>
              <w:sz w:val="18"/>
              <w:szCs w:val="18"/>
              <w:lang w:val="en-US"/>
            </w:rPr>
            <w:t xml:space="preserve"> </w:t>
          </w:r>
          <w:r w:rsidR="005F58EB">
            <w:rPr>
              <w:rFonts w:ascii="Bookman Old Style" w:hAnsi="Bookman Old Style" w:cstheme="minorBidi"/>
              <w:bCs/>
              <w:sz w:val="18"/>
              <w:szCs w:val="18"/>
              <w:lang w:val="en-US"/>
            </w:rPr>
            <w:t xml:space="preserve">April </w:t>
          </w:r>
          <w:r>
            <w:rPr>
              <w:rFonts w:ascii="Bookman Old Style" w:hAnsi="Bookman Old Style" w:cstheme="minorBidi"/>
              <w:bCs/>
              <w:sz w:val="18"/>
              <w:szCs w:val="18"/>
              <w:lang w:val="en-US"/>
            </w:rPr>
            <w:t xml:space="preserve"> </w:t>
          </w:r>
          <w:r w:rsidRPr="00A80B85">
            <w:rPr>
              <w:rFonts w:ascii="Bookman Old Style" w:hAnsi="Bookman Old Style" w:cstheme="minorBidi"/>
              <w:bCs/>
              <w:sz w:val="18"/>
              <w:szCs w:val="18"/>
              <w:lang w:val="en-US"/>
            </w:rPr>
            <w:t>202</w:t>
          </w:r>
          <w:r w:rsidR="005F58EB">
            <w:rPr>
              <w:rFonts w:ascii="Bookman Old Style" w:hAnsi="Bookman Old Style" w:cstheme="minorBidi"/>
              <w:bCs/>
              <w:sz w:val="18"/>
              <w:szCs w:val="18"/>
              <w:lang w:val="en-US"/>
            </w:rPr>
            <w:t>6</w:t>
          </w:r>
        </w:p>
        <w:p w:rsidR="00C46A18" w:rsidRDefault="00C46A18"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C46A18" w:rsidRPr="005B4BF2" w:rsidRDefault="00C46A18"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 xml:space="preserve">Attribution </w:t>
          </w:r>
          <w:proofErr w:type="spellStart"/>
          <w:r w:rsidRPr="00A661E3">
            <w:rPr>
              <w:rFonts w:ascii="Bookman Old Style" w:hAnsi="Bookman Old Style" w:cs="AdvOTf9433e2d"/>
              <w:color w:val="000000"/>
              <w:sz w:val="14"/>
              <w:szCs w:val="16"/>
              <w:lang w:val="en-US"/>
            </w:rPr>
            <w:t>licence</w:t>
          </w:r>
          <w:proofErr w:type="spellEnd"/>
          <w:r w:rsidRPr="00A661E3">
            <w:rPr>
              <w:rFonts w:ascii="Bookman Old Style" w:hAnsi="Bookman Old Style" w:cs="AdvOTf9433e2d"/>
              <w:color w:val="000000"/>
              <w:sz w:val="14"/>
              <w:szCs w:val="16"/>
              <w:lang w:val="en-US"/>
            </w:rPr>
            <w:t xml:space="preserv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C46A18" w:rsidRPr="00171AA2" w:rsidRDefault="00C46A18"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C46A18" w:rsidRDefault="00C46A18"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22BE9"/>
    <w:multiLevelType w:val="hybridMultilevel"/>
    <w:tmpl w:val="7ECE47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
    <w:nsid w:val="068969EF"/>
    <w:multiLevelType w:val="hybridMultilevel"/>
    <w:tmpl w:val="AA6A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099704E9"/>
    <w:multiLevelType w:val="hybridMultilevel"/>
    <w:tmpl w:val="F8CC5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EE7DA8"/>
    <w:multiLevelType w:val="hybridMultilevel"/>
    <w:tmpl w:val="E6D63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4443EF"/>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785EBC"/>
    <w:multiLevelType w:val="hybridMultilevel"/>
    <w:tmpl w:val="50E27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nsid w:val="203C5BE9"/>
    <w:multiLevelType w:val="hybridMultilevel"/>
    <w:tmpl w:val="9378E1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1">
    <w:nsid w:val="23EB1C6E"/>
    <w:multiLevelType w:val="hybridMultilevel"/>
    <w:tmpl w:val="359860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6CA3FA6"/>
    <w:multiLevelType w:val="hybridMultilevel"/>
    <w:tmpl w:val="5A1A3248"/>
    <w:lvl w:ilvl="0" w:tplc="9AF4FBB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87379E5"/>
    <w:multiLevelType w:val="hybridMultilevel"/>
    <w:tmpl w:val="106C7D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F7062E"/>
    <w:multiLevelType w:val="hybridMultilevel"/>
    <w:tmpl w:val="5F665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503984"/>
    <w:multiLevelType w:val="hybridMultilevel"/>
    <w:tmpl w:val="52F298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7">
    <w:nsid w:val="2D7F175A"/>
    <w:multiLevelType w:val="hybridMultilevel"/>
    <w:tmpl w:val="02FE30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nsid w:val="2E2744DE"/>
    <w:multiLevelType w:val="multilevel"/>
    <w:tmpl w:val="8B107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E9D03C7"/>
    <w:multiLevelType w:val="hybridMultilevel"/>
    <w:tmpl w:val="F45057B2"/>
    <w:lvl w:ilvl="0" w:tplc="A8C2992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DD0822"/>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0B3D74"/>
    <w:multiLevelType w:val="hybridMultilevel"/>
    <w:tmpl w:val="1918310A"/>
    <w:lvl w:ilvl="0" w:tplc="C8FE2B5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420BA5"/>
    <w:multiLevelType w:val="hybridMultilevel"/>
    <w:tmpl w:val="DE700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60C2B9C"/>
    <w:multiLevelType w:val="hybridMultilevel"/>
    <w:tmpl w:val="52D41E64"/>
    <w:lvl w:ilvl="0" w:tplc="62F25FD0">
      <w:start w:val="1"/>
      <w:numFmt w:val="upperLetter"/>
      <w:lvlText w:val="%1."/>
      <w:lvlJc w:val="left"/>
      <w:pPr>
        <w:ind w:left="720" w:hanging="360"/>
      </w:pPr>
      <w:rPr>
        <w:rFonts w:ascii="Bookman Old Style" w:hAnsi="Bookman Old Style"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nsid w:val="3F847C06"/>
    <w:multiLevelType w:val="hybridMultilevel"/>
    <w:tmpl w:val="B1046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3EC0931"/>
    <w:multiLevelType w:val="hybridMultilevel"/>
    <w:tmpl w:val="52F298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43D0E94"/>
    <w:multiLevelType w:val="hybridMultilevel"/>
    <w:tmpl w:val="FA96D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4C5F6C"/>
    <w:multiLevelType w:val="hybridMultilevel"/>
    <w:tmpl w:val="C25481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49A169D3"/>
    <w:multiLevelType w:val="hybridMultilevel"/>
    <w:tmpl w:val="164E31FE"/>
    <w:lvl w:ilvl="0" w:tplc="9AF4FBB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32E521B"/>
    <w:multiLevelType w:val="hybridMultilevel"/>
    <w:tmpl w:val="F79CE0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75530E2"/>
    <w:multiLevelType w:val="hybridMultilevel"/>
    <w:tmpl w:val="F2462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EC0CFA"/>
    <w:multiLevelType w:val="hybridMultilevel"/>
    <w:tmpl w:val="AD3668E4"/>
    <w:lvl w:ilvl="0" w:tplc="70F0120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467234"/>
    <w:multiLevelType w:val="hybridMultilevel"/>
    <w:tmpl w:val="8AF08158"/>
    <w:lvl w:ilvl="0" w:tplc="0DE0A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CC0E3B"/>
    <w:multiLevelType w:val="hybridMultilevel"/>
    <w:tmpl w:val="77C8AA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2B748D6"/>
    <w:multiLevelType w:val="hybridMultilevel"/>
    <w:tmpl w:val="1B3080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D17BAF"/>
    <w:multiLevelType w:val="hybridMultilevel"/>
    <w:tmpl w:val="69E60E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0C1B92"/>
    <w:multiLevelType w:val="hybridMultilevel"/>
    <w:tmpl w:val="C5BC306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1">
    <w:nsid w:val="66F10A02"/>
    <w:multiLevelType w:val="hybridMultilevel"/>
    <w:tmpl w:val="6466F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2E117D"/>
    <w:multiLevelType w:val="hybridMultilevel"/>
    <w:tmpl w:val="3DAA08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6"/>
  </w:num>
  <w:num w:numId="7">
    <w:abstractNumId w:val="27"/>
  </w:num>
  <w:num w:numId="8">
    <w:abstractNumId w:val="3"/>
  </w:num>
  <w:num w:numId="9">
    <w:abstractNumId w:val="1"/>
  </w:num>
  <w:num w:numId="10">
    <w:abstractNumId w:val="43"/>
  </w:num>
  <w:num w:numId="11">
    <w:abstractNumId w:val="28"/>
  </w:num>
  <w:num w:numId="12">
    <w:abstractNumId w:val="26"/>
  </w:num>
  <w:num w:numId="13">
    <w:abstractNumId w:val="41"/>
  </w:num>
  <w:num w:numId="14">
    <w:abstractNumId w:val="14"/>
  </w:num>
  <w:num w:numId="15">
    <w:abstractNumId w:val="7"/>
  </w:num>
  <w:num w:numId="16">
    <w:abstractNumId w:val="40"/>
  </w:num>
  <w:num w:numId="17">
    <w:abstractNumId w:val="2"/>
  </w:num>
  <w:num w:numId="18">
    <w:abstractNumId w:val="5"/>
  </w:num>
  <w:num w:numId="19">
    <w:abstractNumId w:val="36"/>
  </w:num>
  <w:num w:numId="20">
    <w:abstractNumId w:val="19"/>
  </w:num>
  <w:num w:numId="21">
    <w:abstractNumId w:val="24"/>
  </w:num>
  <w:num w:numId="22">
    <w:abstractNumId w:val="30"/>
  </w:num>
  <w:num w:numId="23">
    <w:abstractNumId w:val="6"/>
  </w:num>
  <w:num w:numId="24">
    <w:abstractNumId w:val="23"/>
  </w:num>
  <w:num w:numId="25">
    <w:abstractNumId w:val="21"/>
  </w:num>
  <w:num w:numId="26">
    <w:abstractNumId w:val="13"/>
  </w:num>
  <w:num w:numId="27">
    <w:abstractNumId w:val="42"/>
  </w:num>
  <w:num w:numId="28">
    <w:abstractNumId w:val="9"/>
  </w:num>
  <w:num w:numId="29">
    <w:abstractNumId w:val="17"/>
  </w:num>
  <w:num w:numId="30">
    <w:abstractNumId w:val="35"/>
  </w:num>
  <w:num w:numId="31">
    <w:abstractNumId w:val="20"/>
  </w:num>
  <w:num w:numId="32">
    <w:abstractNumId w:val="22"/>
  </w:num>
  <w:num w:numId="33">
    <w:abstractNumId w:val="34"/>
  </w:num>
  <w:num w:numId="34">
    <w:abstractNumId w:val="38"/>
  </w:num>
  <w:num w:numId="35">
    <w:abstractNumId w:val="39"/>
  </w:num>
  <w:num w:numId="36">
    <w:abstractNumId w:val="31"/>
  </w:num>
  <w:num w:numId="37">
    <w:abstractNumId w:val="4"/>
  </w:num>
  <w:num w:numId="38">
    <w:abstractNumId w:val="32"/>
  </w:num>
  <w:num w:numId="39">
    <w:abstractNumId w:val="33"/>
  </w:num>
  <w:num w:numId="40">
    <w:abstractNumId w:val="12"/>
  </w:num>
  <w:num w:numId="41">
    <w:abstractNumId w:val="15"/>
  </w:num>
  <w:num w:numId="42">
    <w:abstractNumId w:val="37"/>
  </w:num>
  <w:num w:numId="43">
    <w:abstractNumId w:val="11"/>
  </w:num>
  <w:num w:numId="44">
    <w:abstractNumId w:val="0"/>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hideGrammaticalError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7B05"/>
    <w:rsid w:val="00012554"/>
    <w:rsid w:val="0001273D"/>
    <w:rsid w:val="000137A8"/>
    <w:rsid w:val="00016705"/>
    <w:rsid w:val="00052638"/>
    <w:rsid w:val="0005360C"/>
    <w:rsid w:val="00060257"/>
    <w:rsid w:val="00061CBD"/>
    <w:rsid w:val="000663B6"/>
    <w:rsid w:val="000921B6"/>
    <w:rsid w:val="00094F1E"/>
    <w:rsid w:val="000A5E8D"/>
    <w:rsid w:val="000B0FFD"/>
    <w:rsid w:val="000D0D4C"/>
    <w:rsid w:val="000E3688"/>
    <w:rsid w:val="000E7085"/>
    <w:rsid w:val="00104409"/>
    <w:rsid w:val="00106720"/>
    <w:rsid w:val="001220D4"/>
    <w:rsid w:val="00126F95"/>
    <w:rsid w:val="001358E6"/>
    <w:rsid w:val="00135C28"/>
    <w:rsid w:val="001370A2"/>
    <w:rsid w:val="001542B1"/>
    <w:rsid w:val="0015496A"/>
    <w:rsid w:val="00162093"/>
    <w:rsid w:val="00171AA2"/>
    <w:rsid w:val="001735D9"/>
    <w:rsid w:val="00190782"/>
    <w:rsid w:val="001B1B0A"/>
    <w:rsid w:val="001C090D"/>
    <w:rsid w:val="001D0903"/>
    <w:rsid w:val="001D25A3"/>
    <w:rsid w:val="001D52FA"/>
    <w:rsid w:val="001D73D8"/>
    <w:rsid w:val="001D7EDC"/>
    <w:rsid w:val="001E28D4"/>
    <w:rsid w:val="001E71D1"/>
    <w:rsid w:val="002021F8"/>
    <w:rsid w:val="002169D2"/>
    <w:rsid w:val="00223B20"/>
    <w:rsid w:val="00227EB6"/>
    <w:rsid w:val="00235E00"/>
    <w:rsid w:val="00236AE9"/>
    <w:rsid w:val="0024186A"/>
    <w:rsid w:val="00253019"/>
    <w:rsid w:val="00253A33"/>
    <w:rsid w:val="00255178"/>
    <w:rsid w:val="00267B7B"/>
    <w:rsid w:val="002716A4"/>
    <w:rsid w:val="0028461B"/>
    <w:rsid w:val="00285732"/>
    <w:rsid w:val="002911BF"/>
    <w:rsid w:val="00297F82"/>
    <w:rsid w:val="002B7537"/>
    <w:rsid w:val="002C2ECA"/>
    <w:rsid w:val="002C363B"/>
    <w:rsid w:val="002C6371"/>
    <w:rsid w:val="002C7DE9"/>
    <w:rsid w:val="002D0C86"/>
    <w:rsid w:val="002D5939"/>
    <w:rsid w:val="002D5A10"/>
    <w:rsid w:val="002E076E"/>
    <w:rsid w:val="002E45A0"/>
    <w:rsid w:val="002E4E47"/>
    <w:rsid w:val="002E4FCC"/>
    <w:rsid w:val="002E5162"/>
    <w:rsid w:val="002F0D27"/>
    <w:rsid w:val="003004C8"/>
    <w:rsid w:val="0031493F"/>
    <w:rsid w:val="00316A3D"/>
    <w:rsid w:val="00320378"/>
    <w:rsid w:val="00333F09"/>
    <w:rsid w:val="003415CA"/>
    <w:rsid w:val="00342895"/>
    <w:rsid w:val="0034499E"/>
    <w:rsid w:val="00345C43"/>
    <w:rsid w:val="0034658C"/>
    <w:rsid w:val="00353CFC"/>
    <w:rsid w:val="00371857"/>
    <w:rsid w:val="003728F4"/>
    <w:rsid w:val="00374F6F"/>
    <w:rsid w:val="003750E9"/>
    <w:rsid w:val="003832CA"/>
    <w:rsid w:val="00383DBC"/>
    <w:rsid w:val="0038454B"/>
    <w:rsid w:val="00391D78"/>
    <w:rsid w:val="00397BE0"/>
    <w:rsid w:val="003A0C26"/>
    <w:rsid w:val="003A155D"/>
    <w:rsid w:val="003A533B"/>
    <w:rsid w:val="003A537A"/>
    <w:rsid w:val="003B44A4"/>
    <w:rsid w:val="003C61FF"/>
    <w:rsid w:val="003D2C40"/>
    <w:rsid w:val="003D7842"/>
    <w:rsid w:val="003E2242"/>
    <w:rsid w:val="003E7851"/>
    <w:rsid w:val="003F0938"/>
    <w:rsid w:val="003F6D81"/>
    <w:rsid w:val="00405D4C"/>
    <w:rsid w:val="00423817"/>
    <w:rsid w:val="00424788"/>
    <w:rsid w:val="00425306"/>
    <w:rsid w:val="00434F16"/>
    <w:rsid w:val="00441021"/>
    <w:rsid w:val="00441701"/>
    <w:rsid w:val="0044368D"/>
    <w:rsid w:val="00443D71"/>
    <w:rsid w:val="00455BFA"/>
    <w:rsid w:val="004711F8"/>
    <w:rsid w:val="0048046F"/>
    <w:rsid w:val="00482CD3"/>
    <w:rsid w:val="004830E0"/>
    <w:rsid w:val="0048426F"/>
    <w:rsid w:val="00487D69"/>
    <w:rsid w:val="004923A6"/>
    <w:rsid w:val="0049296A"/>
    <w:rsid w:val="00492B70"/>
    <w:rsid w:val="00496615"/>
    <w:rsid w:val="00497E41"/>
    <w:rsid w:val="004A288C"/>
    <w:rsid w:val="004A2B13"/>
    <w:rsid w:val="004A7F6A"/>
    <w:rsid w:val="004B0058"/>
    <w:rsid w:val="004B297F"/>
    <w:rsid w:val="004B41A2"/>
    <w:rsid w:val="004B53AC"/>
    <w:rsid w:val="004B66C2"/>
    <w:rsid w:val="004C02C9"/>
    <w:rsid w:val="004C057B"/>
    <w:rsid w:val="004C0B7C"/>
    <w:rsid w:val="004C16EC"/>
    <w:rsid w:val="004C21CE"/>
    <w:rsid w:val="004C5060"/>
    <w:rsid w:val="004C7E39"/>
    <w:rsid w:val="004D2910"/>
    <w:rsid w:val="004E1450"/>
    <w:rsid w:val="004E6FA4"/>
    <w:rsid w:val="004F0B22"/>
    <w:rsid w:val="004F1D13"/>
    <w:rsid w:val="004F38D2"/>
    <w:rsid w:val="004F3905"/>
    <w:rsid w:val="00500B90"/>
    <w:rsid w:val="00500DA8"/>
    <w:rsid w:val="005129CA"/>
    <w:rsid w:val="00514FC1"/>
    <w:rsid w:val="00516E57"/>
    <w:rsid w:val="00521C4D"/>
    <w:rsid w:val="00522869"/>
    <w:rsid w:val="00523487"/>
    <w:rsid w:val="00536F71"/>
    <w:rsid w:val="00547CC6"/>
    <w:rsid w:val="00553F63"/>
    <w:rsid w:val="00554BBE"/>
    <w:rsid w:val="00556184"/>
    <w:rsid w:val="00563860"/>
    <w:rsid w:val="00565D35"/>
    <w:rsid w:val="00573545"/>
    <w:rsid w:val="00577002"/>
    <w:rsid w:val="00577BA6"/>
    <w:rsid w:val="00583ED4"/>
    <w:rsid w:val="005865B7"/>
    <w:rsid w:val="00596281"/>
    <w:rsid w:val="005A07E8"/>
    <w:rsid w:val="005A0ECB"/>
    <w:rsid w:val="005A25A1"/>
    <w:rsid w:val="005B3625"/>
    <w:rsid w:val="005B4BF2"/>
    <w:rsid w:val="005C285A"/>
    <w:rsid w:val="005C5A98"/>
    <w:rsid w:val="005D4CB1"/>
    <w:rsid w:val="005D67E5"/>
    <w:rsid w:val="005E2BD9"/>
    <w:rsid w:val="005E3DDE"/>
    <w:rsid w:val="005F58EB"/>
    <w:rsid w:val="005F5D21"/>
    <w:rsid w:val="00600CD3"/>
    <w:rsid w:val="00611BD3"/>
    <w:rsid w:val="00612C37"/>
    <w:rsid w:val="00616078"/>
    <w:rsid w:val="0063189C"/>
    <w:rsid w:val="00641ED0"/>
    <w:rsid w:val="00642B77"/>
    <w:rsid w:val="00646634"/>
    <w:rsid w:val="00651447"/>
    <w:rsid w:val="00651E7D"/>
    <w:rsid w:val="00660DDB"/>
    <w:rsid w:val="006616C6"/>
    <w:rsid w:val="00663352"/>
    <w:rsid w:val="0066542C"/>
    <w:rsid w:val="00666BBF"/>
    <w:rsid w:val="006709CA"/>
    <w:rsid w:val="00674FA1"/>
    <w:rsid w:val="0069274E"/>
    <w:rsid w:val="006930B8"/>
    <w:rsid w:val="006A7A07"/>
    <w:rsid w:val="006B69C8"/>
    <w:rsid w:val="006C5914"/>
    <w:rsid w:val="006D5439"/>
    <w:rsid w:val="006F3FF5"/>
    <w:rsid w:val="006F61F3"/>
    <w:rsid w:val="00700FF2"/>
    <w:rsid w:val="00712F67"/>
    <w:rsid w:val="00716896"/>
    <w:rsid w:val="00717085"/>
    <w:rsid w:val="00717C8E"/>
    <w:rsid w:val="00720381"/>
    <w:rsid w:val="007320AC"/>
    <w:rsid w:val="00733D83"/>
    <w:rsid w:val="00735FF1"/>
    <w:rsid w:val="0074368E"/>
    <w:rsid w:val="00765BC6"/>
    <w:rsid w:val="00774718"/>
    <w:rsid w:val="00782D5D"/>
    <w:rsid w:val="00784044"/>
    <w:rsid w:val="00787435"/>
    <w:rsid w:val="007A1C7F"/>
    <w:rsid w:val="007A5512"/>
    <w:rsid w:val="007B1C81"/>
    <w:rsid w:val="007C7EA5"/>
    <w:rsid w:val="007D3730"/>
    <w:rsid w:val="007D6588"/>
    <w:rsid w:val="007E2716"/>
    <w:rsid w:val="007E4126"/>
    <w:rsid w:val="008039B1"/>
    <w:rsid w:val="008043AC"/>
    <w:rsid w:val="00805A96"/>
    <w:rsid w:val="00812195"/>
    <w:rsid w:val="00812828"/>
    <w:rsid w:val="008135FC"/>
    <w:rsid w:val="00815AAA"/>
    <w:rsid w:val="0081662D"/>
    <w:rsid w:val="00827FDB"/>
    <w:rsid w:val="00830028"/>
    <w:rsid w:val="0083240E"/>
    <w:rsid w:val="008612D9"/>
    <w:rsid w:val="00865150"/>
    <w:rsid w:val="008A56C5"/>
    <w:rsid w:val="008B25A9"/>
    <w:rsid w:val="008B5DBA"/>
    <w:rsid w:val="008C17BC"/>
    <w:rsid w:val="008C5207"/>
    <w:rsid w:val="008C5BA5"/>
    <w:rsid w:val="008C651B"/>
    <w:rsid w:val="008D1CBC"/>
    <w:rsid w:val="008E413A"/>
    <w:rsid w:val="008F486B"/>
    <w:rsid w:val="00903EC4"/>
    <w:rsid w:val="00906576"/>
    <w:rsid w:val="00911E66"/>
    <w:rsid w:val="00911E72"/>
    <w:rsid w:val="009132E4"/>
    <w:rsid w:val="00914E38"/>
    <w:rsid w:val="00917402"/>
    <w:rsid w:val="00930FD0"/>
    <w:rsid w:val="00933150"/>
    <w:rsid w:val="009333DC"/>
    <w:rsid w:val="00937975"/>
    <w:rsid w:val="009411D6"/>
    <w:rsid w:val="009500B7"/>
    <w:rsid w:val="0095576E"/>
    <w:rsid w:val="00972273"/>
    <w:rsid w:val="00973F3A"/>
    <w:rsid w:val="0097792B"/>
    <w:rsid w:val="00980E78"/>
    <w:rsid w:val="00991F03"/>
    <w:rsid w:val="00992228"/>
    <w:rsid w:val="00996F3E"/>
    <w:rsid w:val="009B4958"/>
    <w:rsid w:val="009C1672"/>
    <w:rsid w:val="009D16B1"/>
    <w:rsid w:val="009E0806"/>
    <w:rsid w:val="009E2CE2"/>
    <w:rsid w:val="009E3486"/>
    <w:rsid w:val="009F6D6D"/>
    <w:rsid w:val="00A059AD"/>
    <w:rsid w:val="00A079B0"/>
    <w:rsid w:val="00A1651E"/>
    <w:rsid w:val="00A219E1"/>
    <w:rsid w:val="00A22DC7"/>
    <w:rsid w:val="00A242F3"/>
    <w:rsid w:val="00A30357"/>
    <w:rsid w:val="00A30514"/>
    <w:rsid w:val="00A31119"/>
    <w:rsid w:val="00A31CD0"/>
    <w:rsid w:val="00A33968"/>
    <w:rsid w:val="00A42B84"/>
    <w:rsid w:val="00A44D9A"/>
    <w:rsid w:val="00A45624"/>
    <w:rsid w:val="00A52B3C"/>
    <w:rsid w:val="00A64B3E"/>
    <w:rsid w:val="00A661E3"/>
    <w:rsid w:val="00A7535A"/>
    <w:rsid w:val="00A80B85"/>
    <w:rsid w:val="00A830A7"/>
    <w:rsid w:val="00A840A8"/>
    <w:rsid w:val="00A86AC4"/>
    <w:rsid w:val="00A966C0"/>
    <w:rsid w:val="00AB2ED0"/>
    <w:rsid w:val="00AB725F"/>
    <w:rsid w:val="00AC7C46"/>
    <w:rsid w:val="00AD0B06"/>
    <w:rsid w:val="00AE4913"/>
    <w:rsid w:val="00AE6841"/>
    <w:rsid w:val="00B03440"/>
    <w:rsid w:val="00B03451"/>
    <w:rsid w:val="00B1742B"/>
    <w:rsid w:val="00B32843"/>
    <w:rsid w:val="00B400A7"/>
    <w:rsid w:val="00B56EDE"/>
    <w:rsid w:val="00B606BC"/>
    <w:rsid w:val="00B622BB"/>
    <w:rsid w:val="00B738F9"/>
    <w:rsid w:val="00B81974"/>
    <w:rsid w:val="00BA541A"/>
    <w:rsid w:val="00BC3DAD"/>
    <w:rsid w:val="00BC7233"/>
    <w:rsid w:val="00BD513B"/>
    <w:rsid w:val="00BE5BD2"/>
    <w:rsid w:val="00BE5EC9"/>
    <w:rsid w:val="00BE5ED7"/>
    <w:rsid w:val="00BF7BF6"/>
    <w:rsid w:val="00C03F5D"/>
    <w:rsid w:val="00C06DD3"/>
    <w:rsid w:val="00C13985"/>
    <w:rsid w:val="00C173CC"/>
    <w:rsid w:val="00C26D5E"/>
    <w:rsid w:val="00C26F33"/>
    <w:rsid w:val="00C34AB7"/>
    <w:rsid w:val="00C449B3"/>
    <w:rsid w:val="00C46A18"/>
    <w:rsid w:val="00C55719"/>
    <w:rsid w:val="00C746BC"/>
    <w:rsid w:val="00C80C06"/>
    <w:rsid w:val="00C81E78"/>
    <w:rsid w:val="00C912D0"/>
    <w:rsid w:val="00C9510C"/>
    <w:rsid w:val="00CA0BE2"/>
    <w:rsid w:val="00CA3CC4"/>
    <w:rsid w:val="00CB34E6"/>
    <w:rsid w:val="00CC1C7F"/>
    <w:rsid w:val="00CC41D6"/>
    <w:rsid w:val="00CD084B"/>
    <w:rsid w:val="00CD1E74"/>
    <w:rsid w:val="00CF4803"/>
    <w:rsid w:val="00D31655"/>
    <w:rsid w:val="00D366A4"/>
    <w:rsid w:val="00D56712"/>
    <w:rsid w:val="00D6245F"/>
    <w:rsid w:val="00D6440B"/>
    <w:rsid w:val="00D71E63"/>
    <w:rsid w:val="00D72973"/>
    <w:rsid w:val="00D730A1"/>
    <w:rsid w:val="00D75C61"/>
    <w:rsid w:val="00D77B86"/>
    <w:rsid w:val="00D81B33"/>
    <w:rsid w:val="00D82F84"/>
    <w:rsid w:val="00D901A4"/>
    <w:rsid w:val="00D91E7D"/>
    <w:rsid w:val="00D92735"/>
    <w:rsid w:val="00D955CA"/>
    <w:rsid w:val="00DB1A42"/>
    <w:rsid w:val="00DB2984"/>
    <w:rsid w:val="00DB434B"/>
    <w:rsid w:val="00DB4B19"/>
    <w:rsid w:val="00DB7B3A"/>
    <w:rsid w:val="00DC05F4"/>
    <w:rsid w:val="00DC26C7"/>
    <w:rsid w:val="00DC521E"/>
    <w:rsid w:val="00DC5E04"/>
    <w:rsid w:val="00DD3D2A"/>
    <w:rsid w:val="00DD4E1C"/>
    <w:rsid w:val="00DD76D8"/>
    <w:rsid w:val="00DE40EA"/>
    <w:rsid w:val="00DE7406"/>
    <w:rsid w:val="00DF280D"/>
    <w:rsid w:val="00DF322C"/>
    <w:rsid w:val="00DF3EC3"/>
    <w:rsid w:val="00DF6AAB"/>
    <w:rsid w:val="00E02162"/>
    <w:rsid w:val="00E031C8"/>
    <w:rsid w:val="00E03D4A"/>
    <w:rsid w:val="00E1114C"/>
    <w:rsid w:val="00E113AD"/>
    <w:rsid w:val="00E66ED1"/>
    <w:rsid w:val="00E71F4D"/>
    <w:rsid w:val="00E72D0D"/>
    <w:rsid w:val="00E75A59"/>
    <w:rsid w:val="00E8650A"/>
    <w:rsid w:val="00E95FE6"/>
    <w:rsid w:val="00E9747E"/>
    <w:rsid w:val="00EA2618"/>
    <w:rsid w:val="00EB31D3"/>
    <w:rsid w:val="00EB3653"/>
    <w:rsid w:val="00EB3C89"/>
    <w:rsid w:val="00EB505C"/>
    <w:rsid w:val="00ED635A"/>
    <w:rsid w:val="00EE007E"/>
    <w:rsid w:val="00EE4700"/>
    <w:rsid w:val="00EE4AA0"/>
    <w:rsid w:val="00EE68ED"/>
    <w:rsid w:val="00EE6B0D"/>
    <w:rsid w:val="00EE7079"/>
    <w:rsid w:val="00F03E27"/>
    <w:rsid w:val="00F05752"/>
    <w:rsid w:val="00F11CC4"/>
    <w:rsid w:val="00F20884"/>
    <w:rsid w:val="00F2390F"/>
    <w:rsid w:val="00F27751"/>
    <w:rsid w:val="00F33E41"/>
    <w:rsid w:val="00F41200"/>
    <w:rsid w:val="00F575F8"/>
    <w:rsid w:val="00F60074"/>
    <w:rsid w:val="00F612E1"/>
    <w:rsid w:val="00F67B51"/>
    <w:rsid w:val="00F7320C"/>
    <w:rsid w:val="00F936A2"/>
    <w:rsid w:val="00F95E44"/>
    <w:rsid w:val="00FA2C7B"/>
    <w:rsid w:val="00FA3DA9"/>
    <w:rsid w:val="00FA799F"/>
    <w:rsid w:val="00FB5E12"/>
    <w:rsid w:val="00FB6A75"/>
    <w:rsid w:val="00FD0AD6"/>
    <w:rsid w:val="00FD35D4"/>
    <w:rsid w:val="00FD5C18"/>
    <w:rsid w:val="00FE3B04"/>
    <w:rsid w:val="00FF2B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F63"/>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qFormat/>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qFormat/>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uiPriority w:val="99"/>
    <w:semiHidden/>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5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973F3A"/>
  </w:style>
  <w:style w:type="paragraph" w:styleId="Bibliography">
    <w:name w:val="Bibliography"/>
    <w:basedOn w:val="Normal"/>
    <w:next w:val="Normal"/>
    <w:uiPriority w:val="37"/>
    <w:unhideWhenUsed/>
    <w:rsid w:val="00903EC4"/>
    <w:rPr>
      <w:rFonts w:asciiTheme="minorHAnsi" w:eastAsiaTheme="minorHAnsi" w:hAnsiTheme="minorHAnsi" w:cstheme="minorBidi"/>
      <w:lang w:val="en-US"/>
    </w:rPr>
  </w:style>
  <w:style w:type="character" w:customStyle="1" w:styleId="ypks7kbdpwfgdykd3qb9">
    <w:name w:val="ypks7kbdpwfgdykd3qb9"/>
    <w:basedOn w:val="DefaultParagraphFont"/>
    <w:rsid w:val="003B4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mkapi.com/index.php/lkp/article/view/7"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35335/ijopsor.v11i1.121" TargetMode="External"/><Relationship Id="rId4" Type="http://schemas.openxmlformats.org/officeDocument/2006/relationships/settings" Target="settings.xml"/><Relationship Id="rId9" Type="http://schemas.openxmlformats.org/officeDocument/2006/relationships/hyperlink" Target="https://doi.org/10.59712/iaml.v5i1.158"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59712/iaml.v5i1.158" TargetMode="External"/><Relationship Id="rId2" Type="http://schemas.openxmlformats.org/officeDocument/2006/relationships/hyperlink" Target="mailto:ariman.sitompul@dharmawangsa.ac.id" TargetMode="External"/><Relationship Id="rId1" Type="http://schemas.openxmlformats.org/officeDocument/2006/relationships/hyperlink" Target="mailto:sabela.gayo@gmail.com" TargetMode="External"/><Relationship Id="rId5" Type="http://schemas.openxmlformats.org/officeDocument/2006/relationships/hyperlink" Target="https://doi.org/10.35335/ijopsor.v11i1.121" TargetMode="External"/><Relationship Id="rId4" Type="http://schemas.openxmlformats.org/officeDocument/2006/relationships/hyperlink" Target="https://lemkapi.com/index.php/lkp/article/view/7"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Ros19</b:Tag>
    <b:SourceType>JournalArticle</b:SourceType>
    <b:Guid>{718D8290-75E7-4742-938A-AD490F66C07C}</b:Guid>
    <b:Author>
      <b:Author>
        <b:NameList>
          <b:Person>
            <b:Last>Rosady</b:Last>
            <b:First>R.</b:First>
            <b:Middle>S. R.</b:Middle>
          </b:Person>
        </b:NameList>
      </b:Author>
    </b:Author>
    <b:Title>Tindak Pidana dan Pertanggungjawaban Pidana Pelaku Penyalahgunaan Senjata Tajam</b:Title>
    <b:Year>2019</b:Year>
    <b:Pages>1-7</b:Pages>
    <b:RefOrder>2</b:RefOrder>
  </b:Source>
  <b:Source>
    <b:Tag>Ars22</b:Tag>
    <b:SourceType>JournalArticle</b:SourceType>
    <b:Guid>{47D31714-26FB-49F4-941C-F072E1E6313C}</b:Guid>
    <b:Author>
      <b:Author>
        <b:NameList>
          <b:Person>
            <b:Last>Arsad</b:Last>
            <b:First>A.</b:First>
            <b:Middle>N. ,</b:Middle>
          </b:Person>
        </b:NameList>
      </b:Author>
    </b:Author>
    <b:Title>Faktor Kriminogen Penyalahgunaan Senjata Tajam Di Muka Umum</b:Title>
    <b:JournalName>Journal Justiciabellen</b:JournalName>
    <b:Year>2022</b:Year>
    <b:Pages>1</b:Pages>
    <b:RefOrder>3</b:RefOrder>
  </b:Source>
  <b:Source>
    <b:Tag>Har23</b:Tag>
    <b:SourceType>JournalArticle</b:SourceType>
    <b:Guid>{C23FD389-1D2E-4478-A5B3-8F9ED9F6761F}</b:Guid>
    <b:Author>
      <b:Author>
        <b:NameList>
          <b:Person>
            <b:Last>Haris</b:Last>
            <b:First>O.</b:First>
            <b:Middle>K., Hidayat, S., Sinapoy, M. S., &amp; Rahmat, N.</b:Middle>
          </b:Person>
        </b:NameList>
      </b:Author>
    </b:Author>
    <b:Title>Penegakan Hukum Pidana terhadap Penyalahgunaan Senjata Tajam Tradisional.</b:Title>
    <b:JournalName>Oleo Legal Research</b:JournalName>
    <b:Year>2023</b:Year>
    <b:Pages>374</b:Pages>
    <b:RefOrder>4</b:RefOrder>
  </b:Source>
  <b:Source>
    <b:Tag>Wij21</b:Tag>
    <b:SourceType>JournalArticle</b:SourceType>
    <b:Guid>{80CF9BDF-C210-46B7-8B3E-5F44651151B7}</b:Guid>
    <b:Author>
      <b:Author>
        <b:NameList>
          <b:Person>
            <b:Last>Wijaya</b:Last>
            <b:First>H.,</b:First>
            <b:Middle>Arsyad, N., &amp; Mappaselleng, N. F.</b:Middle>
          </b:Person>
        </b:NameList>
      </b:Author>
    </b:Author>
    <b:Title>Tinjauan Yuridis Terhadap Pelaku Tindak Pidana Kepemilikan Senjata Tajam</b:Title>
    <b:JournalName>Qawanin Jurnal Ilmu Hukum</b:JournalName>
    <b:Year>2021</b:Year>
    <b:Pages>1</b:Pages>
    <b:RefOrder>5</b:RefOrder>
  </b:Source>
  <b:Source>
    <b:Tag>Azm17</b:Tag>
    <b:SourceType>JournalArticle</b:SourceType>
    <b:Guid>{A58F8DD3-5881-45BC-AC06-C2514D7083D8}</b:Guid>
    <b:Author>
      <b:Author>
        <b:NameList>
          <b:Person>
            <b:Last>Azmi</b:Last>
            <b:First>D.</b:First>
            <b:Middle>S.</b:Middle>
          </b:Person>
        </b:NameList>
      </b:Author>
    </b:Author>
    <b:Title>PENEGAKAN HUKUM PIDANA TERHADAP PENGGUNAAN SENJATA TAJAM UNTUK MENUNJANG PEKERJAAN DIHUBUNGKAN DENGAN ASAS MANFAAT DAN UU DARURAT NO. 12 TAHUN 1951 TENTANG SENJATA TAJAM</b:Title>
    <b:Year>2017</b:Year>
    <b:Pages>1</b:Pages>
    <b:RefOrder>6</b:RefOrder>
  </b:Source>
  <b:Source>
    <b:Tag>PRA20</b:Tag>
    <b:SourceType>JournalArticle</b:SourceType>
    <b:Guid>{B7C39AEC-F4F6-4531-8A4D-56FC0EEED766}</b:Guid>
    <b:Author>
      <b:Author>
        <b:NameList>
          <b:Person>
            <b:Last>PRAMUDIA</b:Last>
            <b:First>G.</b:First>
          </b:Person>
        </b:NameList>
      </b:Author>
    </b:Author>
    <b:Title>Analisa Hukum Terhadap Tindak Pidana Penyalahgunaan Senjata Tajam Tradisional</b:Title>
    <b:Year>2020</b:Year>
    <b:Pages>4</b:Pages>
    <b:RefOrder>1</b:RefOrder>
  </b:Source>
</b:Sources>
</file>

<file path=customXml/itemProps1.xml><?xml version="1.0" encoding="utf-8"?>
<ds:datastoreItem xmlns:ds="http://schemas.openxmlformats.org/officeDocument/2006/customXml" ds:itemID="{28C056C0-B445-4302-8595-AC36285DA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571</TotalTime>
  <Pages>12</Pages>
  <Words>10943</Words>
  <Characters>62379</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191</cp:revision>
  <cp:lastPrinted>2022-12-21T01:28:00Z</cp:lastPrinted>
  <dcterms:created xsi:type="dcterms:W3CDTF">2022-11-02T02:16:00Z</dcterms:created>
  <dcterms:modified xsi:type="dcterms:W3CDTF">2026-04-24T05:52:00Z</dcterms:modified>
</cp:coreProperties>
</file>