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E2E" w:rsidRDefault="00080E2E" w:rsidP="00080E2E">
      <w:pPr>
        <w:autoSpaceDE w:val="0"/>
        <w:autoSpaceDN w:val="0"/>
        <w:adjustRightInd w:val="0"/>
        <w:spacing w:after="0" w:line="240" w:lineRule="auto"/>
        <w:jc w:val="center"/>
        <w:rPr>
          <w:rFonts w:ascii="Arial Narrow" w:hAnsi="Arial Narrow"/>
          <w:b/>
          <w:sz w:val="28"/>
          <w:szCs w:val="28"/>
          <w:lang w:val="id-ID"/>
        </w:rPr>
      </w:pPr>
    </w:p>
    <w:p w:rsidR="002421A7" w:rsidRDefault="002421A7" w:rsidP="002421A7">
      <w:pPr>
        <w:pStyle w:val="Heading3"/>
        <w:spacing w:before="0" w:after="0" w:line="240" w:lineRule="auto"/>
        <w:jc w:val="center"/>
        <w:rPr>
          <w:rFonts w:ascii="Arial Narrow" w:eastAsia="Cambria" w:hAnsi="Arial Narrow" w:cs="Arial"/>
          <w:b/>
          <w:sz w:val="28"/>
          <w:szCs w:val="28"/>
          <w:lang w:val="id-ID"/>
        </w:rPr>
      </w:pPr>
    </w:p>
    <w:p w:rsidR="002421A7" w:rsidRPr="00F345DE" w:rsidRDefault="00F345DE" w:rsidP="00F345DE">
      <w:pPr>
        <w:tabs>
          <w:tab w:val="left" w:pos="1560"/>
        </w:tabs>
        <w:spacing w:after="0" w:line="240" w:lineRule="auto"/>
        <w:jc w:val="center"/>
        <w:rPr>
          <w:rFonts w:ascii="Arial Narrow" w:hAnsi="Arial Narrow"/>
          <w:b/>
          <w:sz w:val="28"/>
          <w:szCs w:val="28"/>
        </w:rPr>
      </w:pPr>
      <w:r w:rsidRPr="00F345DE">
        <w:rPr>
          <w:rFonts w:ascii="Arial Narrow" w:hAnsi="Arial Narrow" w:cs="Times New Roman"/>
          <w:b/>
          <w:bCs/>
          <w:sz w:val="28"/>
          <w:szCs w:val="28"/>
        </w:rPr>
        <w:t>REPOSISI TINDAK PIDANA PENCUCIAN UANG DALAM SISTEM PEMIDANAAN NASIONAL: STUDI KOMPARATIF PENGATURAN SEBELUM DAN SESUDAH BERLAKUNYA UU NO. 1 TAHUN 2023</w:t>
      </w:r>
      <w:r w:rsidR="00ED4590">
        <w:rPr>
          <w:rFonts w:ascii="Arial Narrow" w:hAnsi="Arial Narrow" w:cs="Times New Roman"/>
          <w:b/>
          <w:bCs/>
          <w:sz w:val="28"/>
          <w:szCs w:val="28"/>
        </w:rPr>
        <w:t xml:space="preserve"> </w:t>
      </w:r>
      <w:bookmarkStart w:id="0" w:name="_GoBack"/>
      <w:bookmarkEnd w:id="0"/>
    </w:p>
    <w:p w:rsidR="002421A7" w:rsidRPr="00E57D8C" w:rsidRDefault="00746FF2" w:rsidP="002421A7">
      <w:pPr>
        <w:pStyle w:val="Heading1"/>
        <w:spacing w:after="0" w:line="240" w:lineRule="auto"/>
        <w:contextualSpacing/>
        <w:jc w:val="center"/>
        <w:rPr>
          <w:rFonts w:ascii="Arial Narrow" w:eastAsia="Book Antiqua" w:hAnsi="Arial Narrow" w:cs="Book Antiqua"/>
          <w:sz w:val="24"/>
          <w:szCs w:val="24"/>
          <w:vertAlign w:val="superscript"/>
          <w:lang w:val="id-ID"/>
        </w:rPr>
      </w:pPr>
      <w:r>
        <w:rPr>
          <w:rFonts w:ascii="Arial Narrow" w:eastAsia="Book Antiqua" w:hAnsi="Arial Narrow" w:cs="Book Antiqua"/>
          <w:b w:val="0"/>
          <w:sz w:val="24"/>
          <w:szCs w:val="24"/>
        </w:rPr>
        <w:t>Mhd. Hasbi</w:t>
      </w:r>
      <w:r w:rsidRPr="00746FF2">
        <w:rPr>
          <w:rFonts w:ascii="Arial Narrow" w:eastAsia="Book Antiqua" w:hAnsi="Arial Narrow" w:cs="Book Antiqua"/>
          <w:b w:val="0"/>
          <w:sz w:val="24"/>
          <w:szCs w:val="24"/>
          <w:vertAlign w:val="superscript"/>
          <w:lang w:val="id-ID"/>
        </w:rPr>
        <w:t>1</w:t>
      </w:r>
    </w:p>
    <w:p w:rsidR="002421A7" w:rsidRDefault="002421A7" w:rsidP="002421A7">
      <w:pPr>
        <w:spacing w:after="0" w:line="240" w:lineRule="auto"/>
        <w:jc w:val="center"/>
        <w:rPr>
          <w:rFonts w:ascii="Book Antiqua" w:eastAsia="Book Antiqua" w:hAnsi="Book Antiqua" w:cs="Book Antiqua"/>
          <w:vertAlign w:val="superscript"/>
        </w:rPr>
      </w:pPr>
    </w:p>
    <w:p w:rsidR="00BD532B" w:rsidRPr="00E57D8C" w:rsidRDefault="00F345DE" w:rsidP="00F345DE">
      <w:pPr>
        <w:spacing w:after="0" w:line="240" w:lineRule="auto"/>
        <w:jc w:val="center"/>
        <w:rPr>
          <w:rFonts w:ascii="Arial Narrow" w:hAnsi="Arial Narrow"/>
          <w:sz w:val="20"/>
          <w:szCs w:val="20"/>
        </w:rPr>
      </w:pPr>
      <w:r>
        <w:rPr>
          <w:rFonts w:ascii="Arial Narrow" w:hAnsi="Arial Narrow"/>
          <w:sz w:val="20"/>
          <w:szCs w:val="20"/>
          <w:vertAlign w:val="superscript"/>
        </w:rPr>
        <w:t xml:space="preserve">1 </w:t>
      </w:r>
      <w:r w:rsidR="00746FF2">
        <w:rPr>
          <w:rFonts w:ascii="Arial Narrow" w:hAnsi="Arial Narrow"/>
          <w:sz w:val="20"/>
          <w:szCs w:val="20"/>
        </w:rPr>
        <w:t>Fakultas H</w:t>
      </w:r>
      <w:r w:rsidR="00BD532B">
        <w:rPr>
          <w:rFonts w:ascii="Arial Narrow" w:hAnsi="Arial Narrow"/>
          <w:sz w:val="20"/>
          <w:szCs w:val="20"/>
        </w:rPr>
        <w:t>ukum</w:t>
      </w:r>
      <w:r w:rsidR="00746FF2">
        <w:rPr>
          <w:rFonts w:ascii="Arial Narrow" w:hAnsi="Arial Narrow"/>
          <w:sz w:val="20"/>
          <w:szCs w:val="20"/>
        </w:rPr>
        <w:t xml:space="preserve">, Univeristas </w:t>
      </w:r>
      <w:r w:rsidR="00BD532B">
        <w:rPr>
          <w:rFonts w:ascii="Arial Narrow" w:hAnsi="Arial Narrow"/>
          <w:sz w:val="20"/>
          <w:szCs w:val="20"/>
        </w:rPr>
        <w:t>Haji Sumatera Utara, Indonesia</w:t>
      </w:r>
    </w:p>
    <w:p w:rsidR="009C0B64" w:rsidRDefault="002421A7" w:rsidP="00F345DE">
      <w:pPr>
        <w:spacing w:after="0" w:line="240" w:lineRule="auto"/>
        <w:jc w:val="center"/>
        <w:rPr>
          <w:rStyle w:val="Hyperlink"/>
          <w:rFonts w:ascii="Arial Narrow" w:hAnsi="Arial Narrow"/>
          <w:lang w:val="id-ID"/>
        </w:rPr>
      </w:pPr>
      <w:r w:rsidRPr="00E57D8C">
        <w:rPr>
          <w:rFonts w:ascii="Arial Narrow" w:hAnsi="Arial Narrow"/>
          <w:sz w:val="20"/>
          <w:szCs w:val="20"/>
        </w:rPr>
        <w:t xml:space="preserve"> Email: </w:t>
      </w:r>
      <w:r w:rsidR="00BD532B" w:rsidRPr="00BD532B">
        <w:rPr>
          <w:rFonts w:ascii="Arial Narrow" w:hAnsi="Arial Narrow"/>
          <w:color w:val="1F497D" w:themeColor="text2"/>
          <w:sz w:val="20"/>
          <w:szCs w:val="20"/>
          <w:vertAlign w:val="superscript"/>
        </w:rPr>
        <w:t>1</w:t>
      </w:r>
      <w:hyperlink r:id="rId8" w:history="1">
        <w:r w:rsidR="00BD532B" w:rsidRPr="004B20D2">
          <w:rPr>
            <w:rStyle w:val="Hyperlink"/>
            <w:rFonts w:ascii="Arial Narrow" w:hAnsi="Arial Narrow"/>
            <w:sz w:val="20"/>
            <w:szCs w:val="20"/>
          </w:rPr>
          <w:t>hasbiunhaj@gmail.com</w:t>
        </w:r>
      </w:hyperlink>
      <w:r w:rsidR="00BD532B">
        <w:rPr>
          <w:rFonts w:ascii="Arial Narrow" w:hAnsi="Arial Narrow"/>
          <w:sz w:val="20"/>
          <w:szCs w:val="20"/>
        </w:rPr>
        <w:t>,</w:t>
      </w:r>
      <w:r w:rsidR="00F345DE">
        <w:rPr>
          <w:rStyle w:val="Hyperlink"/>
          <w:rFonts w:ascii="Arial Narrow" w:hAnsi="Arial Narrow"/>
          <w:lang w:val="id-ID"/>
        </w:rPr>
        <w:t xml:space="preserve"> </w:t>
      </w:r>
    </w:p>
    <w:p w:rsidR="00FD71C6" w:rsidRPr="00FD71C6" w:rsidRDefault="00FD71C6" w:rsidP="00F17E7A">
      <w:pPr>
        <w:autoSpaceDE w:val="0"/>
        <w:autoSpaceDN w:val="0"/>
        <w:adjustRightInd w:val="0"/>
        <w:spacing w:after="0" w:line="240" w:lineRule="auto"/>
        <w:jc w:val="center"/>
        <w:rPr>
          <w:rFonts w:ascii="Arial Narrow" w:hAnsi="Arial Narrow"/>
          <w:lang w:val="id-ID"/>
        </w:rPr>
      </w:pPr>
    </w:p>
    <w:tbl>
      <w:tblPr>
        <w:tblW w:w="8364" w:type="dxa"/>
        <w:tblInd w:w="108" w:type="dxa"/>
        <w:tblLayout w:type="fixed"/>
        <w:tblLook w:val="0400" w:firstRow="0" w:lastRow="0" w:firstColumn="0" w:lastColumn="0" w:noHBand="0" w:noVBand="1"/>
      </w:tblPr>
      <w:tblGrid>
        <w:gridCol w:w="8364"/>
      </w:tblGrid>
      <w:tr w:rsidR="00540601" w:rsidTr="00565EE0">
        <w:tc>
          <w:tcPr>
            <w:tcW w:w="8364" w:type="dxa"/>
            <w:shd w:val="clear" w:color="auto" w:fill="auto"/>
          </w:tcPr>
          <w:p w:rsidR="00540601" w:rsidRPr="00E57D8C" w:rsidRDefault="00540601" w:rsidP="00565EE0">
            <w:pPr>
              <w:pStyle w:val="Heading3"/>
              <w:pBdr>
                <w:top w:val="none" w:sz="0" w:space="0" w:color="000000"/>
                <w:left w:val="none" w:sz="0" w:space="0" w:color="000000"/>
                <w:bottom w:val="none" w:sz="0" w:space="0" w:color="000000"/>
                <w:right w:val="none" w:sz="0" w:space="0" w:color="000000"/>
                <w:between w:val="none" w:sz="0" w:space="0" w:color="000000"/>
              </w:pBdr>
              <w:spacing w:before="0" w:after="0" w:line="240" w:lineRule="auto"/>
              <w:jc w:val="center"/>
              <w:rPr>
                <w:rFonts w:ascii="Arial Narrow" w:hAnsi="Arial Narrow"/>
              </w:rPr>
            </w:pPr>
            <w:r w:rsidRPr="00E57D8C">
              <w:rPr>
                <w:rFonts w:ascii="Arial Narrow" w:eastAsia="Book Antiqua" w:hAnsi="Arial Narrow" w:cs="Book Antiqua"/>
                <w:b/>
                <w:sz w:val="22"/>
                <w:szCs w:val="22"/>
              </w:rPr>
              <w:t>ABSTRA</w:t>
            </w:r>
            <w:r w:rsidRPr="00E57D8C">
              <w:rPr>
                <w:rFonts w:ascii="Arial Narrow" w:eastAsia="Book Antiqua" w:hAnsi="Arial Narrow" w:cs="Book Antiqua"/>
                <w:b/>
                <w:sz w:val="22"/>
                <w:szCs w:val="22"/>
                <w:lang w:val="id-ID"/>
              </w:rPr>
              <w:t>K</w:t>
            </w:r>
          </w:p>
        </w:tc>
      </w:tr>
      <w:tr w:rsidR="00540601" w:rsidTr="00565EE0">
        <w:trPr>
          <w:trHeight w:val="509"/>
        </w:trPr>
        <w:tc>
          <w:tcPr>
            <w:tcW w:w="8364" w:type="dxa"/>
            <w:vMerge w:val="restart"/>
            <w:shd w:val="clear" w:color="auto" w:fill="auto"/>
          </w:tcPr>
          <w:p w:rsidR="005C7756" w:rsidRPr="005C7756" w:rsidRDefault="005C7756" w:rsidP="00540601">
            <w:pPr>
              <w:spacing w:after="0" w:line="240" w:lineRule="auto"/>
              <w:ind w:left="425" w:right="282"/>
              <w:contextualSpacing/>
              <w:jc w:val="both"/>
              <w:rPr>
                <w:rFonts w:ascii="Arial Narrow" w:hAnsi="Arial Narrow"/>
              </w:rPr>
            </w:pPr>
            <w:r w:rsidRPr="005C7756">
              <w:rPr>
                <w:rFonts w:ascii="Arial Narrow" w:hAnsi="Arial Narrow" w:cs="Times New Roman"/>
              </w:rPr>
              <w:t xml:space="preserve">Pemberlakuan Undang-Undang Nomor 1 Tahun 2023 tentang Kitab Undang-Undang Hukum Pidana menandai transformasi fundamental pengaturan tindak pidana pencucian uang dari rezim hukum pidana khusus menuju kodifikasi hukum pidana nasional. Penelitian yuridis normatif ini menganalisis konstruksi yuridis, implikasi pemidanaan, dan harmonisasi dengan standar internasional menggunakan pendekatan komparatif terhadap Undang-Undang Nomor 8 Tahun 2010 tentang Pencegahan dan Pemberantasan Tindak Pidana Pencucian Uang. Bahan hukum primer mencakup UU No. 8/2010, UU No. 1/2023, dan UU No. 7/2011 tentang Mata Uang, dianalisis melalui metode deskriptif-komparatif dengan interpretasi sistematis dan historis. Hasil penelitian menunjukkan perubahan signifikan dalam rumusan delik yang menekankan unsur kesengajaan dan tujuan menyembunyikan asal-usul harta, potensi tumpang tindih normatif yang mempengaruhi efektivitas penegakan hukum dan perlindungan hak asasi manusia khususnya terkait mekanisme pembuktian terbalik, serta kesesuaian dengan rekomendasi </w:t>
            </w:r>
            <w:r w:rsidRPr="005C7756">
              <w:rPr>
                <w:rFonts w:ascii="Arial Narrow" w:hAnsi="Arial Narrow" w:cs="Times New Roman"/>
                <w:i/>
                <w:iCs/>
              </w:rPr>
              <w:t>Financial Action Task Force</w:t>
            </w:r>
            <w:r w:rsidRPr="005C7756">
              <w:rPr>
                <w:rFonts w:ascii="Arial Narrow" w:hAnsi="Arial Narrow" w:cs="Times New Roman"/>
              </w:rPr>
              <w:t xml:space="preserve"> meskipun memerlukan penguatan implementatif pada transparansi kepemilikan manfaat dan pengawasan profesi penunjang keuangan. Penelitian merekomendasikan perlunya peraturan pelaksanaan yang mengatur hubungan antar regulasi, peningkatan kapasitas penegak hukum dalam forensik keuangan, dan revisi regulasi untuk menutup celah penyalahgunaan struktur korporasi dalam pencucian uang.</w:t>
            </w:r>
          </w:p>
          <w:p w:rsidR="004778C4" w:rsidRPr="00E14B04" w:rsidRDefault="004778C4" w:rsidP="00540601">
            <w:pPr>
              <w:spacing w:after="0" w:line="240" w:lineRule="auto"/>
              <w:ind w:left="425" w:right="282"/>
              <w:contextualSpacing/>
              <w:jc w:val="both"/>
              <w:rPr>
                <w:rFonts w:ascii="Arial Narrow" w:hAnsi="Arial Narrow"/>
                <w:lang w:val="id-ID"/>
              </w:rPr>
            </w:pPr>
          </w:p>
        </w:tc>
      </w:tr>
      <w:tr w:rsidR="00540601" w:rsidTr="00565EE0">
        <w:trPr>
          <w:trHeight w:val="297"/>
        </w:trPr>
        <w:tc>
          <w:tcPr>
            <w:tcW w:w="8364" w:type="dxa"/>
            <w:vMerge/>
            <w:shd w:val="clear" w:color="auto" w:fill="auto"/>
          </w:tcPr>
          <w:p w:rsidR="00540601" w:rsidRPr="00E57D8C" w:rsidRDefault="00540601" w:rsidP="00565EE0">
            <w:pPr>
              <w:widowControl w:val="0"/>
              <w:pBdr>
                <w:top w:val="nil"/>
                <w:left w:val="nil"/>
                <w:bottom w:val="nil"/>
                <w:right w:val="nil"/>
                <w:between w:val="nil"/>
              </w:pBdr>
              <w:spacing w:after="0"/>
              <w:rPr>
                <w:rFonts w:ascii="Arial Narrow" w:eastAsia="Book Antiqua" w:hAnsi="Arial Narrow" w:cs="Book Antiqua"/>
              </w:rPr>
            </w:pPr>
          </w:p>
        </w:tc>
      </w:tr>
      <w:tr w:rsidR="00540601" w:rsidTr="00565EE0">
        <w:trPr>
          <w:trHeight w:val="297"/>
        </w:trPr>
        <w:tc>
          <w:tcPr>
            <w:tcW w:w="8364" w:type="dxa"/>
            <w:vMerge/>
            <w:shd w:val="clear" w:color="auto" w:fill="auto"/>
          </w:tcPr>
          <w:p w:rsidR="00540601" w:rsidRPr="00E57D8C" w:rsidRDefault="00540601" w:rsidP="00565EE0">
            <w:pPr>
              <w:widowControl w:val="0"/>
              <w:pBdr>
                <w:top w:val="nil"/>
                <w:left w:val="nil"/>
                <w:bottom w:val="nil"/>
                <w:right w:val="nil"/>
                <w:between w:val="nil"/>
              </w:pBdr>
              <w:spacing w:after="0"/>
              <w:rPr>
                <w:rFonts w:ascii="Arial Narrow" w:eastAsia="Book Antiqua" w:hAnsi="Arial Narrow" w:cs="Book Antiqua"/>
              </w:rPr>
            </w:pPr>
          </w:p>
        </w:tc>
      </w:tr>
      <w:tr w:rsidR="00540601" w:rsidTr="00565EE0">
        <w:tc>
          <w:tcPr>
            <w:tcW w:w="8364" w:type="dxa"/>
            <w:shd w:val="clear" w:color="auto" w:fill="auto"/>
          </w:tcPr>
          <w:p w:rsidR="00540601" w:rsidRPr="00F17E7A" w:rsidRDefault="00540601" w:rsidP="002421A7">
            <w:pPr>
              <w:spacing w:after="0" w:line="240" w:lineRule="auto"/>
              <w:ind w:left="459"/>
              <w:contextualSpacing/>
              <w:jc w:val="both"/>
              <w:rPr>
                <w:rFonts w:ascii="Arial Narrow" w:eastAsia="Book Antiqua" w:hAnsi="Arial Narrow"/>
                <w:lang w:val="id-ID"/>
              </w:rPr>
            </w:pPr>
            <w:r w:rsidRPr="00F94AED">
              <w:rPr>
                <w:rFonts w:ascii="Arial Narrow" w:eastAsia="Times New Roman" w:hAnsi="Arial Narrow"/>
                <w:lang w:val="id-ID"/>
              </w:rPr>
              <w:t>Kata Kunci</w:t>
            </w:r>
            <w:r w:rsidRPr="00F94AED">
              <w:rPr>
                <w:rFonts w:ascii="Arial Narrow" w:eastAsia="Times New Roman" w:hAnsi="Arial Narrow"/>
                <w:i/>
                <w:lang w:val="id-ID"/>
              </w:rPr>
              <w:t>:</w:t>
            </w:r>
            <w:r w:rsidR="00F17E7A">
              <w:rPr>
                <w:rFonts w:ascii="Arial Narrow" w:hAnsi="Arial Narrow"/>
                <w:lang w:val="id-ID"/>
              </w:rPr>
              <w:t xml:space="preserve"> </w:t>
            </w:r>
            <w:r w:rsidR="0078212C" w:rsidRPr="0078212C">
              <w:rPr>
                <w:rFonts w:ascii="Arial Narrow" w:hAnsi="Arial Narrow" w:cs="Times New Roman"/>
              </w:rPr>
              <w:t>pencucian uang, kodifikasi hukum pidana, harmonisasi internasional</w:t>
            </w:r>
          </w:p>
        </w:tc>
      </w:tr>
    </w:tbl>
    <w:p w:rsidR="009C0B64" w:rsidRPr="00F94AED" w:rsidRDefault="0002798F" w:rsidP="0002798F">
      <w:pPr>
        <w:tabs>
          <w:tab w:val="left" w:pos="975"/>
        </w:tabs>
        <w:spacing w:after="0" w:line="240" w:lineRule="auto"/>
        <w:contextualSpacing/>
        <w:jc w:val="both"/>
        <w:rPr>
          <w:rFonts w:ascii="Arial Narrow" w:hAnsi="Arial Narrow"/>
          <w:i/>
          <w:lang w:val="id-ID"/>
        </w:rPr>
      </w:pPr>
      <w:r>
        <w:rPr>
          <w:rFonts w:ascii="Arial Narrow" w:hAnsi="Arial Narrow"/>
          <w:i/>
          <w:lang w:val="id-ID"/>
        </w:rPr>
        <w:tab/>
      </w:r>
    </w:p>
    <w:p w:rsidR="00126A09" w:rsidRPr="0002798F" w:rsidRDefault="00E7058E" w:rsidP="00126A09">
      <w:pPr>
        <w:pStyle w:val="ListParagraph"/>
        <w:numPr>
          <w:ilvl w:val="0"/>
          <w:numId w:val="2"/>
        </w:numPr>
        <w:spacing w:after="0" w:line="360" w:lineRule="auto"/>
        <w:jc w:val="both"/>
        <w:rPr>
          <w:rFonts w:ascii="Arial Narrow" w:eastAsia="Times New Roman" w:hAnsi="Arial Narrow"/>
          <w:b/>
          <w:sz w:val="24"/>
          <w:szCs w:val="24"/>
          <w:lang w:val="id-ID"/>
        </w:rPr>
      </w:pPr>
      <w:r w:rsidRPr="009D55D1">
        <w:rPr>
          <w:rFonts w:ascii="Arial Narrow" w:eastAsia="Times New Roman" w:hAnsi="Arial Narrow"/>
          <w:b/>
          <w:sz w:val="24"/>
          <w:szCs w:val="24"/>
          <w:lang w:val="id-ID"/>
        </w:rPr>
        <w:t>Pendahuluan</w:t>
      </w:r>
    </w:p>
    <w:p w:rsidR="0002798F" w:rsidRPr="0002798F" w:rsidRDefault="0002798F" w:rsidP="00C56CC3">
      <w:pPr>
        <w:spacing w:after="0"/>
        <w:ind w:firstLine="720"/>
        <w:jc w:val="both"/>
        <w:rPr>
          <w:rFonts w:ascii="Arial Narrow" w:hAnsi="Arial Narrow" w:cs="Times New Roman"/>
          <w:sz w:val="24"/>
          <w:szCs w:val="24"/>
        </w:rPr>
      </w:pPr>
      <w:r w:rsidRPr="0002798F">
        <w:rPr>
          <w:rFonts w:ascii="Arial Narrow" w:hAnsi="Arial Narrow" w:cs="Times New Roman"/>
          <w:sz w:val="24"/>
          <w:szCs w:val="24"/>
        </w:rPr>
        <w:t>Tindak pidana pencucian uang merupakan kejahatan yang memiliki karakteristik kompleks dan berdimensi transnasional, yang tidak hanya mengancam stabilitas sistem keuangan tetapi juga merusak sendi-sendi perekonomian nasional serta integritas kelembagaan negara. Fenomena pencucian uang telah berkembang seiring dengan kemajuan teknologi finansial dan globalisasi ekonomi, menciptakan tantangan baru bagi penegakan hukum di Indonesia. Kejahatan ini pada hakikatnya merupakan upaya sistematis untuk menyembunyikan atau menyamarkan asal-usul harta kekayaan yang diperoleh dari tindak pidana, sehingga seolah-olah tampak sebagai aset yang sah dan legal. Permasalahan pencucian uang di Indonesia mengalami perkembangan signifikan, baik dari segi modus operandi maupun kompleksitas jaringan pelakunya, yang menuntut adanya pembaruan regulasi yang lebih adaptif dan komprehensif. Dinamika perkembangan kejahatan pencucian uang menunjukkan kecenderungan peningkatan yang mengkhawatirkan, terutama terkait dengan kejahatan asal (</w:t>
      </w:r>
      <w:r w:rsidRPr="0002798F">
        <w:rPr>
          <w:rFonts w:ascii="Arial Narrow" w:hAnsi="Arial Narrow" w:cs="Times New Roman"/>
          <w:i/>
          <w:iCs/>
          <w:sz w:val="24"/>
          <w:szCs w:val="24"/>
        </w:rPr>
        <w:t>predicate crime</w:t>
      </w:r>
      <w:r w:rsidRPr="0002798F">
        <w:rPr>
          <w:rFonts w:ascii="Arial Narrow" w:hAnsi="Arial Narrow" w:cs="Times New Roman"/>
          <w:sz w:val="24"/>
          <w:szCs w:val="24"/>
        </w:rPr>
        <w:t xml:space="preserve">) seperti korupsi, narkotika, dan kejahatan terorganisir lainnya yang menghasilkan keuntungan ekonomi dalam jumlah besar. Kondisi ini memerlukan </w:t>
      </w:r>
      <w:r w:rsidRPr="0002798F">
        <w:rPr>
          <w:rFonts w:ascii="Arial Narrow" w:hAnsi="Arial Narrow" w:cs="Times New Roman"/>
          <w:sz w:val="24"/>
          <w:szCs w:val="24"/>
        </w:rPr>
        <w:lastRenderedPageBreak/>
        <w:t>respons hukum yang tidak hanya bersifat represif tetapi juga preventif melalui penguatan kerangka regulasi yang mampu mengantisipasi berbagai bentuk kejahatan finansial modern.</w:t>
      </w:r>
    </w:p>
    <w:p w:rsidR="0002798F" w:rsidRPr="0002798F" w:rsidRDefault="0002798F" w:rsidP="00C56CC3">
      <w:pPr>
        <w:spacing w:after="0"/>
        <w:ind w:firstLine="720"/>
        <w:jc w:val="both"/>
        <w:rPr>
          <w:rFonts w:ascii="Arial Narrow" w:hAnsi="Arial Narrow" w:cs="Times New Roman"/>
          <w:sz w:val="24"/>
          <w:szCs w:val="24"/>
        </w:rPr>
      </w:pPr>
      <w:r w:rsidRPr="0002798F">
        <w:rPr>
          <w:rFonts w:ascii="Arial Narrow" w:hAnsi="Arial Narrow" w:cs="Times New Roman"/>
          <w:sz w:val="24"/>
          <w:szCs w:val="24"/>
        </w:rPr>
        <w:t>Kehadiran Undang-Undang Nomor 1 Tahun 2023 tentang Kitab Undang-Undang Hukum Pidana menandai babak baru dalam sistem pemidanaan Indonesia,</w:t>
      </w:r>
      <w:r w:rsidRPr="0002798F">
        <w:rPr>
          <w:rFonts w:ascii="Arial Narrow" w:hAnsi="Arial Narrow" w:cs="Times New Roman"/>
          <w:sz w:val="24"/>
          <w:szCs w:val="24"/>
        </w:rPr>
        <w:fldChar w:fldCharType="begin" w:fldLock="1"/>
      </w:r>
      <w:r w:rsidRPr="0002798F">
        <w:rPr>
          <w:rFonts w:ascii="Arial Narrow" w:hAnsi="Arial Narrow" w:cs="Times New Roman"/>
          <w:sz w:val="24"/>
          <w:szCs w:val="24"/>
        </w:rPr>
        <w:instrText>ADDIN CSL_CITATION {"citationItems":[{"id":"ITEM-1","itemData":{"abstract":"UU ini mengatur mengenai Kitab Undang-undang Hukum Pidana (KUHP). UU ini berisi Buku Kesatu dan Buku Kedua. Buku Kesatu UU ini Buku Kesatu berisi aturan umum sebagai pedoman bagi penerapan Buku Kedua serta Undang-Undang di luar Undang-Undang ini, Peraturan Daerah Provinsi, dan Peraturan Daerah kabupaten/Kota, kecuali ditentukan lain menurut Undang-Undang sehingga Buku Kesatu juga menjadi dasar bagi Undang-Undang di luar Undang-Undang ini.","author":[{"dropping-particle":"","family":"Undang -Undang Republik Indonesia","given":"","non-dropping-particle":"","parse-names":false,"suffix":""}],"id":"ITEM-1","issue":"16100","issued":{"date-parts":[["2023"]]},"title":"Nomor 1 Tahun 2023 Tentang Kitab Undang-Undang Hukum Pidana","type":"article-journal"},"uris":["http://www.mendeley.com/documents/?uuid=5c20668f-cab9-41f4-ac2c-193432fe75f4"]}],"mendeley":{"formattedCitation":"(Undang -Undang Republik Indonesia, 2023)","plainTextFormattedCitation":"(Undang -Undang Republik Indonesia, 2023)","previouslyFormattedCitation":"(Undang -Undang Republik Indonesia, 2023)"},"properties":{"noteIndex":0},"schema":"https://github.com/citation-style-language/schema/raw/master/csl-citation.json"}</w:instrText>
      </w:r>
      <w:r w:rsidRPr="0002798F">
        <w:rPr>
          <w:rFonts w:ascii="Arial Narrow" w:hAnsi="Arial Narrow" w:cs="Times New Roman"/>
          <w:sz w:val="24"/>
          <w:szCs w:val="24"/>
        </w:rPr>
        <w:fldChar w:fldCharType="separate"/>
      </w:r>
      <w:r w:rsidRPr="0002798F">
        <w:rPr>
          <w:rFonts w:ascii="Arial Narrow" w:hAnsi="Arial Narrow" w:cs="Times New Roman"/>
          <w:noProof/>
          <w:sz w:val="24"/>
          <w:szCs w:val="24"/>
        </w:rPr>
        <w:t>(Undang -Undang Republik Indonesia, 2023)</w:t>
      </w:r>
      <w:r w:rsidRPr="0002798F">
        <w:rPr>
          <w:rFonts w:ascii="Arial Narrow" w:hAnsi="Arial Narrow" w:cs="Times New Roman"/>
          <w:sz w:val="24"/>
          <w:szCs w:val="24"/>
        </w:rPr>
        <w:fldChar w:fldCharType="end"/>
      </w:r>
      <w:r w:rsidRPr="0002798F">
        <w:rPr>
          <w:rFonts w:ascii="Arial Narrow" w:hAnsi="Arial Narrow" w:cs="Times New Roman"/>
          <w:sz w:val="24"/>
          <w:szCs w:val="24"/>
        </w:rPr>
        <w:t xml:space="preserve"> termasuk dalam pengaturan tindak pidana pencucian uang. Kodifikasi hukum pidana nasional ini membawa implikasi fundamental terhadap reposisi tindak pidana pencucian uang dalam arsitektur hukum pidana Indonesia. Sebelum berlakunya undang-undang tersebut, pengaturan tindak pidana pencucian uang tertuang dalam Undang-Undang Nomor 8 Tahun 2010 tentang Pencegahan dan Pemberantasan Tindak Pidana Pencucian Uang sebagai regulasi khusus yang berdiri sendiri di luar kodifikasi hukum pidana umum.</w:t>
      </w:r>
      <w:r w:rsidRPr="0002798F">
        <w:rPr>
          <w:rFonts w:ascii="Arial Narrow" w:hAnsi="Arial Narrow" w:cs="Times New Roman"/>
          <w:sz w:val="24"/>
          <w:szCs w:val="24"/>
        </w:rPr>
        <w:fldChar w:fldCharType="begin" w:fldLock="1"/>
      </w:r>
      <w:r w:rsidRPr="0002798F">
        <w:rPr>
          <w:rFonts w:ascii="Arial Narrow" w:hAnsi="Arial Narrow" w:cs="Times New Roman"/>
          <w:sz w:val="24"/>
          <w:szCs w:val="24"/>
        </w:rPr>
        <w:instrText>ADDIN CSL_CITATION {"citationItems":[{"id":"ITEM-1","itemData":{"ISBN":"9788578110796","ISSN":"1098-6596","PMID":"25246403","abstract":"Esta publicação tem a cooperação da UNESCO no âmbito do Acordo de Cooperação Técnica MEC/UNESCO, o qual tem o objetivo a contribuição para a formulação e implementação de políticas integradas de melhoria da equidade e qualidade da educação em todos os níveis de ensino formal e não formal. Os autores são responsáveis pela escolha e presentação dos fatos contidos neste livro, bem como pelas opiniões nele expressas, que não são necessariamente as da UNESCO, nem comprometem a Organização. As indicações de nomes e a apresentação do material ao longo desta publicação não implicam a manifestação de qualquer opinião por parte da UNESCO a respeito da condição jurídica de qualquer país, território, cidade, região ou de suas autoridades, tampouco da delimitação de suas fronteiras ou limites","author":[{"dropping-particle":"","family":"Undang-Undang Republik Indonesia","given":"","non-dropping-particle":"","parse-names":false,"suffix":""}],"id":"ITEM-1","issued":{"date-parts":[["2010"]]},"page":"76-99","title":"Nomor 8 Tahun 2010 Tentang Pencegahan Dan Pemberantasan Tindak Pidana Pencucian Uang","type":"article-journal"},"uris":["http://www.mendeley.com/documents/?uuid=f98eee83-c7b3-4233-b78d-cb784cc35f63"]}],"mendeley":{"formattedCitation":"(Undang-Undang Republik Indonesia, 2010)","plainTextFormattedCitation":"(Undang-Undang Republik Indonesia, 2010)","previouslyFormattedCitation":"(Undang-Undang Republik Indonesia, 2010)"},"properties":{"noteIndex":0},"schema":"https://github.com/citation-style-language/schema/raw/master/csl-citation.json"}</w:instrText>
      </w:r>
      <w:r w:rsidRPr="0002798F">
        <w:rPr>
          <w:rFonts w:ascii="Arial Narrow" w:hAnsi="Arial Narrow" w:cs="Times New Roman"/>
          <w:sz w:val="24"/>
          <w:szCs w:val="24"/>
        </w:rPr>
        <w:fldChar w:fldCharType="separate"/>
      </w:r>
      <w:r w:rsidRPr="0002798F">
        <w:rPr>
          <w:rFonts w:ascii="Arial Narrow" w:hAnsi="Arial Narrow" w:cs="Times New Roman"/>
          <w:noProof/>
          <w:sz w:val="24"/>
          <w:szCs w:val="24"/>
        </w:rPr>
        <w:t>(Undang-Undang Republik Indonesia, 2010)</w:t>
      </w:r>
      <w:r w:rsidRPr="0002798F">
        <w:rPr>
          <w:rFonts w:ascii="Arial Narrow" w:hAnsi="Arial Narrow" w:cs="Times New Roman"/>
          <w:sz w:val="24"/>
          <w:szCs w:val="24"/>
        </w:rPr>
        <w:fldChar w:fldCharType="end"/>
      </w:r>
      <w:r w:rsidRPr="0002798F">
        <w:rPr>
          <w:rFonts w:ascii="Arial Narrow" w:hAnsi="Arial Narrow" w:cs="Times New Roman"/>
          <w:sz w:val="24"/>
          <w:szCs w:val="24"/>
        </w:rPr>
        <w:t xml:space="preserve"> Transformasi pengaturan ini menimbulkan pertanyaan krusial mengenai bagaimana posisi, ruang lingkup, dan mekanisme pemidanaan terhadap tindak pidana pencucian uang dalam konstelasi hukum pidana nasional yang baru. Perubahan paradigma pengaturan dari rezim hukum pidana khusus menuju integrasi dalam kodifikasi hukum pidana umum membawa konsekuensi yuridis yang perlu dikaji secara mendalam, terutama berkaitan dengan asas-asas pemidanaan, pola pertanggungjawaban pidana, serta harmonisasi dengan ketentuan internasional dalam pencegahan dan pemberantasan pencucian uang.</w:t>
      </w:r>
      <w:r w:rsidRPr="0002798F">
        <w:rPr>
          <w:rFonts w:ascii="Arial Narrow" w:hAnsi="Arial Narrow" w:cs="Times New Roman"/>
          <w:sz w:val="24"/>
          <w:szCs w:val="24"/>
        </w:rPr>
        <w:fldChar w:fldCharType="begin" w:fldLock="1"/>
      </w:r>
      <w:r w:rsidRPr="0002798F">
        <w:rPr>
          <w:rFonts w:ascii="Arial Narrow" w:hAnsi="Arial Narrow" w:cs="Times New Roman"/>
          <w:sz w:val="24"/>
          <w:szCs w:val="24"/>
        </w:rPr>
        <w:instrText>ADDIN CSL_CITATION {"citationItems":[{"id":"ITEM-1","itemData":{"DOI":"10.26532/jph.v2i1.1414","ISSN":"2355-0481","abstract":"Criminal law enforcement policy on prevention of money laundering in the context of criminal law reform in Indonesia can be started with the establishment of an appropriate legal products through through the government and passed by the House of Representatives, the readiness of law enforcement, protection for whistleblowers, reverse proof, constraints faced in the implementation of policies enforcement of criminal law on prevention of money laundering in the context of criminal law reform in Indonesia, the Increasing Money Laundering, human resources investigator’s ability is limited, Lack of coordination among law enforcement agencies, Prevention and Eradication of Money Laundering in the form a the Reporting Center and Financial analysis hereinafter referred PPATK. This institution is an independent agency that has the authority and duty to examine the suspected actions related to money laundering.","author":[{"dropping-particle":"","family":"Wahyuningsih","given":"Sri Endah","non-dropping-particle":"","parse-names":false,"suffix":""},{"dropping-particle":"","family":"Rismanto","given":"Rismanto","non-dropping-particle":"","parse-names":false,"suffix":""}],"container-title":"Jurnal Pembaharuan Hukum","id":"ITEM-1","issue":"1","issued":{"date-parts":[["2025"]]},"page":"46","title":"Kebijakan Penegakan Hukum Pidana Terhadap Penanggulangan Money Laundering Dalam Rangka Pembaharuan Hukum Pidana Di Indonesia","type":"article-journal","volume":"2"},"uris":["http://www.mendeley.com/documents/?uuid=5523ebcb-7402-48a9-bbde-d5a3b2888ae1"]}],"mendeley":{"formattedCitation":"(Wahyuningsih &amp; Rismanto, 2025)","plainTextFormattedCitation":"(Wahyuningsih &amp; Rismanto, 2025)","previouslyFormattedCitation":"(Wahyuningsih &amp; Rismanto, 2025)"},"properties":{"noteIndex":0},"schema":"https://github.com/citation-style-language/schema/raw/master/csl-citation.json"}</w:instrText>
      </w:r>
      <w:r w:rsidRPr="0002798F">
        <w:rPr>
          <w:rFonts w:ascii="Arial Narrow" w:hAnsi="Arial Narrow" w:cs="Times New Roman"/>
          <w:sz w:val="24"/>
          <w:szCs w:val="24"/>
        </w:rPr>
        <w:fldChar w:fldCharType="separate"/>
      </w:r>
      <w:r w:rsidRPr="0002798F">
        <w:rPr>
          <w:rFonts w:ascii="Arial Narrow" w:hAnsi="Arial Narrow" w:cs="Times New Roman"/>
          <w:noProof/>
          <w:sz w:val="24"/>
          <w:szCs w:val="24"/>
        </w:rPr>
        <w:t>(Wahyuningsih &amp; Rismanto, 2025)</w:t>
      </w:r>
      <w:r w:rsidRPr="0002798F">
        <w:rPr>
          <w:rFonts w:ascii="Arial Narrow" w:hAnsi="Arial Narrow" w:cs="Times New Roman"/>
          <w:sz w:val="24"/>
          <w:szCs w:val="24"/>
        </w:rPr>
        <w:fldChar w:fldCharType="end"/>
      </w:r>
    </w:p>
    <w:p w:rsidR="0002798F" w:rsidRPr="0002798F" w:rsidRDefault="0002798F" w:rsidP="0002798F">
      <w:pPr>
        <w:ind w:firstLine="720"/>
        <w:jc w:val="both"/>
        <w:rPr>
          <w:rFonts w:ascii="Arial Narrow" w:hAnsi="Arial Narrow" w:cs="Times New Roman"/>
          <w:sz w:val="24"/>
          <w:szCs w:val="24"/>
        </w:rPr>
      </w:pPr>
      <w:r w:rsidRPr="0002798F">
        <w:rPr>
          <w:rFonts w:ascii="Arial Narrow" w:hAnsi="Arial Narrow" w:cs="Times New Roman"/>
          <w:sz w:val="24"/>
          <w:szCs w:val="24"/>
        </w:rPr>
        <w:t xml:space="preserve">Berbagai penelitian terdahulu telah mengkaji aspek-aspek tindak pidana pencucian uang dari berbagai perspektif akademis. Penelitian yang dilakukan oleh </w:t>
      </w:r>
      <w:r w:rsidRPr="0002798F">
        <w:rPr>
          <w:rFonts w:ascii="Arial Narrow" w:hAnsi="Arial Narrow" w:cs="Times New Roman"/>
          <w:noProof/>
          <w:sz w:val="24"/>
          <w:szCs w:val="24"/>
        </w:rPr>
        <w:t>Ginting</w:t>
      </w:r>
      <w:r w:rsidRPr="0002798F">
        <w:rPr>
          <w:rFonts w:ascii="Arial Narrow" w:hAnsi="Arial Narrow" w:cs="Times New Roman"/>
          <w:sz w:val="24"/>
          <w:szCs w:val="24"/>
        </w:rPr>
        <w:t xml:space="preserve"> memfokuskan pada efektivitas penerapan prinsip </w:t>
      </w:r>
      <w:r w:rsidRPr="0002798F">
        <w:rPr>
          <w:rFonts w:ascii="Arial Narrow" w:hAnsi="Arial Narrow" w:cs="Times New Roman"/>
          <w:i/>
          <w:iCs/>
          <w:sz w:val="24"/>
          <w:szCs w:val="24"/>
        </w:rPr>
        <w:t>follow the money</w:t>
      </w:r>
      <w:r w:rsidRPr="0002798F">
        <w:rPr>
          <w:rFonts w:ascii="Arial Narrow" w:hAnsi="Arial Narrow" w:cs="Times New Roman"/>
          <w:sz w:val="24"/>
          <w:szCs w:val="24"/>
        </w:rPr>
        <w:t xml:space="preserve"> dalam penegakan hukum tindak pidana pencucian uang di Indonesia, dengan menekankan pentingnya penelusuran aliran dana sebagai strategi pembuktian yang efektif dalam mengungkap jaringan kejahatan ekonomi.</w:t>
      </w:r>
      <w:r w:rsidRPr="0002798F">
        <w:rPr>
          <w:rFonts w:ascii="Arial Narrow" w:hAnsi="Arial Narrow" w:cs="Times New Roman"/>
          <w:sz w:val="24"/>
          <w:szCs w:val="24"/>
        </w:rPr>
        <w:fldChar w:fldCharType="begin" w:fldLock="1"/>
      </w:r>
      <w:r w:rsidRPr="0002798F">
        <w:rPr>
          <w:rFonts w:ascii="Arial Narrow" w:hAnsi="Arial Narrow" w:cs="Times New Roman"/>
          <w:sz w:val="24"/>
          <w:szCs w:val="24"/>
        </w:rPr>
        <w:instrText>ADDIN CSL_CITATION {"citationItems":[{"id":"ITEM-1","itemData":{"ISSN":"2527-3477","abstract":"Tindak pidana pencucian uang terdapat karakteristik khusus yang membedakan dengan tindak pidana. Tindak pidana pencucian uang merupakan follow up crime, sedangkan hasil kejahatan yang diproses pencucian uang disebut sebagai predicate offence. Predicate crime dalam Undang-Undang Nomor 8 Tahun 2010 tentang Pencegahan dan Pemberantasan Tindak Pidana Pencucian Uang menggunakan pendekatan follow the money dan follow the suspect berdasarkan teori hukum guna memastikan adanya tindak pidana pencucian uang. Cara efektif dalam memberantas tindak pidana pencucin uang dengan menyamakan persepsi dan kerjasama aparat penegak hukum dalam menggunakan pendekatan follow the money sebagai pelengkap pendekatan follow the suspect untuk memperoleh hasil yang maksimal dalam pemberantasan tindak pidana pencucian uang.","author":[{"dropping-particle":"","family":"Ginting","given":"Yuni Priskila","non-dropping-particle":"","parse-names":false,"suffix":""}],"container-title":"Mulawarman Law Review","id":"ITEM-1","issue":"32","issued":{"date-parts":[["2021"]]},"page":"105-114","title":"Pemberantasan Pencucian Uang dengan Pendekatan Follow the Money dan Follow the Suspect","type":"article-journal","volume":"6"},"uris":["http://www.mendeley.com/documents/?uuid=25fba240-ae1f-41c0-a312-af74c748a67d"]}],"mendeley":{"formattedCitation":"(Ginting, 2021)","plainTextFormattedCitation":"(Ginting, 2021)","previouslyFormattedCitation":"(Ginting, 2021)"},"properties":{"noteIndex":0},"schema":"https://github.com/citation-style-language/schema/raw/master/csl-citation.json"}</w:instrText>
      </w:r>
      <w:r w:rsidRPr="0002798F">
        <w:rPr>
          <w:rFonts w:ascii="Arial Narrow" w:hAnsi="Arial Narrow" w:cs="Times New Roman"/>
          <w:sz w:val="24"/>
          <w:szCs w:val="24"/>
        </w:rPr>
        <w:fldChar w:fldCharType="separate"/>
      </w:r>
      <w:r w:rsidRPr="0002798F">
        <w:rPr>
          <w:rFonts w:ascii="Arial Narrow" w:hAnsi="Arial Narrow" w:cs="Times New Roman"/>
          <w:noProof/>
          <w:sz w:val="24"/>
          <w:szCs w:val="24"/>
        </w:rPr>
        <w:t>(Ginting, 2021)</w:t>
      </w:r>
      <w:r w:rsidRPr="0002798F">
        <w:rPr>
          <w:rFonts w:ascii="Arial Narrow" w:hAnsi="Arial Narrow" w:cs="Times New Roman"/>
          <w:sz w:val="24"/>
          <w:szCs w:val="24"/>
        </w:rPr>
        <w:fldChar w:fldCharType="end"/>
      </w:r>
      <w:r w:rsidRPr="0002798F">
        <w:rPr>
          <w:rFonts w:ascii="Arial Narrow" w:hAnsi="Arial Narrow" w:cs="Times New Roman"/>
          <w:sz w:val="24"/>
          <w:szCs w:val="24"/>
        </w:rPr>
        <w:t xml:space="preserve"> Sementara itu, kajian yang dilaksanakan oleh </w:t>
      </w:r>
      <w:r w:rsidRPr="0002798F">
        <w:rPr>
          <w:rFonts w:ascii="Arial Narrow" w:hAnsi="Arial Narrow" w:cs="Times New Roman"/>
          <w:noProof/>
          <w:sz w:val="24"/>
          <w:szCs w:val="24"/>
        </w:rPr>
        <w:t>Lasmadi dan Sudarti</w:t>
      </w:r>
      <w:r w:rsidRPr="0002798F">
        <w:rPr>
          <w:rFonts w:ascii="Arial Narrow" w:hAnsi="Arial Narrow" w:cs="Times New Roman"/>
          <w:sz w:val="24"/>
          <w:szCs w:val="24"/>
        </w:rPr>
        <w:t xml:space="preserve"> menganalisis problematika pembuktian tindak pidana pencucian uang dalam perspektif perlindungan hak asasi terdakwa, yang menyoroti dilema antara kepentingan penegakan hukum dengan jaminan hak-hak prosedural tersangka atau terdakwa.</w:t>
      </w:r>
      <w:r w:rsidRPr="0002798F">
        <w:rPr>
          <w:rFonts w:ascii="Arial Narrow" w:hAnsi="Arial Narrow" w:cs="Times New Roman"/>
          <w:sz w:val="24"/>
          <w:szCs w:val="24"/>
        </w:rPr>
        <w:fldChar w:fldCharType="begin" w:fldLock="1"/>
      </w:r>
      <w:r w:rsidRPr="0002798F">
        <w:rPr>
          <w:rFonts w:ascii="Arial Narrow" w:hAnsi="Arial Narrow" w:cs="Times New Roman"/>
          <w:sz w:val="24"/>
          <w:szCs w:val="24"/>
        </w:rPr>
        <w:instrText>ADDIN CSL_CITATION {"citationItems":[{"id":"ITEM-1","itemData":{"abstract":"Penelitian ini dilatarbelakangi oleh sulitnya proses pembuktian pada tindak pidana pencucian uang yang kemudian digunakan mekanisme pembalikan beban pembuktian dalam pemeriksaan di pengadilan. Metode penelitian ini merupakan penelitian hukum normatif, menggunakan pendekatan undang-undang, konseptual, dan pendekatan kasus. Dari hasil henelitian dapat disimpukan: (1) Pembuktian terbalik diterapkan terhadap harta kekayaan terdakwa, baik untuk tindak pidana pencucian uang aktif (Pasal 3 dan Pasal 4) dan tindak pidana pencucian uang pasif (Pasal 5). Namun, konsep pembuktian terbalik tidak dijelaskan secara jelas dan tegas dalam Undang-Undang Pencegahan dan Pemberantasan Tindak Pidana Pencucian Uang, sehingga menimbulkan ketidakjelasan dalam pelaksanaannya. (2) Akibat hukum terhadap harta kekayaan terdakwa yaitu apabila terdakwa berhasil membuktikan bahwa harta kekayaan terdakwa bukan merupakan hasil tindak pidana, maka harta kekayaan tersebut tetap dalam penguasaan terdakwa dan ahli warisnya. Jika terdakwa tidak dapat membuktikan bahwa harta kekayaannya bukan hasil tindak pidana, maka harta kekayaan tersebut akan disita kemudian dirampas oleh negara setelah ada putusan pengadilan yang berkekuatan hukum tetap.","author":[{"dropping-particle":"","family":"Lasmadi","given":"Sahuri","non-dropping-particle":"","parse-names":false,"suffix":""},{"dropping-particle":"","family":"Sudarti","given":"Elly","non-dropping-particle":"","parse-names":false,"suffix":""}],"container-title":"Jurnal Ilmu Hukum","id":"ITEM-1","issue":"2","issued":{"date-parts":[["2021"]]},"page":"17-32","title":"Pembuktian Terbalik Pada Tindak Pidana Pencucian Uang","type":"article-journal","volume":"5"},"uris":["http://www.mendeley.com/documents/?uuid=b1d0722c-6fc5-41d3-9081-b3aab084b116"]}],"mendeley":{"formattedCitation":"(Lasmadi &amp; Sudarti, 2021)","plainTextFormattedCitation":"(Lasmadi &amp; Sudarti, 2021)","previouslyFormattedCitation":"(Lasmadi &amp; Sudarti, 2021)"},"properties":{"noteIndex":0},"schema":"https://github.com/citation-style-language/schema/raw/master/csl-citation.json"}</w:instrText>
      </w:r>
      <w:r w:rsidRPr="0002798F">
        <w:rPr>
          <w:rFonts w:ascii="Arial Narrow" w:hAnsi="Arial Narrow" w:cs="Times New Roman"/>
          <w:sz w:val="24"/>
          <w:szCs w:val="24"/>
        </w:rPr>
        <w:fldChar w:fldCharType="separate"/>
      </w:r>
      <w:r w:rsidRPr="0002798F">
        <w:rPr>
          <w:rFonts w:ascii="Arial Narrow" w:hAnsi="Arial Narrow" w:cs="Times New Roman"/>
          <w:noProof/>
          <w:sz w:val="24"/>
          <w:szCs w:val="24"/>
        </w:rPr>
        <w:t>(Lasmadi &amp; Sudarti, 2021)</w:t>
      </w:r>
      <w:r w:rsidRPr="0002798F">
        <w:rPr>
          <w:rFonts w:ascii="Arial Narrow" w:hAnsi="Arial Narrow" w:cs="Times New Roman"/>
          <w:sz w:val="24"/>
          <w:szCs w:val="24"/>
        </w:rPr>
        <w:fldChar w:fldCharType="end"/>
      </w:r>
      <w:r w:rsidRPr="0002798F">
        <w:rPr>
          <w:rFonts w:ascii="Arial Narrow" w:hAnsi="Arial Narrow" w:cs="Times New Roman"/>
          <w:sz w:val="24"/>
          <w:szCs w:val="24"/>
        </w:rPr>
        <w:t xml:space="preserve"> Penelitian lain yang dilakukan oleh </w:t>
      </w:r>
      <w:r w:rsidRPr="0002798F">
        <w:rPr>
          <w:rFonts w:ascii="Arial Narrow" w:hAnsi="Arial Narrow" w:cs="Times New Roman"/>
          <w:noProof/>
          <w:sz w:val="24"/>
          <w:szCs w:val="24"/>
        </w:rPr>
        <w:t>Mouriska dan Purwati</w:t>
      </w:r>
      <w:r w:rsidRPr="0002798F">
        <w:rPr>
          <w:rFonts w:ascii="Arial Narrow" w:hAnsi="Arial Narrow" w:cs="Times New Roman"/>
          <w:sz w:val="24"/>
          <w:szCs w:val="24"/>
        </w:rPr>
        <w:t xml:space="preserve"> mengeksplorasi harmonisasi regulasi pencegahan pencucian uang dengan standar internasional </w:t>
      </w:r>
      <w:r w:rsidRPr="0002798F">
        <w:rPr>
          <w:rFonts w:ascii="Arial Narrow" w:hAnsi="Arial Narrow" w:cs="Times New Roman"/>
          <w:i/>
          <w:iCs/>
          <w:sz w:val="24"/>
          <w:szCs w:val="24"/>
        </w:rPr>
        <w:t>Financial Action Task Force</w:t>
      </w:r>
      <w:r w:rsidRPr="0002798F">
        <w:rPr>
          <w:rFonts w:ascii="Arial Narrow" w:hAnsi="Arial Narrow" w:cs="Times New Roman"/>
          <w:sz w:val="24"/>
          <w:szCs w:val="24"/>
        </w:rPr>
        <w:t>, yang mengidentifikasi kesenjangan antara praktik Indonesia dengan rekomendasi global dalam rezim anti pencucian uang.</w:t>
      </w:r>
      <w:r w:rsidRPr="0002798F">
        <w:rPr>
          <w:rFonts w:ascii="Arial Narrow" w:hAnsi="Arial Narrow" w:cs="Times New Roman"/>
          <w:sz w:val="24"/>
          <w:szCs w:val="24"/>
        </w:rPr>
        <w:fldChar w:fldCharType="begin" w:fldLock="1"/>
      </w:r>
      <w:r w:rsidRPr="0002798F">
        <w:rPr>
          <w:rFonts w:ascii="Arial Narrow" w:hAnsi="Arial Narrow" w:cs="Times New Roman"/>
          <w:sz w:val="24"/>
          <w:szCs w:val="24"/>
        </w:rPr>
        <w:instrText>ADDIN CSL_CITATION {"citationItems":[{"id":"ITEM-1","itemData":{"DOI":"10.71282/jurmie.v2i8.813","abstract":"This study examines the role of the Financial Action Task Force (FATF) in combating organized financial crimes, particularly through the harmonization of international regulations against money laundering. As an intergovernmental body, FATF has established 40 Recommendations that serve as global standards for the prevention and suppression of money laundering and terrorist financing. This research employs a normative juridical method with statutory, historical, and comparative approaches, utilizing primary legal materials such as national legislation and official FATF documents, secondary legal materials from academic literature and legal journals, and tertiary materials such as legal dictionaries. The findings reveal that the harmonization of international regulations through FATF has driven significant policy reforms in Indonesia, including the strengthening of beneficial ownership regulations, the expansion of supervision over non-financial sectors, and the enhancement of cross-border cooperation in financial intelligence exchange. Nevertheless, challenges remain in implementation, particularly due to limited law enforcement capacity, inconsistent understanding among business actors, and regulatory gaps in the digital sector. This study recommends strengthening inter-agency coordination, adopting international best practices such as a public beneficial ownership registry, and establishing a specialized financial investigation unit with cross-border forensic expertise. The findings contribute to the literature on international law and public policy by highlighting the importance of adaptive global regulatory harmonization in addressing evolving financial crime schemes.","author":[{"dropping-particle":"","family":"Mouriska","given":"Nurhani","non-dropping-particle":"","parse-names":false,"suffix":""},{"dropping-particle":"","family":"Purwati","given":"Ani","non-dropping-particle":"","parse-names":false,"suffix":""}],"container-title":"Jurnal Riset Multidisiplin Edukasi","id":"ITEM-1","issue":"8","issued":{"date-parts":[["2025"]]},"page":"321-334","title":"Peran Financial Action Task Force (Fatf) Dalam Harmonisasi Penanggulangan Pencucian Uang Global","type":"article-journal","volume":"2"},"uris":["http://www.mendeley.com/documents/?uuid=4061b62e-c678-4207-b459-af7197bc862f"]}],"mendeley":{"formattedCitation":"(Mouriska &amp; Purwati, 2025)","plainTextFormattedCitation":"(Mouriska &amp; Purwati, 2025)","previouslyFormattedCitation":"(Mouriska &amp; Purwati, 2025)"},"properties":{"noteIndex":0},"schema":"https://github.com/citation-style-language/schema/raw/master/csl-citation.json"}</w:instrText>
      </w:r>
      <w:r w:rsidRPr="0002798F">
        <w:rPr>
          <w:rFonts w:ascii="Arial Narrow" w:hAnsi="Arial Narrow" w:cs="Times New Roman"/>
          <w:sz w:val="24"/>
          <w:szCs w:val="24"/>
        </w:rPr>
        <w:fldChar w:fldCharType="separate"/>
      </w:r>
      <w:r w:rsidRPr="0002798F">
        <w:rPr>
          <w:rFonts w:ascii="Arial Narrow" w:hAnsi="Arial Narrow" w:cs="Times New Roman"/>
          <w:noProof/>
          <w:sz w:val="24"/>
          <w:szCs w:val="24"/>
        </w:rPr>
        <w:t>(Mouriska &amp; Purwati, 2025)</w:t>
      </w:r>
      <w:r w:rsidRPr="0002798F">
        <w:rPr>
          <w:rFonts w:ascii="Arial Narrow" w:hAnsi="Arial Narrow" w:cs="Times New Roman"/>
          <w:sz w:val="24"/>
          <w:szCs w:val="24"/>
        </w:rPr>
        <w:fldChar w:fldCharType="end"/>
      </w:r>
      <w:r w:rsidRPr="0002798F">
        <w:rPr>
          <w:rFonts w:ascii="Arial Narrow" w:hAnsi="Arial Narrow" w:cs="Times New Roman"/>
          <w:sz w:val="24"/>
          <w:szCs w:val="24"/>
        </w:rPr>
        <w:t xml:space="preserve"> Studi yang dikembangkan oleh </w:t>
      </w:r>
      <w:r w:rsidRPr="0002798F">
        <w:rPr>
          <w:rFonts w:ascii="Arial Narrow" w:hAnsi="Arial Narrow" w:cs="Times New Roman"/>
          <w:noProof/>
          <w:sz w:val="24"/>
          <w:szCs w:val="24"/>
        </w:rPr>
        <w:t>Ronaldo dkk.</w:t>
      </w:r>
      <w:r w:rsidRPr="0002798F">
        <w:rPr>
          <w:rFonts w:ascii="Arial Narrow" w:hAnsi="Arial Narrow" w:cs="Times New Roman"/>
          <w:sz w:val="24"/>
          <w:szCs w:val="24"/>
        </w:rPr>
        <w:t xml:space="preserve"> mengkaji implementasi prinsip pembalikan beban pembuktian dalam tindak pidana pencucian uang dan implikasinya terhadap asas praduga tidak bersalah, yang menunjukkan kompleksitas penerapan mekanisme pembuktian terbalik dalam sistem peradilan pidana Indonesia.</w:t>
      </w:r>
      <w:r w:rsidRPr="0002798F">
        <w:rPr>
          <w:rFonts w:ascii="Arial Narrow" w:hAnsi="Arial Narrow" w:cs="Times New Roman"/>
          <w:sz w:val="24"/>
          <w:szCs w:val="24"/>
        </w:rPr>
        <w:fldChar w:fldCharType="begin" w:fldLock="1"/>
      </w:r>
      <w:r w:rsidRPr="0002798F">
        <w:rPr>
          <w:rFonts w:ascii="Arial Narrow" w:hAnsi="Arial Narrow" w:cs="Times New Roman"/>
          <w:sz w:val="24"/>
          <w:szCs w:val="24"/>
        </w:rPr>
        <w:instrText>ADDIN CSL_CITATION {"citationItems":[{"id":"ITEM-1","itemData":{"DOI":"10.28946/lexl.v4i1.1296","abstract":"ABSTRAK: Dalam profesi pegawai negeri sipil kejaksaan, peranan jaksa diatur dalam Undang-Undang Nomor 16 Tahun 2004 tentang Kejaksaan. Jaksa sering menindak pidana khusus yang salah satunya adalah tindak pidana narkotika sesuai hukum.  Ketentuan pidana tindak pidana narkotika diatur oleh Undang–Undang Nomor 35 Tahun 2009 Tentang Narkotika dengan minimal menjalani rehabilitasi dan maksimalnya bandar atau pengedar dikenakan pidana mati. Selain Narkotika, Tindak Pidana Pencucian Uang pun merupakan tindak pidana khusus diatur dalam Undang-Undang Nomor 08 Tahun 2010. Penelitian ini bertujuan untuk mengetahui bagaimana pelaksanaan pembuktian tindak pidana pencucian uang dari hasil tindak pidana narkotika, penerapan sanksinya, dan pengaturan pembuktian terhadap tindak pidana pencucian uang dari hasil tindak pidana narkotika di masa mendatang. Penelitian ini menggunakan metode hukum normatif in concreto dengan tambahan data pendukung berupa wawancara yang bertujuan untuk menemukan apakah hukumnya sesuai untuk diterapkan in concerto. Bahan hukum diperoleh dari hasil penelitian kepustakaan berupa kitab undang-undang, buku-buku Literatur, atikel, juga Kamus Bahasa Indonesia dan kamus istilah hukum. Hasilnya menjelaskan bahwa tindak pidana pencucian uang yang diindikasikan dari hasil tindak pidana narkotika harus dibuktikan keduanya menurut unsur subjektif (mengetahui, patut menduga dan bermaksud) dan objektifnya. Diberlakukannya sistem beban pembuktian terbalik (omkering van het bewijslast). Juga adanya aturan bahwa undang – Undang Pencegahan dan Penanggulangan Tindak Pidana Pencucian Uang khususnya Pasal 69 perlu dilakukan revisi.  Kata kunci: Jaksa, Pencucian Uang, Pidana Narkotika ","author":[{"dropping-particle":"","family":"Ronaldo","given":"Ronaldo -","non-dropping-particle":"","parse-names":false,"suffix":""},{"dropping-particle":"","family":"Emirzon","given":"Joni","non-dropping-particle":"","parse-names":false,"suffix":""},{"dropping-particle":"","family":"Yuningsih","given":"Henny","non-dropping-particle":"","parse-names":false,"suffix":""}],"container-title":"Lex LATA","id":"ITEM-1","issue":"1","issued":{"date-parts":[["2022"]]},"title":"Pelaksanaan Pembuktian Tindak Pidana Pencucian Uang Dalam Hasil Kejahatan Narkotika","type":"article-journal","volume":"4"},"uris":["http://www.mendeley.com/documents/?uuid=0656e29f-9a47-46fd-a6d5-9522a64c04a7"]}],"mendeley":{"formattedCitation":"(Ronaldo et al., 2022)","plainTextFormattedCitation":"(Ronaldo et al., 2022)","previouslyFormattedCitation":"(Ronaldo et al., 2022)"},"properties":{"noteIndex":0},"schema":"https://github.com/citation-style-language/schema/raw/master/csl-citation.json"}</w:instrText>
      </w:r>
      <w:r w:rsidRPr="0002798F">
        <w:rPr>
          <w:rFonts w:ascii="Arial Narrow" w:hAnsi="Arial Narrow" w:cs="Times New Roman"/>
          <w:sz w:val="24"/>
          <w:szCs w:val="24"/>
        </w:rPr>
        <w:fldChar w:fldCharType="separate"/>
      </w:r>
      <w:r w:rsidRPr="0002798F">
        <w:rPr>
          <w:rFonts w:ascii="Arial Narrow" w:hAnsi="Arial Narrow" w:cs="Times New Roman"/>
          <w:noProof/>
          <w:sz w:val="24"/>
          <w:szCs w:val="24"/>
        </w:rPr>
        <w:t>(Ronaldo et al., 2022)</w:t>
      </w:r>
      <w:r w:rsidRPr="0002798F">
        <w:rPr>
          <w:rFonts w:ascii="Arial Narrow" w:hAnsi="Arial Narrow" w:cs="Times New Roman"/>
          <w:sz w:val="24"/>
          <w:szCs w:val="24"/>
        </w:rPr>
        <w:fldChar w:fldCharType="end"/>
      </w:r>
      <w:r w:rsidRPr="0002798F">
        <w:rPr>
          <w:rFonts w:ascii="Arial Narrow" w:hAnsi="Arial Narrow" w:cs="Times New Roman"/>
          <w:sz w:val="24"/>
          <w:szCs w:val="24"/>
        </w:rPr>
        <w:t xml:space="preserve"> Sementara penelitian </w:t>
      </w:r>
      <w:r w:rsidRPr="0002798F">
        <w:rPr>
          <w:rFonts w:ascii="Arial Narrow" w:hAnsi="Arial Narrow" w:cs="Times New Roman"/>
          <w:noProof/>
          <w:sz w:val="24"/>
          <w:szCs w:val="24"/>
        </w:rPr>
        <w:t>Wahyuningsih dan Rismanto</w:t>
      </w:r>
      <w:r w:rsidRPr="0002798F">
        <w:rPr>
          <w:rFonts w:ascii="Arial Narrow" w:hAnsi="Arial Narrow" w:cs="Times New Roman"/>
          <w:sz w:val="24"/>
          <w:szCs w:val="24"/>
        </w:rPr>
        <w:t xml:space="preserve"> menganalisis kebijakan kriminalisasi tindak pidana pencucian uang dalam perspektif kebijakan hukum pidana, yang membahas rasionalitas dan proporsionalitas sanksi pidana terhadap pelaku pencucian uang.</w:t>
      </w:r>
      <w:r w:rsidRPr="0002798F">
        <w:rPr>
          <w:rFonts w:ascii="Arial Narrow" w:hAnsi="Arial Narrow" w:cs="Times New Roman"/>
          <w:sz w:val="24"/>
          <w:szCs w:val="24"/>
        </w:rPr>
        <w:fldChar w:fldCharType="begin" w:fldLock="1"/>
      </w:r>
      <w:r w:rsidRPr="0002798F">
        <w:rPr>
          <w:rFonts w:ascii="Arial Narrow" w:hAnsi="Arial Narrow" w:cs="Times New Roman"/>
          <w:sz w:val="24"/>
          <w:szCs w:val="24"/>
        </w:rPr>
        <w:instrText>ADDIN CSL_CITATION {"citationItems":[{"id":"ITEM-1","itemData":{"DOI":"10.26532/jph.v2i1.1414","ISSN":"2355-0481","abstract":"Criminal law enforcement policy on prevention of money laundering in the context of criminal law reform in Indonesia can be started with the establishment of an appropriate legal products through through the government and passed by the House of Representatives, the readiness of law enforcement, protection for whistleblowers, reverse proof, constraints faced in the implementation of policies enforcement of criminal law on prevention of money laundering in the context of criminal law reform in Indonesia, the Increasing Money Laundering, human resources investigator’s ability is limited, Lack of coordination among law enforcement agencies, Prevention and Eradication of Money Laundering in the form a the Reporting Center and Financial analysis hereinafter referred PPATK. This institution is an independent agency that has the authority and duty to examine the suspected actions related to money laundering.","author":[{"dropping-particle":"","family":"Wahyuningsih","given":"Sri Endah","non-dropping-particle":"","parse-names":false,"suffix":""},{"dropping-particle":"","family":"Rismanto","given":"Rismanto","non-dropping-particle":"","parse-names":false,"suffix":""}],"container-title":"Jurnal Pembaharuan Hukum","id":"ITEM-1","issue":"1","issued":{"date-parts":[["2025"]]},"page":"46","title":"Kebijakan Penegakan Hukum Pidana Terhadap Penanggulangan Money Laundering Dalam Rangka Pembaharuan Hukum Pidana Di Indonesia","type":"article-journal","volume":"2"},"uris":["http://www.mendeley.com/documents/?uuid=5523ebcb-7402-48a9-bbde-d5a3b2888ae1"]}],"mendeley":{"formattedCitation":"(Wahyuningsih &amp; Rismanto, 2025)","plainTextFormattedCitation":"(Wahyuningsih &amp; Rismanto, 2025)","previouslyFormattedCitation":"(Wahyuningsih &amp; Rismanto, 2025)"},"properties":{"noteIndex":0},"schema":"https://github.com/citation-style-language/schema/raw/master/csl-citation.json"}</w:instrText>
      </w:r>
      <w:r w:rsidRPr="0002798F">
        <w:rPr>
          <w:rFonts w:ascii="Arial Narrow" w:hAnsi="Arial Narrow" w:cs="Times New Roman"/>
          <w:sz w:val="24"/>
          <w:szCs w:val="24"/>
        </w:rPr>
        <w:fldChar w:fldCharType="separate"/>
      </w:r>
      <w:r w:rsidRPr="0002798F">
        <w:rPr>
          <w:rFonts w:ascii="Arial Narrow" w:hAnsi="Arial Narrow" w:cs="Times New Roman"/>
          <w:noProof/>
          <w:sz w:val="24"/>
          <w:szCs w:val="24"/>
        </w:rPr>
        <w:t>(Wahyuningsih &amp; Rismanto, 2025)</w:t>
      </w:r>
      <w:r w:rsidRPr="0002798F">
        <w:rPr>
          <w:rFonts w:ascii="Arial Narrow" w:hAnsi="Arial Narrow" w:cs="Times New Roman"/>
          <w:sz w:val="24"/>
          <w:szCs w:val="24"/>
        </w:rPr>
        <w:fldChar w:fldCharType="end"/>
      </w:r>
      <w:r w:rsidRPr="0002798F">
        <w:rPr>
          <w:rFonts w:ascii="Arial Narrow" w:hAnsi="Arial Narrow" w:cs="Times New Roman"/>
          <w:sz w:val="24"/>
          <w:szCs w:val="24"/>
        </w:rPr>
        <w:t xml:space="preserve"> Adapun kajian yang dilakukan oleh </w:t>
      </w:r>
      <w:r w:rsidRPr="0002798F">
        <w:rPr>
          <w:rFonts w:ascii="Arial Narrow" w:hAnsi="Arial Narrow" w:cs="Times New Roman"/>
          <w:noProof/>
          <w:sz w:val="24"/>
          <w:szCs w:val="24"/>
        </w:rPr>
        <w:t>Rosikhu</w:t>
      </w:r>
      <w:r w:rsidRPr="0002798F">
        <w:rPr>
          <w:rFonts w:ascii="Arial Narrow" w:hAnsi="Arial Narrow" w:cs="Times New Roman"/>
          <w:sz w:val="24"/>
          <w:szCs w:val="24"/>
        </w:rPr>
        <w:t xml:space="preserve"> memfokuskan pada peran lembaga Pusat Pelaporan dan Analisis Transaksi Keuangan dalam sistem pencegahan dan pemberantasan tindak pidana pencucian uang, yang mengidentifikasi berbagai tantangan kelembagaan dalam optimalisasi fungsi deteksi dini transaksi keuangan mencurigakan.</w:t>
      </w:r>
      <w:r w:rsidRPr="0002798F">
        <w:rPr>
          <w:rFonts w:ascii="Arial Narrow" w:hAnsi="Arial Narrow" w:cs="Times New Roman"/>
          <w:sz w:val="24"/>
          <w:szCs w:val="24"/>
        </w:rPr>
        <w:fldChar w:fldCharType="begin" w:fldLock="1"/>
      </w:r>
      <w:r w:rsidRPr="0002798F">
        <w:rPr>
          <w:rFonts w:ascii="Arial Narrow" w:hAnsi="Arial Narrow" w:cs="Times New Roman"/>
          <w:sz w:val="24"/>
          <w:szCs w:val="24"/>
        </w:rPr>
        <w:instrText>ADDIN CSL_CITATION {"citationItems":[{"id":"ITEM-1","itemData":{"abstract":"The phenomenon of money laundering is increasingly troubling the public, especially related to the practice of trading fraud and trading robots that deceive many victims. Money laundering is a serious economic crime that uses financial institutions to hide the origin of illegal funds. The research uses literature research methods to collect and analyze information from various reliable sources. The results show that money laundering practices involve a variety of complex methods such as real estate, foreign transactions, and false income generation. The Financial Transaction Reporting and Analysis Center (PPATK) plays an important role in the prevention and enforcement of this crime in Indonesia, with independent authority to tackle money laundering and terrorism financing. This research provides in-depth insight into the concept, operational mechanism, and efforts to prevent money laundering crimes.","author":[{"dropping-particle":"","family":"Rosikhu","given":"Muhammad","non-dropping-particle":"","parse-names":false,"suffix":""}],"container-title":"IJLJ: Indonesian Journal of Law and Justice","id":"ITEM-1","issue":"2","issued":{"date-parts":[["2020"]]},"page":"21-30","title":"Peran Pusat Pelaporan Dan Analisis Transaksi Keuangan Dalam Pencegahan Dan Pemberantasan Tindak Pidana Pencucian Uang","type":"article-journal","volume":"1"},"uris":["http://www.mendeley.com/documents/?uuid=5533f715-a9b4-47b1-81e1-69386d29d310"]}],"mendeley":{"formattedCitation":"(Rosikhu, 2020)","plainTextFormattedCitation":"(Rosikhu, 2020)","previouslyFormattedCitation":"(Rosikhu, 2020)"},"properties":{"noteIndex":0},"schema":"https://github.com/citation-style-language/schema/raw/master/csl-citation.json"}</w:instrText>
      </w:r>
      <w:r w:rsidRPr="0002798F">
        <w:rPr>
          <w:rFonts w:ascii="Arial Narrow" w:hAnsi="Arial Narrow" w:cs="Times New Roman"/>
          <w:sz w:val="24"/>
          <w:szCs w:val="24"/>
        </w:rPr>
        <w:fldChar w:fldCharType="separate"/>
      </w:r>
      <w:r w:rsidRPr="0002798F">
        <w:rPr>
          <w:rFonts w:ascii="Arial Narrow" w:hAnsi="Arial Narrow" w:cs="Times New Roman"/>
          <w:noProof/>
          <w:sz w:val="24"/>
          <w:szCs w:val="24"/>
        </w:rPr>
        <w:t>(Rosikhu, 2020)</w:t>
      </w:r>
      <w:r w:rsidRPr="0002798F">
        <w:rPr>
          <w:rFonts w:ascii="Arial Narrow" w:hAnsi="Arial Narrow" w:cs="Times New Roman"/>
          <w:sz w:val="24"/>
          <w:szCs w:val="24"/>
        </w:rPr>
        <w:fldChar w:fldCharType="end"/>
      </w:r>
    </w:p>
    <w:p w:rsidR="0002798F" w:rsidRPr="0002798F" w:rsidRDefault="0002798F" w:rsidP="00C56CC3">
      <w:pPr>
        <w:spacing w:after="0"/>
        <w:ind w:firstLine="720"/>
        <w:jc w:val="both"/>
        <w:rPr>
          <w:rFonts w:ascii="Arial Narrow" w:hAnsi="Arial Narrow" w:cs="Times New Roman"/>
          <w:sz w:val="24"/>
          <w:szCs w:val="24"/>
        </w:rPr>
      </w:pPr>
      <w:r w:rsidRPr="0002798F">
        <w:rPr>
          <w:rFonts w:ascii="Arial Narrow" w:hAnsi="Arial Narrow" w:cs="Times New Roman"/>
          <w:sz w:val="24"/>
          <w:szCs w:val="24"/>
        </w:rPr>
        <w:lastRenderedPageBreak/>
        <w:t>Meskipun telah banyak penelitian yang mengkaji tindak pidana pencucian uang, namun terdapat kekosongan riset (</w:t>
      </w:r>
      <w:r w:rsidRPr="0002798F">
        <w:rPr>
          <w:rFonts w:ascii="Arial Narrow" w:hAnsi="Arial Narrow" w:cs="Times New Roman"/>
          <w:i/>
          <w:iCs/>
          <w:sz w:val="24"/>
          <w:szCs w:val="24"/>
        </w:rPr>
        <w:t>research gap</w:t>
      </w:r>
      <w:r w:rsidRPr="0002798F">
        <w:rPr>
          <w:rFonts w:ascii="Arial Narrow" w:hAnsi="Arial Narrow" w:cs="Times New Roman"/>
          <w:sz w:val="24"/>
          <w:szCs w:val="24"/>
        </w:rPr>
        <w:t>) yang signifikan terkait dengan analisis komparatif pengaturan tindak pidana pencucian uang sebelum dan sesudah berlakunya Undang-Undang Nomor 1 Tahun 2023.</w:t>
      </w:r>
      <w:r w:rsidRPr="0002798F">
        <w:rPr>
          <w:rFonts w:ascii="Arial Narrow" w:hAnsi="Arial Narrow" w:cs="Times New Roman"/>
          <w:sz w:val="24"/>
          <w:szCs w:val="24"/>
        </w:rPr>
        <w:fldChar w:fldCharType="begin" w:fldLock="1"/>
      </w:r>
      <w:r w:rsidRPr="0002798F">
        <w:rPr>
          <w:rFonts w:ascii="Arial Narrow" w:hAnsi="Arial Narrow" w:cs="Times New Roman"/>
          <w:sz w:val="24"/>
          <w:szCs w:val="24"/>
        </w:rPr>
        <w:instrText>ADDIN CSL_CITATION {"citationItems":[{"id":"ITEM-1","itemData":{"abstract":"UU ini mengatur mengenai Kitab Undang-undang Hukum Pidana (KUHP). UU ini berisi Buku Kesatu dan Buku Kedua. Buku Kesatu UU ini Buku Kesatu berisi aturan umum sebagai pedoman bagi penerapan Buku Kedua serta Undang-Undang di luar Undang-Undang ini, Peraturan Daerah Provinsi, dan Peraturan Daerah kabupaten/Kota, kecuali ditentukan lain menurut Undang-Undang sehingga Buku Kesatu juga menjadi dasar bagi Undang-Undang di luar Undang-Undang ini.","author":[{"dropping-particle":"","family":"Undang-Undang Republik Indonesia","given":"","non-dropping-particle":"","parse-names":false,"suffix":""}],"id":"ITEM-1","issue":"16100","issued":{"date-parts":[["2023"]]},"title":"Nomor 1 Tahun 2023 Tentang Kitab Undang-Undang Hukum Pidana","type":"article-journal"},"uris":["http://www.mendeley.com/documents/?uuid=41b9d885-3682-48cf-ade8-1574269860c3"]}],"mendeley":{"formattedCitation":"(Undang-Undang Republik Indonesia, 2023)","plainTextFormattedCitation":"(Undang-Undang Republik Indonesia, 2023)","previouslyFormattedCitation":"(Undang-Undang Republik Indonesia, 2023)"},"properties":{"noteIndex":0},"schema":"https://github.com/citation-style-language/schema/raw/master/csl-citation.json"}</w:instrText>
      </w:r>
      <w:r w:rsidRPr="0002798F">
        <w:rPr>
          <w:rFonts w:ascii="Arial Narrow" w:hAnsi="Arial Narrow" w:cs="Times New Roman"/>
          <w:sz w:val="24"/>
          <w:szCs w:val="24"/>
        </w:rPr>
        <w:fldChar w:fldCharType="separate"/>
      </w:r>
      <w:r w:rsidRPr="0002798F">
        <w:rPr>
          <w:rFonts w:ascii="Arial Narrow" w:hAnsi="Arial Narrow" w:cs="Times New Roman"/>
          <w:noProof/>
          <w:sz w:val="24"/>
          <w:szCs w:val="24"/>
        </w:rPr>
        <w:t>(Undang-Undang Republik Indonesia, 2023)</w:t>
      </w:r>
      <w:r w:rsidRPr="0002798F">
        <w:rPr>
          <w:rFonts w:ascii="Arial Narrow" w:hAnsi="Arial Narrow" w:cs="Times New Roman"/>
          <w:sz w:val="24"/>
          <w:szCs w:val="24"/>
        </w:rPr>
        <w:fldChar w:fldCharType="end"/>
      </w:r>
      <w:r w:rsidRPr="0002798F">
        <w:rPr>
          <w:rFonts w:ascii="Arial Narrow" w:hAnsi="Arial Narrow" w:cs="Times New Roman"/>
          <w:sz w:val="24"/>
          <w:szCs w:val="24"/>
        </w:rPr>
        <w:t xml:space="preserve"> Penelitian-penelitian sebelumnya cenderung mengkaji tindak pidana pencucian uang dalam kerangka regulasi khusus yang terpisah dari kodifikasi hukum pidana umum, sehingga belum menyentuh dimensi reposisi sistemik pencucian uang dalam arsitektur hukum pidana nasional yang baru. Kesenjangan penelitian ini menjadi semakin penting mengingat transformasi fundamental yang terjadi dalam sistem pemidanaan Indonesia pasca berlakunya kodifikasi hukum pidana baru, yang berpotensi mengubah paradigma pemidanaan terhadap tindak pidana pencucian uang baik dari aspek substantif maupun prosedural. Belum adanya kajian komprehensif yang membandingkan konstruksi yuridis, filosofis, dan sosiologis pengaturan tindak pidana pencucian uang dalam dua rezim hukum yang berbeda ini menciptakan urgensi akademis untuk melakukan penelitian yang mengisi kekosongan tersebut. Analisis komparatif menjadi krusial untuk memahami implikasi perubahan pengaturan terhadap efektivitas penegakan hukum, perlindungan hak asasi, serta harmonisasi dengan standar internasional dalam pencegahan dan pemberantasan pencucian uang.</w:t>
      </w:r>
    </w:p>
    <w:p w:rsidR="0002798F" w:rsidRPr="0002798F" w:rsidRDefault="0002798F" w:rsidP="00C56CC3">
      <w:pPr>
        <w:spacing w:after="0"/>
        <w:ind w:firstLine="720"/>
        <w:jc w:val="both"/>
        <w:rPr>
          <w:rFonts w:ascii="Arial Narrow" w:hAnsi="Arial Narrow" w:cs="Times New Roman"/>
          <w:sz w:val="24"/>
          <w:szCs w:val="24"/>
        </w:rPr>
      </w:pPr>
      <w:r w:rsidRPr="0002798F">
        <w:rPr>
          <w:rFonts w:ascii="Arial Narrow" w:hAnsi="Arial Narrow" w:cs="Times New Roman"/>
          <w:sz w:val="24"/>
          <w:szCs w:val="24"/>
        </w:rPr>
        <w:t>Kebaruan penelitian (</w:t>
      </w:r>
      <w:r w:rsidRPr="0002798F">
        <w:rPr>
          <w:rFonts w:ascii="Arial Narrow" w:hAnsi="Arial Narrow" w:cs="Times New Roman"/>
          <w:i/>
          <w:iCs/>
          <w:sz w:val="24"/>
          <w:szCs w:val="24"/>
        </w:rPr>
        <w:t>novelty</w:t>
      </w:r>
      <w:r w:rsidRPr="0002798F">
        <w:rPr>
          <w:rFonts w:ascii="Arial Narrow" w:hAnsi="Arial Narrow" w:cs="Times New Roman"/>
          <w:sz w:val="24"/>
          <w:szCs w:val="24"/>
        </w:rPr>
        <w:t xml:space="preserve">) ini terletak pada pendekatan komparatif sistematis yang menganalisis reposisi tindak pidana pencucian uang dalam sistem pemidanaan nasional dengan membandingkan konstruksi hukum sebelum dan sesudah berlakunya Undang-Undang Nomor 1 Tahun 2023. Penelitian ini menawarkan perspektif baru dalam memahami transformasi pengaturan pencucian uang dari rezim hukum pidana khusus menuju integrasi dalam kodifikasi hukum pidana umum, dengan mengidentifikasi perubahan-perubahan fundamental dalam rumusan delik, sistem pertanggungjawaban pidana, mekanisme pemidanaan, serta implikasinya terhadap praktik penegakan hukum. Kebaruan lain dari penelitian ini adalah analisis mendalam terhadap konsistensi internal pengaturan pencucian uang dalam KUHP baru dengan prinsip-prinsip hukum pidana modern, serta harmonisasinya dengan konvensi internasional dan rekomendasi </w:t>
      </w:r>
      <w:r w:rsidRPr="0002798F">
        <w:rPr>
          <w:rFonts w:ascii="Arial Narrow" w:hAnsi="Arial Narrow" w:cs="Times New Roman"/>
          <w:i/>
          <w:iCs/>
          <w:sz w:val="24"/>
          <w:szCs w:val="24"/>
        </w:rPr>
        <w:t>Financial Action Task Force</w:t>
      </w:r>
      <w:r w:rsidRPr="0002798F">
        <w:rPr>
          <w:rFonts w:ascii="Arial Narrow" w:hAnsi="Arial Narrow" w:cs="Times New Roman"/>
          <w:sz w:val="24"/>
          <w:szCs w:val="24"/>
        </w:rPr>
        <w:t xml:space="preserve">. Penelitian ini juga menghadirkan kontribusi teoretis berupa kerangka konseptual baru dalam memahami kedudukan tindak pidana pencucian uang sebagai kejahatan yang bersifat </w:t>
      </w:r>
      <w:r w:rsidRPr="0002798F">
        <w:rPr>
          <w:rFonts w:ascii="Arial Narrow" w:hAnsi="Arial Narrow" w:cs="Times New Roman"/>
          <w:i/>
          <w:iCs/>
          <w:sz w:val="24"/>
          <w:szCs w:val="24"/>
        </w:rPr>
        <w:t>sui generis</w:t>
      </w:r>
      <w:r w:rsidRPr="0002798F">
        <w:rPr>
          <w:rFonts w:ascii="Arial Narrow" w:hAnsi="Arial Narrow" w:cs="Times New Roman"/>
          <w:sz w:val="24"/>
          <w:szCs w:val="24"/>
        </w:rPr>
        <w:t xml:space="preserve"> dalam sistem hukum pidana Indonesia, yang memiliki karakteristik khusus namun tetap tunduk pada asas-asas umum hukum pidana. Dimensi kebaruan lainnya adalah kajian terhadap implikasi praktis perubahan pengaturan ini bagi para penegak hukum, praktisi hukum, lembaga keuangan, serta masyarakat luas dalam konteks pencegahan dan pemberantasan kejahatan pencucian uang di era digital dan globalisasi ekonomi.</w:t>
      </w:r>
      <w:r w:rsidRPr="0002798F">
        <w:rPr>
          <w:rFonts w:ascii="Arial Narrow" w:hAnsi="Arial Narrow" w:cs="Times New Roman"/>
          <w:sz w:val="24"/>
          <w:szCs w:val="24"/>
        </w:rPr>
        <w:fldChar w:fldCharType="begin" w:fldLock="1"/>
      </w:r>
      <w:r w:rsidRPr="0002798F">
        <w:rPr>
          <w:rFonts w:ascii="Arial Narrow" w:hAnsi="Arial Narrow" w:cs="Times New Roman"/>
          <w:sz w:val="24"/>
          <w:szCs w:val="24"/>
        </w:rPr>
        <w:instrText>ADDIN CSL_CITATION {"citationItems":[{"id":"ITEM-1","itemData":{"DOI":"10.1017/cri.2025.10076","ISSN":"2398676X","abstract":"Transnational criminal law (TCL) is at the forefront of contemporary legal scholarship, addressing the increasing complexity of crimes that transcend national borders, including organized crime, terrorism, human trafficking and corruption. This article critically examines the historical evolution and current challenges of TCL, with a focus on the interplay between international cooperation, national sovereignty and the harmonization of legal standards. Using the exile of Napoleon Bonaparte as a historical case study, the article traces the transformation of international criminal responsibility from the ad hoc political mechanisms of the nineteenth century to the codified procedures of the International Criminal Court and the Rome Statute and then to treaty-based global counteraction of crime. The analysis highlights persistent fragmentation in TCL, including inconsistencies in liability, corporate responsibility and sentencing, particularly in transitional and post-conflict societies. Special emphasis is placed on the necessity for legal harmonization, the protection of human rights and the development of effective enforcement mechanisms to address cross-border crime. The article employs comparative legal analysis, doctrinal research and policy evaluation to propose pathways for reform, including enhanced international cooperation, unified legal definitions and the integration of international human rights standards. The findings underscore the urgent need for a cohesive global framework to ensure justice, security and accountability in the face of evolving transnational threats.","author":[{"dropping-particle":"","family":"Tuliakov","given":"Viacheslav","non-dropping-particle":"","parse-names":false,"suffix":""}],"container-title":"International Annals of Criminology","id":"ITEM-1","issued":{"date-parts":[["2025"]]},"page":"383-405","title":"Transnational Criminal Law, Sovereignty and International Justice: Harmonization Challenges and Policy Evolution","type":"article-journal"},"uris":["http://www.mendeley.com/documents/?uuid=75713b73-f1e2-4ee7-b75e-3015d560ae04"]}],"mendeley":{"formattedCitation":"(Tuliakov, 2025)","plainTextFormattedCitation":"(Tuliakov, 2025)","previouslyFormattedCitation":"(Tuliakov, 2025)"},"properties":{"noteIndex":0},"schema":"https://github.com/citation-style-language/schema/raw/master/csl-citation.json"}</w:instrText>
      </w:r>
      <w:r w:rsidRPr="0002798F">
        <w:rPr>
          <w:rFonts w:ascii="Arial Narrow" w:hAnsi="Arial Narrow" w:cs="Times New Roman"/>
          <w:sz w:val="24"/>
          <w:szCs w:val="24"/>
        </w:rPr>
        <w:fldChar w:fldCharType="separate"/>
      </w:r>
      <w:r w:rsidRPr="0002798F">
        <w:rPr>
          <w:rFonts w:ascii="Arial Narrow" w:hAnsi="Arial Narrow" w:cs="Times New Roman"/>
          <w:noProof/>
          <w:sz w:val="24"/>
          <w:szCs w:val="24"/>
        </w:rPr>
        <w:t>(Tuliakov, 2025)</w:t>
      </w:r>
      <w:r w:rsidRPr="0002798F">
        <w:rPr>
          <w:rFonts w:ascii="Arial Narrow" w:hAnsi="Arial Narrow" w:cs="Times New Roman"/>
          <w:sz w:val="24"/>
          <w:szCs w:val="24"/>
        </w:rPr>
        <w:fldChar w:fldCharType="end"/>
      </w:r>
    </w:p>
    <w:p w:rsidR="0002798F" w:rsidRPr="0002798F" w:rsidRDefault="0002798F" w:rsidP="00C56CC3">
      <w:pPr>
        <w:spacing w:after="0"/>
        <w:ind w:firstLine="720"/>
        <w:jc w:val="both"/>
        <w:rPr>
          <w:rFonts w:ascii="Arial Narrow" w:hAnsi="Arial Narrow" w:cs="Times New Roman"/>
          <w:sz w:val="24"/>
          <w:szCs w:val="24"/>
        </w:rPr>
      </w:pPr>
      <w:r w:rsidRPr="0002798F">
        <w:rPr>
          <w:rFonts w:ascii="Arial Narrow" w:hAnsi="Arial Narrow" w:cs="Times New Roman"/>
          <w:sz w:val="24"/>
          <w:szCs w:val="24"/>
        </w:rPr>
        <w:t xml:space="preserve">Berdasarkan latar belakang dan identifikasi kesenjangan penelitian yang telah diuraikan, maka rumusan masalah dalam penelitian ini adalah sebagai berikut: pertama, bagaimana konstruksi yuridis pengaturan tindak pidana pencucian uang sebelum dan sesudah berlakunya Undang-Undang Nomor 1 Tahun 2023 dalam sistem pemidanaan nasional? Kedua, apa implikasi yuridis reposisi tindak pidana pencucian uang dalam kodifikasi hukum pidana nasional terhadap efektivitas penegakan hukum dan perlindungan hak asasi? Ketiga, bagaimana harmonisasi pengaturan tindak pidana pencucian uang dalam Undang-Undang Nomor 1 Tahun 2023 dengan standar internasional pencegahan dan pemberantasan pencucian uang? Ketiga rumusan masalah ini dirancang untuk mengeksplorasi secara komprehensif dinamika perubahan pengaturan tindak pidana pencucian </w:t>
      </w:r>
      <w:r w:rsidRPr="0002798F">
        <w:rPr>
          <w:rFonts w:ascii="Arial Narrow" w:hAnsi="Arial Narrow" w:cs="Times New Roman"/>
          <w:sz w:val="24"/>
          <w:szCs w:val="24"/>
        </w:rPr>
        <w:lastRenderedPageBreak/>
        <w:t>uang dalam perspektif komparatif, sehingga dapat memberikan pemahaman holistik tentang reposisi kejahatan ini dalam arsitektur hukum pidana Indonesia kontemporer.</w:t>
      </w:r>
      <w:r w:rsidRPr="0002798F">
        <w:rPr>
          <w:rFonts w:ascii="Arial Narrow" w:hAnsi="Arial Narrow" w:cs="Times New Roman"/>
          <w:sz w:val="24"/>
          <w:szCs w:val="24"/>
        </w:rPr>
        <w:fldChar w:fldCharType="begin" w:fldLock="1"/>
      </w:r>
      <w:r w:rsidRPr="0002798F">
        <w:rPr>
          <w:rFonts w:ascii="Arial Narrow" w:hAnsi="Arial Narrow" w:cs="Times New Roman"/>
          <w:sz w:val="24"/>
          <w:szCs w:val="24"/>
        </w:rPr>
        <w:instrText>ADDIN CSL_CITATION {"citationItems":[{"id":"ITEM-1","itemData":{"abstract":"Penelitian ini dilatarbelakangi oleh sulitnya proses pembuktian pada tindak pidana pencucian uang yang kemudian digunakan mekanisme pembalikan beban pembuktian dalam pemeriksaan di pengadilan. Metode penelitian ini merupakan penelitian hukum normatif, menggunakan pendekatan undang-undang, konseptual, dan pendekatan kasus. Dari hasil henelitian dapat disimpukan: (1) Pembuktian terbalik diterapkan terhadap harta kekayaan terdakwa, baik untuk tindak pidana pencucian uang aktif (Pasal 3 dan Pasal 4) dan tindak pidana pencucian uang pasif (Pasal 5). Namun, konsep pembuktian terbalik tidak dijelaskan secara jelas dan tegas dalam Undang-Undang Pencegahan dan Pemberantasan Tindak Pidana Pencucian Uang, sehingga menimbulkan ketidakjelasan dalam pelaksanaannya. (2) Akibat hukum terhadap harta kekayaan terdakwa yaitu apabila terdakwa berhasil membuktikan bahwa harta kekayaan terdakwa bukan merupakan hasil tindak pidana, maka harta kekayaan tersebut tetap dalam penguasaan terdakwa dan ahli warisnya. Jika terdakwa tidak dapat membuktikan bahwa harta kekayaannya bukan hasil tindak pidana, maka harta kekayaan tersebut akan disita kemudian dirampas oleh negara setelah ada putusan pengadilan yang berkekuatan hukum tetap.","author":[{"dropping-particle":"","family":"Lasmadi","given":"Sahuri","non-dropping-particle":"","parse-names":false,"suffix":""},{"dropping-particle":"","family":"Sudarti","given":"Elly","non-dropping-particle":"","parse-names":false,"suffix":""}],"container-title":"Jurnal Ilmu Hukum","id":"ITEM-1","issue":"2","issued":{"date-parts":[["2021"]]},"page":"17-32","title":"Pembuktian Terbalik Pada Tindak Pidana Pencucian Uang","type":"article-journal","volume":"5"},"uris":["http://www.mendeley.com/documents/?uuid=b1d0722c-6fc5-41d3-9081-b3aab084b116"]}],"mendeley":{"formattedCitation":"(Lasmadi &amp; Sudarti, 2021)","plainTextFormattedCitation":"(Lasmadi &amp; Sudarti, 2021)","previouslyFormattedCitation":"(Lasmadi &amp; Sudarti, 2021)"},"properties":{"noteIndex":0},"schema":"https://github.com/citation-style-language/schema/raw/master/csl-citation.json"}</w:instrText>
      </w:r>
      <w:r w:rsidRPr="0002798F">
        <w:rPr>
          <w:rFonts w:ascii="Arial Narrow" w:hAnsi="Arial Narrow" w:cs="Times New Roman"/>
          <w:sz w:val="24"/>
          <w:szCs w:val="24"/>
        </w:rPr>
        <w:fldChar w:fldCharType="separate"/>
      </w:r>
      <w:r w:rsidRPr="0002798F">
        <w:rPr>
          <w:rFonts w:ascii="Arial Narrow" w:hAnsi="Arial Narrow" w:cs="Times New Roman"/>
          <w:noProof/>
          <w:sz w:val="24"/>
          <w:szCs w:val="24"/>
        </w:rPr>
        <w:t>(Lasmadi &amp; Sudarti, 2021)</w:t>
      </w:r>
      <w:r w:rsidRPr="0002798F">
        <w:rPr>
          <w:rFonts w:ascii="Arial Narrow" w:hAnsi="Arial Narrow" w:cs="Times New Roman"/>
          <w:sz w:val="24"/>
          <w:szCs w:val="24"/>
        </w:rPr>
        <w:fldChar w:fldCharType="end"/>
      </w:r>
    </w:p>
    <w:p w:rsidR="00467B7C" w:rsidRDefault="0002798F" w:rsidP="00C56CC3">
      <w:pPr>
        <w:spacing w:after="0"/>
        <w:ind w:firstLine="720"/>
        <w:jc w:val="both"/>
        <w:rPr>
          <w:rFonts w:ascii="Arial Narrow" w:hAnsi="Arial Narrow" w:cs="Times New Roman"/>
          <w:sz w:val="24"/>
          <w:szCs w:val="24"/>
        </w:rPr>
      </w:pPr>
      <w:r w:rsidRPr="0002798F">
        <w:rPr>
          <w:rFonts w:ascii="Arial Narrow" w:hAnsi="Arial Narrow" w:cs="Times New Roman"/>
          <w:sz w:val="24"/>
          <w:szCs w:val="24"/>
        </w:rPr>
        <w:t xml:space="preserve">Penelitian ini bertujuan untuk menganalisis dan membandingkan konstruksi yuridis pengaturan tindak pidana pencucian uang sebelum dan sesudah berlakunya Undang-Undang Nomor 1 Tahun 2023, sehingga dapat diidentifikasi perubahan-perubahan fundamental dalam rumusan delik, unsur-unsur tindak pidana, sistem pertanggungjawaban pidana, serta mekanisme pemidanaan. Tujuan selanjutnya adalah mengidentifikasi dan menganalisis implikasi yuridis dari reposisi tindak pidana pencucian uang dalam kodifikasi hukum pidana nasional, khususnya terhadap efektivitas penegakan hukum dan perlindungan hak asasi manusia dalam proses peradilan pidana. Penelitian ini juga bertujuan untuk mengevaluasi harmonisasi pengaturan tindak pidana pencucian uang dalam Undang-Undang Nomor 1 Tahun 2023 dengan standar internasional yang ditetapkan oleh konvensi-konvensi internasional dan rekomendasi </w:t>
      </w:r>
      <w:r w:rsidRPr="0002798F">
        <w:rPr>
          <w:rFonts w:ascii="Arial Narrow" w:hAnsi="Arial Narrow" w:cs="Times New Roman"/>
          <w:i/>
          <w:iCs/>
          <w:sz w:val="24"/>
          <w:szCs w:val="24"/>
        </w:rPr>
        <w:t>Financial Action Task Force</w:t>
      </w:r>
      <w:r w:rsidRPr="0002798F">
        <w:rPr>
          <w:rFonts w:ascii="Arial Narrow" w:hAnsi="Arial Narrow" w:cs="Times New Roman"/>
          <w:sz w:val="24"/>
          <w:szCs w:val="24"/>
        </w:rPr>
        <w:t>, sehingga dapat diketahui tingkat kesesuaian regulasi nasional dengan praktik terbaik global dalam pencegahan dan pemberantasan pencucian uang.</w:t>
      </w:r>
      <w:r w:rsidRPr="0002798F">
        <w:rPr>
          <w:rFonts w:ascii="Arial Narrow" w:hAnsi="Arial Narrow" w:cs="Times New Roman"/>
          <w:sz w:val="24"/>
          <w:szCs w:val="24"/>
        </w:rPr>
        <w:fldChar w:fldCharType="begin" w:fldLock="1"/>
      </w:r>
      <w:r w:rsidRPr="0002798F">
        <w:rPr>
          <w:rFonts w:ascii="Arial Narrow" w:hAnsi="Arial Narrow" w:cs="Times New Roman"/>
          <w:sz w:val="24"/>
          <w:szCs w:val="24"/>
        </w:rPr>
        <w:instrText>ADDIN CSL_CITATION {"citationItems":[{"id":"ITEM-1","itemData":{"DOI":"10.71282/jurmie.v2i8.813","abstract":"This study examines the role of the Financial Action Task Force (FATF) in combating organized financial crimes, particularly through the harmonization of international regulations against money laundering. As an intergovernmental body, FATF has established 40 Recommendations that serve as global standards for the prevention and suppression of money laundering and terrorist financing. This research employs a normative juridical method with statutory, historical, and comparative approaches, utilizing primary legal materials such as national legislation and official FATF documents, secondary legal materials from academic literature and legal journals, and tertiary materials such as legal dictionaries. The findings reveal that the harmonization of international regulations through FATF has driven significant policy reforms in Indonesia, including the strengthening of beneficial ownership regulations, the expansion of supervision over non-financial sectors, and the enhancement of cross-border cooperation in financial intelligence exchange. Nevertheless, challenges remain in implementation, particularly due to limited law enforcement capacity, inconsistent understanding among business actors, and regulatory gaps in the digital sector. This study recommends strengthening inter-agency coordination, adopting international best practices such as a public beneficial ownership registry, and establishing a specialized financial investigation unit with cross-border forensic expertise. The findings contribute to the literature on international law and public policy by highlighting the importance of adaptive global regulatory harmonization in addressing evolving financial crime schemes.","author":[{"dropping-particle":"","family":"Mouriska","given":"Nurhani","non-dropping-particle":"","parse-names":false,"suffix":""},{"dropping-particle":"","family":"Purwati","given":"Ani","non-dropping-particle":"","parse-names":false,"suffix":""}],"container-title":"Jurnal Riset Multidisiplin Edukasi","id":"ITEM-1","issue":"8","issued":{"date-parts":[["2025"]]},"page":"321-334","title":"Peran Financial Action Task Force (Fatf) Dalam Harmonisasi Penanggulangan Pencucian Uang Global","type":"article-journal","volume":"2"},"uris":["http://www.mendeley.com/documents/?uuid=4061b62e-c678-4207-b459-af7197bc862f"]}],"mendeley":{"formattedCitation":"(Mouriska &amp; Purwati, 2025)","plainTextFormattedCitation":"(Mouriska &amp; Purwati, 2025)","previouslyFormattedCitation":"(Mouriska &amp; Purwati, 2025)"},"properties":{"noteIndex":0},"schema":"https://github.com/citation-style-language/schema/raw/master/csl-citation.json"}</w:instrText>
      </w:r>
      <w:r w:rsidRPr="0002798F">
        <w:rPr>
          <w:rFonts w:ascii="Arial Narrow" w:hAnsi="Arial Narrow" w:cs="Times New Roman"/>
          <w:sz w:val="24"/>
          <w:szCs w:val="24"/>
        </w:rPr>
        <w:fldChar w:fldCharType="separate"/>
      </w:r>
      <w:r w:rsidRPr="0002798F">
        <w:rPr>
          <w:rFonts w:ascii="Arial Narrow" w:hAnsi="Arial Narrow" w:cs="Times New Roman"/>
          <w:noProof/>
          <w:sz w:val="24"/>
          <w:szCs w:val="24"/>
        </w:rPr>
        <w:t>(Mouriska &amp; Purwati, 2025)</w:t>
      </w:r>
      <w:r w:rsidRPr="0002798F">
        <w:rPr>
          <w:rFonts w:ascii="Arial Narrow" w:hAnsi="Arial Narrow" w:cs="Times New Roman"/>
          <w:sz w:val="24"/>
          <w:szCs w:val="24"/>
        </w:rPr>
        <w:fldChar w:fldCharType="end"/>
      </w:r>
    </w:p>
    <w:p w:rsidR="0002798F" w:rsidRPr="00467B7C" w:rsidRDefault="0002798F" w:rsidP="00C56CC3">
      <w:pPr>
        <w:spacing w:after="0"/>
        <w:ind w:firstLine="720"/>
        <w:jc w:val="both"/>
        <w:rPr>
          <w:rFonts w:ascii="Arial Narrow" w:hAnsi="Arial Narrow" w:cs="Times New Roman"/>
          <w:sz w:val="24"/>
          <w:szCs w:val="24"/>
        </w:rPr>
      </w:pPr>
      <w:r w:rsidRPr="0002798F">
        <w:rPr>
          <w:rFonts w:ascii="Arial Narrow" w:hAnsi="Arial Narrow" w:cs="Times New Roman"/>
          <w:sz w:val="24"/>
          <w:szCs w:val="24"/>
        </w:rPr>
        <w:t>Penelitian ini diharapkan memberikan manfaat teoretis berupa kontribusi terhadap pengembangan ilmu hukum pidana, khususnya dalam kajian hukum pidana khusus dan kebijakan kriminal terkait kejahatan ekonomi dan kejahatan kerah putih. Secara teoretis, penelitian ini akan memperkaya diskursus akademik tentang posisi kejahatan pencucian uang dalam sistem pemidanaan nasional serta memberikan kerangka konseptual baru dalam memahami transformasi pengaturan kejahatan keuangan dalam era kodifikasi hukum pidana modern. Dari segi praktis, penelitian ini diharapkan dapat memberikan masukan kepada pembuat kebijakan dalam menyempurnakan regulasi tindak pidana pencucian uang, serta memberikan panduan bagi para penegak hukum dalam menerapkan ketentuan-ketentuan baru terkait pencucian uang dalam praktik peradilan. Manfaat praktis lainnya adalah memberikan pemahaman yang lebih baik kepada praktisi hukum, lembaga keuangan, dan pelaku usaha tentang kewajiban-kewajiban hukum dalam pencegahan pencucian uang sesuai dengan kerangka regulasi terbaru. Bagi masyarakat luas, penelitian ini diharapkan dapat meningkatkan kesadaran tentang bahaya pencucian uang dan pentingnya partisipasi dalam pencegahan kejahatan yang merusak tatanan ekonomi dan sosial ini.</w:t>
      </w:r>
      <w:r w:rsidRPr="0002798F">
        <w:rPr>
          <w:rFonts w:ascii="Arial Narrow" w:hAnsi="Arial Narrow" w:cs="Times New Roman"/>
          <w:sz w:val="24"/>
          <w:szCs w:val="24"/>
        </w:rPr>
        <w:fldChar w:fldCharType="begin" w:fldLock="1"/>
      </w:r>
      <w:r w:rsidRPr="0002798F">
        <w:rPr>
          <w:rFonts w:ascii="Arial Narrow" w:hAnsi="Arial Narrow" w:cs="Times New Roman"/>
          <w:sz w:val="24"/>
          <w:szCs w:val="24"/>
        </w:rPr>
        <w:instrText>ADDIN CSL_CITATION {"citationItems":[{"id":"ITEM-1","itemData":{"DOI":"10.26532/jph.v2i1.1414","ISSN":"2355-0481","abstract":"Criminal law enforcement policy on prevention of money laundering in the context of criminal law reform in Indonesia can be started with the establishment of an appropriate legal products through through the government and passed by the House of Representatives, the readiness of law enforcement, protection for whistleblowers, reverse proof, constraints faced in the implementation of policies enforcement of criminal law on prevention of money laundering in the context of criminal law reform in Indonesia, the Increasing Money Laundering, human resources investigator’s ability is limited, Lack of coordination among law enforcement agencies, Prevention and Eradication of Money Laundering in the form a the Reporting Center and Financial analysis hereinafter referred PPATK. This institution is an independent agency that has the authority and duty to examine the suspected actions related to money laundering.","author":[{"dropping-particle":"","family":"Wahyuningsih","given":"Sri Endah","non-dropping-particle":"","parse-names":false,"suffix":""},{"dropping-particle":"","family":"Rismanto","given":"Rismanto","non-dropping-particle":"","parse-names":false,"suffix":""}],"container-title":"Jurnal Pembaharuan Hukum","id":"ITEM-1","issue":"1","issued":{"date-parts":[["2025"]]},"page":"46","title":"Kebijakan Penegakan Hukum Pidana Terhadap Penanggulangan Money Laundering Dalam Rangka Pembaharuan Hukum Pidana Di Indonesia","type":"article-journal","volume":"2"},"uris":["http://www.mendeley.com/documents/?uuid=5523ebcb-7402-48a9-bbde-d5a3b2888ae1"]}],"mendeley":{"formattedCitation":"(Wahyuningsih &amp; Rismanto, 2025)","plainTextFormattedCitation":"(Wahyuningsih &amp; Rismanto, 2025)","previouslyFormattedCitation":"(Wahyuningsih &amp; Rismanto, 2025)"},"properties":{"noteIndex":0},"schema":"https://github.com/citation-style-language/schema/raw/master/csl-citation.json"}</w:instrText>
      </w:r>
      <w:r w:rsidRPr="0002798F">
        <w:rPr>
          <w:rFonts w:ascii="Arial Narrow" w:hAnsi="Arial Narrow" w:cs="Times New Roman"/>
          <w:sz w:val="24"/>
          <w:szCs w:val="24"/>
        </w:rPr>
        <w:fldChar w:fldCharType="separate"/>
      </w:r>
      <w:r w:rsidRPr="0002798F">
        <w:rPr>
          <w:rFonts w:ascii="Arial Narrow" w:hAnsi="Arial Narrow" w:cs="Times New Roman"/>
          <w:noProof/>
          <w:sz w:val="24"/>
          <w:szCs w:val="24"/>
        </w:rPr>
        <w:t>(Wahyuningsih &amp; Rismanto, 2025)</w:t>
      </w:r>
      <w:r w:rsidRPr="0002798F">
        <w:rPr>
          <w:rFonts w:ascii="Arial Narrow" w:hAnsi="Arial Narrow" w:cs="Times New Roman"/>
          <w:sz w:val="24"/>
          <w:szCs w:val="24"/>
        </w:rPr>
        <w:fldChar w:fldCharType="end"/>
      </w:r>
    </w:p>
    <w:p w:rsidR="002421A7" w:rsidRPr="00E57D8C" w:rsidRDefault="002421A7" w:rsidP="002421A7">
      <w:pPr>
        <w:pStyle w:val="Heading1"/>
        <w:spacing w:before="0" w:after="0" w:line="240" w:lineRule="auto"/>
        <w:jc w:val="both"/>
        <w:rPr>
          <w:rFonts w:ascii="Arial Narrow" w:eastAsia="Book Antiqua" w:hAnsi="Arial Narrow" w:cs="Book Antiqua"/>
          <w:sz w:val="24"/>
          <w:szCs w:val="24"/>
        </w:rPr>
      </w:pPr>
      <w:r w:rsidRPr="00E57D8C">
        <w:rPr>
          <w:rFonts w:ascii="Arial Narrow" w:eastAsia="Book Antiqua" w:hAnsi="Arial Narrow" w:cs="Book Antiqua"/>
          <w:sz w:val="24"/>
          <w:szCs w:val="24"/>
        </w:rPr>
        <w:t>2.  Metode Penelitian</w:t>
      </w:r>
    </w:p>
    <w:p w:rsidR="0009397C" w:rsidRDefault="0009397C" w:rsidP="00262CCA">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09397C">
        <w:rPr>
          <w:rFonts w:ascii="Arial Narrow" w:hAnsi="Arial Narrow" w:cs="Times New Roman"/>
          <w:sz w:val="24"/>
          <w:szCs w:val="24"/>
        </w:rPr>
        <w:t xml:space="preserve">Penelitian ini menggunakan metode yuridis normatif yang berorientasi pada kajian kepustakaan terhadap norma-norma hukum tertulis dengan menganalisis pengaturan tindak pidana pencucian uang dalam sistem perundang-undangan Indonesia. Pendekatan yuridis normatif dipilih karena penelitian ini memfokuskan pada analisis komparatif terhadap perubahan konstruksi hukum positif sebelum dan sesudah berlakunya kodifikasi hukum pidana nasional yang baru. Bahan hukum primer yang digunakan dalam penelitian ini meliputi Undang-Undang Nomor 8 Tahun 2010 tentang Pencegahan dan Pemberantasan Tindak Pidana Pencucian Uang sebagai regulasi yang mengatur rezim anti pencucian uang sebelum kodifikasi, Undang-Undang Nomor 1 Tahun 2023 tentang Kitab Undang-Undang Hukum Pidana yang merepresentasikan transformasi pengaturan dalam kodifikasi hukum pidana nasional, serta Undang-Undang Nomor 7 Tahun 2011 tentang Mata Uang yang mengatur aspek transaksi keuangan yang relevan dengan mekanisme pencucian uang. Ketiga regulasi ini dipilih karena membentuk kerangka normatif yang komprehensif dalam memahami </w:t>
      </w:r>
      <w:r w:rsidRPr="0009397C">
        <w:rPr>
          <w:rFonts w:ascii="Arial Narrow" w:hAnsi="Arial Narrow" w:cs="Times New Roman"/>
          <w:sz w:val="24"/>
          <w:szCs w:val="24"/>
        </w:rPr>
        <w:lastRenderedPageBreak/>
        <w:t>reposisi tindak pidana pencucian uang dalam arsitektur hukum pidana Indonesia kontemporer.</w:t>
      </w:r>
      <w:r w:rsidRPr="0009397C">
        <w:rPr>
          <w:rFonts w:ascii="Arial Narrow" w:hAnsi="Arial Narrow" w:cs="Times New Roman"/>
          <w:sz w:val="24"/>
          <w:szCs w:val="24"/>
        </w:rPr>
        <w:fldChar w:fldCharType="begin" w:fldLock="1"/>
      </w:r>
      <w:r w:rsidRPr="0009397C">
        <w:rPr>
          <w:rFonts w:ascii="Arial Narrow" w:hAnsi="Arial Narrow" w:cs="Times New Roman"/>
          <w:sz w:val="24"/>
          <w:szCs w:val="24"/>
        </w:rPr>
        <w:instrText>ADDIN CSL_CITATION {"citationItems":[{"id":"ITEM-1","itemData":{"ISBN":"9786024224615","author":[{"dropping-particle":"","family":"Marzuki","given":"Peter Mahmud","non-dropping-particle":"","parse-names":false,"suffix":""}],"id":"ITEM-1","issued":{"date-parts":[["2021"]]},"publisher":"Prenada Media","title":"Pengantar Ilmu Hukum","type":"book"},"uris":["http://www.mendeley.com/documents/?uuid=101180f6-fb71-49bd-8279-eaeb3ba281a3"]}],"mendeley":{"formattedCitation":"(Marzuki, 2021)","plainTextFormattedCitation":"(Marzuki, 2021)","previouslyFormattedCitation":"(Marzuki, 2021)"},"properties":{"noteIndex":0},"schema":"https://github.com/citation-style-language/schema/raw/master/csl-citation.json"}</w:instrText>
      </w:r>
      <w:r w:rsidRPr="0009397C">
        <w:rPr>
          <w:rFonts w:ascii="Arial Narrow" w:hAnsi="Arial Narrow" w:cs="Times New Roman"/>
          <w:sz w:val="24"/>
          <w:szCs w:val="24"/>
        </w:rPr>
        <w:fldChar w:fldCharType="separate"/>
      </w:r>
      <w:r w:rsidRPr="0009397C">
        <w:rPr>
          <w:rFonts w:ascii="Arial Narrow" w:hAnsi="Arial Narrow" w:cs="Times New Roman"/>
          <w:noProof/>
          <w:sz w:val="24"/>
          <w:szCs w:val="24"/>
        </w:rPr>
        <w:t>(Marzuki, 2021)</w:t>
      </w:r>
      <w:r w:rsidRPr="0009397C">
        <w:rPr>
          <w:rFonts w:ascii="Arial Narrow" w:hAnsi="Arial Narrow" w:cs="Times New Roman"/>
          <w:sz w:val="24"/>
          <w:szCs w:val="24"/>
        </w:rPr>
        <w:fldChar w:fldCharType="end"/>
      </w:r>
    </w:p>
    <w:p w:rsidR="00F10BCA" w:rsidRPr="00E03770" w:rsidRDefault="00BE257F" w:rsidP="00E03770">
      <w:pPr>
        <w:ind w:firstLine="720"/>
        <w:jc w:val="both"/>
        <w:rPr>
          <w:rFonts w:ascii="Arial Narrow" w:hAnsi="Arial Narrow" w:cs="Times New Roman"/>
          <w:sz w:val="24"/>
          <w:szCs w:val="24"/>
        </w:rPr>
      </w:pPr>
      <w:r w:rsidRPr="00BE257F">
        <w:rPr>
          <w:rFonts w:ascii="Arial Narrow" w:hAnsi="Arial Narrow" w:cs="Times New Roman"/>
          <w:sz w:val="24"/>
          <w:szCs w:val="24"/>
        </w:rPr>
        <w:t>Teknik pengumpulan data dilakukan melalui studi kepustakaan dengan inventarisasi, identifikasi, dan klasifikasi bahan-bahan hukum yang relevan dengan permasalahan penelitian. Bahan hukum sekunder yang digunakan mencakup buku-buku teks hukum pidana, jurnal ilmiah terakreditasi, hasil penelitian terdahulu, dan karya ilmiah yang membahas tindak pidana pencucian uang serta pembaharuan hukum pidana nasional. Analisis data dilakukan dengan metode deskriptif-komparatif melalui teknik interpretasi sistematis dan interpretasi historis untuk membandingkan konstruksi normatif pengaturan pencucian uang dalam dua rezim hukum yang berbeda. Proses analisis dimulai dengan melakukan inventarisasi pasal-pasal yang mengatur tindak pidana pencucian uang dalam kedua undang-undang, kemudian mengidentifikasi perubahan-perubahan substansial dalam rumusan delik, unsur-unsur tindak pidana, sistem pertanggungjawaban pidana, dan ancaman sanksi, serta menganalisis implikasi yuridis dari perubahan tersebut terhadap sistem pemidanaan nasional dan harmonisasinya dengan standar internasional.</w:t>
      </w:r>
      <w:r w:rsidRPr="00BE257F">
        <w:rPr>
          <w:rFonts w:ascii="Arial Narrow" w:hAnsi="Arial Narrow" w:cs="Times New Roman"/>
          <w:sz w:val="24"/>
          <w:szCs w:val="24"/>
        </w:rPr>
        <w:fldChar w:fldCharType="begin" w:fldLock="1"/>
      </w:r>
      <w:r w:rsidRPr="00BE257F">
        <w:rPr>
          <w:rFonts w:ascii="Arial Narrow" w:hAnsi="Arial Narrow" w:cs="Times New Roman"/>
          <w:sz w:val="24"/>
          <w:szCs w:val="24"/>
        </w:rPr>
        <w:instrText>ADDIN CSL_CITATION {"citationItems":[{"id":"ITEM-1","itemData":{"author":[{"dropping-particle":"","family":"Soekanto","given":"S","non-dropping-particle":"","parse-names":false,"suffix":""}],"id":"ITEM-1","issued":{"date-parts":[["2020"]]},"publisher":"Penerbit CV. Rajawali","title":"Penelitian hukum normatif: suatu tinjauan singkat","type":"book"},"uris":["http://www.mendeley.com/documents/?uuid=eefc7839-4c1e-4aac-a252-cb6729a758e3"]}],"mendeley":{"formattedCitation":"(Soekanto, 2020)","plainTextFormattedCitation":"(Soekanto, 2020)","previouslyFormattedCitation":"(Soekanto, 2020)"},"properties":{"noteIndex":0},"schema":"https://github.com/citation-style-language/schema/raw/master/csl-citation.json"}</w:instrText>
      </w:r>
      <w:r w:rsidRPr="00BE257F">
        <w:rPr>
          <w:rFonts w:ascii="Arial Narrow" w:hAnsi="Arial Narrow" w:cs="Times New Roman"/>
          <w:sz w:val="24"/>
          <w:szCs w:val="24"/>
        </w:rPr>
        <w:fldChar w:fldCharType="separate"/>
      </w:r>
      <w:r w:rsidRPr="00BE257F">
        <w:rPr>
          <w:rFonts w:ascii="Arial Narrow" w:hAnsi="Arial Narrow" w:cs="Times New Roman"/>
          <w:noProof/>
          <w:sz w:val="24"/>
          <w:szCs w:val="24"/>
        </w:rPr>
        <w:t>(Soekanto, 2020)</w:t>
      </w:r>
      <w:r w:rsidRPr="00BE257F">
        <w:rPr>
          <w:rFonts w:ascii="Arial Narrow" w:hAnsi="Arial Narrow" w:cs="Times New Roman"/>
          <w:sz w:val="24"/>
          <w:szCs w:val="24"/>
        </w:rPr>
        <w:fldChar w:fldCharType="end"/>
      </w:r>
    </w:p>
    <w:p w:rsidR="002421A7" w:rsidRPr="00E57D8C" w:rsidRDefault="002421A7" w:rsidP="002421A7">
      <w:pPr>
        <w:pStyle w:val="Heading1"/>
        <w:spacing w:before="0" w:after="0" w:line="240" w:lineRule="auto"/>
        <w:jc w:val="both"/>
        <w:rPr>
          <w:rFonts w:ascii="Arial Narrow" w:eastAsia="Book Antiqua" w:hAnsi="Arial Narrow" w:cs="Book Antiqua"/>
          <w:sz w:val="24"/>
          <w:szCs w:val="24"/>
        </w:rPr>
      </w:pPr>
      <w:r w:rsidRPr="00E57D8C">
        <w:rPr>
          <w:rFonts w:ascii="Arial Narrow" w:eastAsia="Book Antiqua" w:hAnsi="Arial Narrow" w:cs="Book Antiqua"/>
          <w:sz w:val="24"/>
          <w:szCs w:val="24"/>
        </w:rPr>
        <w:t xml:space="preserve">3.  Hasil Penelitian dan Pembahasan </w:t>
      </w:r>
    </w:p>
    <w:p w:rsidR="00262CCA" w:rsidRPr="00BE257F" w:rsidRDefault="00BE257F" w:rsidP="00262CCA">
      <w:pPr>
        <w:pStyle w:val="ListParagraph"/>
        <w:numPr>
          <w:ilvl w:val="0"/>
          <w:numId w:val="21"/>
        </w:numPr>
        <w:pBdr>
          <w:top w:val="nil"/>
          <w:left w:val="nil"/>
          <w:bottom w:val="nil"/>
          <w:right w:val="nil"/>
          <w:between w:val="nil"/>
        </w:pBdr>
        <w:tabs>
          <w:tab w:val="center" w:pos="4680"/>
          <w:tab w:val="right" w:pos="9360"/>
        </w:tabs>
        <w:spacing w:before="120" w:after="0" w:line="240" w:lineRule="auto"/>
        <w:ind w:left="426"/>
        <w:jc w:val="both"/>
        <w:rPr>
          <w:rFonts w:ascii="Arial Narrow" w:eastAsia="Book Antiqua" w:hAnsi="Arial Narrow" w:cs="Book Antiqua"/>
          <w:color w:val="000000"/>
          <w:sz w:val="24"/>
          <w:szCs w:val="24"/>
        </w:rPr>
      </w:pPr>
      <w:r w:rsidRPr="00BE257F">
        <w:rPr>
          <w:rFonts w:ascii="Arial Narrow" w:hAnsi="Arial Narrow" w:cs="Times New Roman"/>
          <w:b/>
          <w:bCs/>
          <w:sz w:val="24"/>
          <w:szCs w:val="24"/>
        </w:rPr>
        <w:t>Konstruksi Yuridis Pengaturan Tindak Pidana Pencucian Uang Sebelum dan Sesudah Berlakunya Undang-Undang Nomor 1 Tahun 2023</w:t>
      </w:r>
    </w:p>
    <w:p w:rsidR="00467B7C" w:rsidRDefault="00BE257F" w:rsidP="00467B7C">
      <w:pPr>
        <w:spacing w:after="0"/>
        <w:ind w:firstLine="720"/>
        <w:jc w:val="both"/>
        <w:rPr>
          <w:rFonts w:ascii="Arial Narrow" w:hAnsi="Arial Narrow" w:cs="Times New Roman"/>
          <w:sz w:val="24"/>
          <w:szCs w:val="24"/>
        </w:rPr>
      </w:pPr>
      <w:r w:rsidRPr="00BE257F">
        <w:rPr>
          <w:rFonts w:ascii="Arial Narrow" w:hAnsi="Arial Narrow" w:cs="Times New Roman"/>
          <w:sz w:val="24"/>
          <w:szCs w:val="24"/>
        </w:rPr>
        <w:t>Pengaturan tindak pidana pencucian uang di Indonesia mengalami transformasi fundamental sejalan dengan pemberlakuan Undang-Undang Nomor 1 Tahun 2023 tentang Kitab Undang-Undang Hukum Pidana yang menggantikan paradigma pengaturan sebelumnya berdasarkan Undang-Undang Nomor 8 Tahun 2010 tentang Pencegahan dan Pemberantasan Tindak Pidana Pencucian Uang. Sebelum berlakunya kodifikasi hukum pidana nasional yang baru, konstruksi yuridis tindak pidana pencucian uang diatur secara komprehensif dalam regulasi khusus yang berdiri sendiri di luar sistem hukum pidana umum, dengan mekanisme pemidanaan yang memiliki karakteristik tersendiri sebagai bagian dari hukum pidana khusus (</w:t>
      </w:r>
      <w:r w:rsidRPr="00BE257F">
        <w:rPr>
          <w:rFonts w:ascii="Arial Narrow" w:hAnsi="Arial Narrow" w:cs="Times New Roman"/>
          <w:i/>
          <w:iCs/>
          <w:sz w:val="24"/>
          <w:szCs w:val="24"/>
        </w:rPr>
        <w:t>lex specialis</w:t>
      </w:r>
      <w:r w:rsidRPr="00BE257F">
        <w:rPr>
          <w:rFonts w:ascii="Arial Narrow" w:hAnsi="Arial Narrow" w:cs="Times New Roman"/>
          <w:sz w:val="24"/>
          <w:szCs w:val="24"/>
        </w:rPr>
        <w:t xml:space="preserve">). Undang-Undang Nomor 8 Tahun 2010 merumuskan tindak pidana pencucian uang dalam Pasal 3, Pasal 4, dan Pasal 5 yang mengategorikan perbuatan pencucian uang menjadi tindak pidana aktif dan tindak pidana pasif, dengan unsur-unsur delik yang mencakup perbuatan menempatkan, mentransfer, mengalihkan, membelanjakan, membayarkan, menghibahkan, menitipkan, membawa ke luar negeri, mengubah bentuk, menukarkan dengan mata uang atau surat berharga, atau perbuatan lainnya atas harta kekayaan yang diketahui atau patut diduga merupakan hasil tindak pidana. Konstruksi yuridis dalam rezim Undang-Undang Nomor 8 Tahun 2010 menganut konsep </w:t>
      </w:r>
      <w:r w:rsidRPr="00BE257F">
        <w:rPr>
          <w:rFonts w:ascii="Arial Narrow" w:hAnsi="Arial Narrow" w:cs="Times New Roman"/>
          <w:i/>
          <w:iCs/>
          <w:sz w:val="24"/>
          <w:szCs w:val="24"/>
        </w:rPr>
        <w:t>predicate crime</w:t>
      </w:r>
      <w:r w:rsidRPr="00BE257F">
        <w:rPr>
          <w:rFonts w:ascii="Arial Narrow" w:hAnsi="Arial Narrow" w:cs="Times New Roman"/>
          <w:sz w:val="24"/>
          <w:szCs w:val="24"/>
        </w:rPr>
        <w:t xml:space="preserve"> yang luas, mencakup semua jenis tindak pidana yang menghasilkan harta kekayaan, sebagaimana diatur dalam Pasal 2 ayat (1) yang menyebutkan hasil tindak pidana adalah harta kekayaan yang diperoleh dari tindak pidana korupsi, penyuapan, narkotika, psikotropika, penyelundupan tenaga kerja, penyelundupan migran, di bidang perbankan, di bidang pasar modal, di bidang perasuransian, kepabeanan, cukai, perdagangan orang, perdagangan senjata gelap, terorisme, penculikan, pencurian, penggelapan, penipuan, pemalsuan uang, perjudian, prostitusi, di bidang perpajakan, di bidang kehutanan, di bidang lingkungan hidup, di bidang kelautan dan perikanan, atau tindak pidana lain yang diancam dengan pidana penjara empat tahun atau lebih.</w:t>
      </w:r>
      <w:r w:rsidRPr="00BE257F">
        <w:rPr>
          <w:rFonts w:ascii="Arial Narrow" w:hAnsi="Arial Narrow" w:cs="Times New Roman"/>
          <w:sz w:val="24"/>
          <w:szCs w:val="24"/>
        </w:rPr>
        <w:fldChar w:fldCharType="begin" w:fldLock="1"/>
      </w:r>
      <w:r w:rsidRPr="00BE257F">
        <w:rPr>
          <w:rFonts w:ascii="Arial Narrow" w:hAnsi="Arial Narrow" w:cs="Times New Roman"/>
          <w:sz w:val="24"/>
          <w:szCs w:val="24"/>
        </w:rPr>
        <w:instrText>ADDIN CSL_CITATION {"citationItems":[{"id":"ITEM-1","itemData":{"DOI":"10.2478/CIRR-2021-0009","ISSN":"18485782","abstract":"The perpetrators of money laundering proceeds from narcotics crimes use banking facilities in carrying out their crime businesses so that banking products offered to the public can potentially be misused and used to benefit the narcotics criminals or to disguise and hide the proceeds of their crimes. The purpose of this study was to analyze the application of reverse evidence for perpetrators of money laundering crimes with drug related crimes in North Sumatra, Indonesia. With a qualitative research approach, the data was collected through interviews, observations, and literature studies, including the related laws. The informants in this study were the officials of the Directorate of Drug Investigation, Lawyers, Academics, Prosecutors, Investigators, Judges, and Members of the North Sumatra House of Representatives. The purposive sampling technique was used to identify the informants. This study raised an important issue of reverse evidence for the crime of money laundering based on the origin of narcotics, highlighting the drawbacks in the related laws. It was also found that the law enforcement process for narcotics criminals is adjusted to the rules contained in Law no. 35 of 2009 concerning Narcotics and Law no. 35 of 2010 on the Crime of Money Laundering in North Sumatra. The inverse burden of proof for perpetrators of money laundering crimes with narcotics originating crimes in North Sumatra is carried out in accordance with the rules contained in Articles 77 and 78 of the Money Laundering Law, where the defendant is given the authority to prove that his assets are not the proceeds of crime. The results of this study also found that there was an increase in the number of perpetrators of narcotics crimes and money laundering in North Sumatra during the last three years. A total of six (6) decisions on money laundering crimes were given in North Sumatra which had a permanent legal force. However, between 2018-2021, only two (2) cases of Money Laundering of narcotics predicate cases have been found but not yet signed nor any sentence given.","author":[{"dropping-particle":"","family":"Hartanto","given":"Dadang","non-dropping-particle":"","parse-names":false,"suffix":""},{"dropping-particle":"","family":"Hidayat","given":"Nasrullah","non-dropping-particle":"","parse-names":false,"suffix":""}],"container-title":"Croatian International Relations Review","id":"ITEM-1","issue":"88","issued":{"date-parts":[["2021"]]},"page":"14-33","title":"Application of Reverse Evidence for The Crime of Money Laundering Based on The Origin of Narcotics","type":"article-journal","volume":"27"},"uris":["http://www.mendeley.com/documents/?uuid=16048627-5ceb-4715-b2ac-c7b8d63dceae"]}],"mendeley":{"formattedCitation":"(Hartanto &amp; Hidayat, 2021)","plainTextFormattedCitation":"(Hartanto &amp; Hidayat, 2021)","previouslyFormattedCitation":"(Hartanto &amp; Hidayat, 2021)"},"properties":{"noteIndex":0},"schema":"https://github.com/citation-style-language/schema/raw/master/csl-citation.json"}</w:instrText>
      </w:r>
      <w:r w:rsidRPr="00BE257F">
        <w:rPr>
          <w:rFonts w:ascii="Arial Narrow" w:hAnsi="Arial Narrow" w:cs="Times New Roman"/>
          <w:sz w:val="24"/>
          <w:szCs w:val="24"/>
        </w:rPr>
        <w:fldChar w:fldCharType="separate"/>
      </w:r>
      <w:r w:rsidRPr="00BE257F">
        <w:rPr>
          <w:rFonts w:ascii="Arial Narrow" w:hAnsi="Arial Narrow" w:cs="Times New Roman"/>
          <w:noProof/>
          <w:sz w:val="24"/>
          <w:szCs w:val="24"/>
        </w:rPr>
        <w:t>(Hartanto &amp; Hidayat, 2021)</w:t>
      </w:r>
      <w:r w:rsidRPr="00BE257F">
        <w:rPr>
          <w:rFonts w:ascii="Arial Narrow" w:hAnsi="Arial Narrow" w:cs="Times New Roman"/>
          <w:sz w:val="24"/>
          <w:szCs w:val="24"/>
        </w:rPr>
        <w:fldChar w:fldCharType="end"/>
      </w:r>
      <w:r w:rsidRPr="00BE257F">
        <w:rPr>
          <w:rFonts w:ascii="Arial Narrow" w:hAnsi="Arial Narrow" w:cs="Times New Roman"/>
          <w:sz w:val="24"/>
          <w:szCs w:val="24"/>
        </w:rPr>
        <w:t xml:space="preserve"> Pendekatan kriminalisasi yang ekstensif ini mencerminkan upaya legislator untuk mengantisipasi </w:t>
      </w:r>
      <w:r w:rsidRPr="00BE257F">
        <w:rPr>
          <w:rFonts w:ascii="Arial Narrow" w:hAnsi="Arial Narrow" w:cs="Times New Roman"/>
          <w:sz w:val="24"/>
          <w:szCs w:val="24"/>
        </w:rPr>
        <w:lastRenderedPageBreak/>
        <w:t>berbagai bentuk kejahatan yang menghasilkan keuntungan ekonomi signifikan dan memerlukan proses pencucian untuk menyembunyikan asal-usul dana ilegal tersebut.</w:t>
      </w:r>
      <w:r w:rsidRPr="00BE257F">
        <w:rPr>
          <w:rFonts w:ascii="Arial Narrow" w:hAnsi="Arial Narrow" w:cs="Times New Roman"/>
          <w:sz w:val="24"/>
          <w:szCs w:val="24"/>
        </w:rPr>
        <w:fldChar w:fldCharType="begin" w:fldLock="1"/>
      </w:r>
      <w:r w:rsidRPr="00BE257F">
        <w:rPr>
          <w:rFonts w:ascii="Arial Narrow" w:hAnsi="Arial Narrow" w:cs="Times New Roman"/>
          <w:sz w:val="24"/>
          <w:szCs w:val="24"/>
        </w:rPr>
        <w:instrText>ADDIN CSL_CITATION {"citationItems":[{"id":"ITEM-1","itemData":{"DOI":"10.1108/JMLC-05-2020-0045","ISSN":"17587808","abstract":"Purpose: This paper aims to focus on the concept of money laundering and explores the evolution and expansion of criminalization of predicate offences to the money laundering within the international anti-money laundering (AML) regime over the time. It proposes how to limit the size and scope of predicate offences in designing a balanced legal definition. Design/methodology/approach: This paper opted a content analysis focussed on the criminalization aspect of offences to money laundering in the international AML regime under the United Nations Conventions (Vienna, Palermo and Corruption Convention) and Financial Action Task Force Standards. Findings: This paper provides how the criminalization of money laundering has evolved and its definition expanded over the time. The international definition is widely drafted with wide range of predicate offences from proceeds of drug money to corruption, including terrorist financing and terrorist acts; however, the two phenomena – money laundering and terrorist financing are quiet distinct apart. This continual expansion of predicate offences quite leads legality issues such as over-criminalization and conflict with principles of criminal law. This paper suggests an approach to limit the size and scope of predicate offences to money laundering. Practical implications: This paper includes implications for the development of a balanced approach in defining predicate offences through a qualitative limitation approach consistent with the minimalist theory of penalization of criminal law. Originality/value: This paper attains an identified issue how the legal definition of the money laundering offence can be improved while considering rule of law and principles of criminal law concerns.","author":[{"dropping-particle":"","family":"Korejo","given":"Muhammad Saleem","non-dropping-particle":"","parse-names":false,"suffix":""},{"dropping-particle":"","family":"Rajamanickam","given":"Ramalinggam","non-dropping-particle":"","parse-names":false,"suffix":""},{"dropping-particle":"","family":"Muhamad","given":"Muhamad Helmi","non-dropping-particle":"","parse-names":false,"suffix":""}],"container-title":"Journal of Money Laundering Control","id":"ITEM-1","issue":"4","issued":{"date-parts":[["2021"]]},"page":"725-736","title":"The concept of money laundering: a quest for legal definition","type":"article-journal","volume":"24"},"uris":["http://www.mendeley.com/documents/?uuid=99a9154a-4797-46e3-8c62-9a7794390cd7"]}],"mendeley":{"formattedCitation":"(Korejo et al., 2021)","plainTextFormattedCitation":"(Korejo et al., 2021)","previouslyFormattedCitation":"(Korejo et al., 2021)"},"properties":{"noteIndex":0},"schema":"https://github.com/citation-style-language/schema/raw/master/csl-citation.json"}</w:instrText>
      </w:r>
      <w:r w:rsidRPr="00BE257F">
        <w:rPr>
          <w:rFonts w:ascii="Arial Narrow" w:hAnsi="Arial Narrow" w:cs="Times New Roman"/>
          <w:sz w:val="24"/>
          <w:szCs w:val="24"/>
        </w:rPr>
        <w:fldChar w:fldCharType="separate"/>
      </w:r>
      <w:r w:rsidRPr="00BE257F">
        <w:rPr>
          <w:rFonts w:ascii="Arial Narrow" w:hAnsi="Arial Narrow" w:cs="Times New Roman"/>
          <w:noProof/>
          <w:sz w:val="24"/>
          <w:szCs w:val="24"/>
        </w:rPr>
        <w:t>(Korejo et al., 2021)</w:t>
      </w:r>
      <w:r w:rsidRPr="00BE257F">
        <w:rPr>
          <w:rFonts w:ascii="Arial Narrow" w:hAnsi="Arial Narrow" w:cs="Times New Roman"/>
          <w:sz w:val="24"/>
          <w:szCs w:val="24"/>
        </w:rPr>
        <w:fldChar w:fldCharType="end"/>
      </w:r>
    </w:p>
    <w:p w:rsidR="00BE257F" w:rsidRPr="00BE257F" w:rsidRDefault="00BE257F" w:rsidP="00467B7C">
      <w:pPr>
        <w:spacing w:after="0"/>
        <w:ind w:firstLine="720"/>
        <w:jc w:val="both"/>
        <w:rPr>
          <w:rFonts w:ascii="Arial Narrow" w:hAnsi="Arial Narrow" w:cs="Times New Roman"/>
          <w:sz w:val="24"/>
          <w:szCs w:val="24"/>
        </w:rPr>
      </w:pPr>
      <w:r w:rsidRPr="00BE257F">
        <w:rPr>
          <w:rFonts w:ascii="Arial Narrow" w:hAnsi="Arial Narrow" w:cs="Times New Roman"/>
          <w:sz w:val="24"/>
          <w:szCs w:val="24"/>
        </w:rPr>
        <w:t>Karakteristik khusus dalam konstruksi yuridis Undang-Undang Nomor 8 Tahun 2010 terletak pada mekanisme pembuktian terbalik yang terbatas (</w:t>
      </w:r>
      <w:r w:rsidRPr="00BE257F">
        <w:rPr>
          <w:rFonts w:ascii="Arial Narrow" w:hAnsi="Arial Narrow" w:cs="Times New Roman"/>
          <w:i/>
          <w:iCs/>
          <w:sz w:val="24"/>
          <w:szCs w:val="24"/>
        </w:rPr>
        <w:t>limited reversal burden of proof</w:t>
      </w:r>
      <w:r w:rsidRPr="00BE257F">
        <w:rPr>
          <w:rFonts w:ascii="Arial Narrow" w:hAnsi="Arial Narrow" w:cs="Times New Roman"/>
          <w:sz w:val="24"/>
          <w:szCs w:val="24"/>
        </w:rPr>
        <w:t>) sebagaimana diatur dalam Pasal 77 dan Pasal 78, yang memberikan kewenangan kepada terdakwa untuk membuktikan bahwa harta kekayaannya bukan berasal dari hasil tindak pidana. Mekanisme pembalikan beban pembuktian ini merupakan penyimpangan dari asas umum pembuktian dalam hukum pidana yang menempatkan beban pembuktian pada penuntut umum, namun dibenarkan mengingat karakteristik khusus kejahatan pencucian uang yang melibatkan kompleksitas transaksi keuangan dan kesulitan pembuktian aliran dana yang telah melalui berbagai lapisan penyamaran (</w:t>
      </w:r>
      <w:r w:rsidRPr="00BE257F">
        <w:rPr>
          <w:rFonts w:ascii="Arial Narrow" w:hAnsi="Arial Narrow" w:cs="Times New Roman"/>
          <w:i/>
          <w:iCs/>
          <w:sz w:val="24"/>
          <w:szCs w:val="24"/>
        </w:rPr>
        <w:t>layering</w:t>
      </w:r>
      <w:r w:rsidRPr="00BE257F">
        <w:rPr>
          <w:rFonts w:ascii="Arial Narrow" w:hAnsi="Arial Narrow" w:cs="Times New Roman"/>
          <w:sz w:val="24"/>
          <w:szCs w:val="24"/>
        </w:rPr>
        <w:t>). Sistem pembuktian terbalik terbatas ini memberikan keseimbangan antara kepentingan penegakan hukum dengan perlindungan hak asasi terdakwa, dimana terdakwa memiliki kewajiban untuk membuktikan asal-usul harta kekayaannya, namun penuntut umum tetap berkewajiban membuktikan unsur-unsur tindak pidana pencucian uang yang didakwakan.</w:t>
      </w:r>
      <w:r w:rsidRPr="00BE257F">
        <w:rPr>
          <w:rFonts w:ascii="Arial Narrow" w:hAnsi="Arial Narrow" w:cs="Times New Roman"/>
          <w:sz w:val="24"/>
          <w:szCs w:val="24"/>
        </w:rPr>
        <w:fldChar w:fldCharType="begin" w:fldLock="1"/>
      </w:r>
      <w:r w:rsidRPr="00BE257F">
        <w:rPr>
          <w:rFonts w:ascii="Arial Narrow" w:hAnsi="Arial Narrow" w:cs="Times New Roman"/>
          <w:sz w:val="24"/>
          <w:szCs w:val="24"/>
        </w:rPr>
        <w:instrText>ADDIN CSL_CITATION {"citationItems":[{"id":"ITEM-1","itemData":{"DOI":"10.2478/CIRR-2021-0009","ISSN":"18485782","abstract":"The perpetrators of money laundering proceeds from narcotics crimes use banking facilities in carrying out their crime businesses so that banking products offered to the public can potentially be misused and used to benefit the narcotics criminals or to disguise and hide the proceeds of their crimes. The purpose of this study was to analyze the application of reverse evidence for perpetrators of money laundering crimes with drug related crimes in North Sumatra, Indonesia. With a qualitative research approach, the data was collected through interviews, observations, and literature studies, including the related laws. The informants in this study were the officials of the Directorate of Drug Investigation, Lawyers, Academics, Prosecutors, Investigators, Judges, and Members of the North Sumatra House of Representatives. The purposive sampling technique was used to identify the informants. This study raised an important issue of reverse evidence for the crime of money laundering based on the origin of narcotics, highlighting the drawbacks in the related laws. It was also found that the law enforcement process for narcotics criminals is adjusted to the rules contained in Law no. 35 of 2009 concerning Narcotics and Law no. 35 of 2010 on the Crime of Money Laundering in North Sumatra. The inverse burden of proof for perpetrators of money laundering crimes with narcotics originating crimes in North Sumatra is carried out in accordance with the rules contained in Articles 77 and 78 of the Money Laundering Law, where the defendant is given the authority to prove that his assets are not the proceeds of crime. The results of this study also found that there was an increase in the number of perpetrators of narcotics crimes and money laundering in North Sumatra during the last three years. A total of six (6) decisions on money laundering crimes were given in North Sumatra which had a permanent legal force. However, between 2018-2021, only two (2) cases of Money Laundering of narcotics predicate cases have been found but not yet signed nor any sentence given.","author":[{"dropping-particle":"","family":"Hartanto","given":"Dadang","non-dropping-particle":"","parse-names":false,"suffix":""},{"dropping-particle":"","family":"Hidayat","given":"Nasrullah","non-dropping-particle":"","parse-names":false,"suffix":""}],"container-title":"Croatian International Relations Review","id":"ITEM-1","issue":"88","issued":{"date-parts":[["2021"]]},"page":"14-33","title":"Application of Reverse Evidence for The Crime of Money Laundering Based on The Origin of Narcotics","type":"article-journal","volume":"27"},"uris":["http://www.mendeley.com/documents/?uuid=16048627-5ceb-4715-b2ac-c7b8d63dceae"]}],"mendeley":{"formattedCitation":"(Hartanto &amp; Hidayat, 2021)","plainTextFormattedCitation":"(Hartanto &amp; Hidayat, 2021)","previouslyFormattedCitation":"(Hartanto &amp; Hidayat, 2021)"},"properties":{"noteIndex":0},"schema":"https://github.com/citation-style-language/schema/raw/master/csl-citation.json"}</w:instrText>
      </w:r>
      <w:r w:rsidRPr="00BE257F">
        <w:rPr>
          <w:rFonts w:ascii="Arial Narrow" w:hAnsi="Arial Narrow" w:cs="Times New Roman"/>
          <w:sz w:val="24"/>
          <w:szCs w:val="24"/>
        </w:rPr>
        <w:fldChar w:fldCharType="separate"/>
      </w:r>
      <w:r w:rsidRPr="00BE257F">
        <w:rPr>
          <w:rFonts w:ascii="Arial Narrow" w:hAnsi="Arial Narrow" w:cs="Times New Roman"/>
          <w:noProof/>
          <w:sz w:val="24"/>
          <w:szCs w:val="24"/>
        </w:rPr>
        <w:t>(Hartanto &amp; Hidayat, 2021)</w:t>
      </w:r>
      <w:r w:rsidRPr="00BE257F">
        <w:rPr>
          <w:rFonts w:ascii="Arial Narrow" w:hAnsi="Arial Narrow" w:cs="Times New Roman"/>
          <w:sz w:val="24"/>
          <w:szCs w:val="24"/>
        </w:rPr>
        <w:fldChar w:fldCharType="end"/>
      </w:r>
      <w:r w:rsidRPr="00BE257F">
        <w:rPr>
          <w:rFonts w:ascii="Arial Narrow" w:hAnsi="Arial Narrow" w:cs="Times New Roman"/>
          <w:sz w:val="24"/>
          <w:szCs w:val="24"/>
        </w:rPr>
        <w:t xml:space="preserve"> Ancaman pidana dalam Undang-Undang Nomor 8 Tahun 2010 juga menunjukkan keseriusan dalam pemberantasan pencucian uang, dengan ketentuan Pasal 3 mengancam pidana penjara paling lama dua puluh tahun dan denda paling banyak sepuluh miliar rupiah untuk tindak pidana pencucian uang aktif, sementara Pasal 5 mengancam pidana penjara paling lama lima tahun dan denda paling banyak satu miliar rupiah untuk tindak pidana pencucian uang pasif. Diferensiasi ancaman pidana ini mencerminkan pembedaan tingkat keseriusan dan peran pelaku dalam skema pencucian uang, dimana pelaku aktif yang secara langsung melakukan perbuatan pencucian dianggap memiliki tingkat kesalahan yang lebih berat dibandingkan pelaku pasif yang hanya menerima atau menguasai hasil tindak pidana.</w:t>
      </w:r>
      <w:r w:rsidRPr="00BE257F">
        <w:rPr>
          <w:rFonts w:ascii="Arial Narrow" w:hAnsi="Arial Narrow" w:cs="Times New Roman"/>
          <w:sz w:val="24"/>
          <w:szCs w:val="24"/>
        </w:rPr>
        <w:fldChar w:fldCharType="begin" w:fldLock="1"/>
      </w:r>
      <w:r w:rsidRPr="00BE257F">
        <w:rPr>
          <w:rFonts w:ascii="Arial Narrow" w:hAnsi="Arial Narrow" w:cs="Times New Roman"/>
          <w:sz w:val="24"/>
          <w:szCs w:val="24"/>
        </w:rPr>
        <w:instrText>ADDIN CSL_CITATION {"citationItems":[{"id":"ITEM-1","itemData":{"DOI":"10.1007/s10610-024-09603-y","ISBN":"1061002409603","ISSN":"15729869","abstract":"Two images dominate discussion of money laundering. Investigative journalists and politicians stress the variety and sophistication of methods that have been used to launder money of corrupt officials and white collar offenders. The research literature, largely dependent on criminal cases, emphasizes how unsophisticated and routine are the laundering methods used by drug dealers and other illegal market participants. The discrepancy may reflect the incapacity of police to detect sophisticated money laundering but it may also represent the reality; different groups of offenders choose different methods. This paper presents a theoretical framework to explain how offenders choose to launder their criminal earnings. Specifically it asks: what determines the sophistication of the method chosen? Among the variables that we suggest influence the choice are: (a) the type of predicate crime and of crime proceeds, (b) the type of offender (age, education, social status), (c) his/her motivations, (d) the AML environment and the level of AML controls. The paper provides arguments from criminological and economic theory for how these variables might play a role. Without claiming that individual cases can test the theory, we offer some case narratives to suggest the plausibility of the factors that we propose.","author":[{"dropping-particle":"","family":"Riccardi","given":"Michele","non-dropping-particle":"","parse-names":false,"suffix":""},{"dropping-particle":"","family":"Reuter","given":"Peter","non-dropping-particle":"","parse-names":false,"suffix":""}],"container-title":"European Journal on Criminal Policy and Research","id":"ITEM-1","issue":"3","issued":{"date-parts":[["2024"]]},"page":"333-358","title":"The Varieties of Money Laundering and the Determinants of Offender Choices","type":"article-journal","volume":"30"},"uris":["http://www.mendeley.com/documents/?uuid=4f6e6bf3-a798-4bae-bf90-29dcd81e6fc6"]}],"mendeley":{"formattedCitation":"(Riccardi &amp; Reuter, 2024)","plainTextFormattedCitation":"(Riccardi &amp; Reuter, 2024)","previouslyFormattedCitation":"(Riccardi &amp; Reuter, 2024)"},"properties":{"noteIndex":0},"schema":"https://github.com/citation-style-language/schema/raw/master/csl-citation.json"}</w:instrText>
      </w:r>
      <w:r w:rsidRPr="00BE257F">
        <w:rPr>
          <w:rFonts w:ascii="Arial Narrow" w:hAnsi="Arial Narrow" w:cs="Times New Roman"/>
          <w:sz w:val="24"/>
          <w:szCs w:val="24"/>
        </w:rPr>
        <w:fldChar w:fldCharType="separate"/>
      </w:r>
      <w:r w:rsidRPr="00BE257F">
        <w:rPr>
          <w:rFonts w:ascii="Arial Narrow" w:hAnsi="Arial Narrow" w:cs="Times New Roman"/>
          <w:noProof/>
          <w:sz w:val="24"/>
          <w:szCs w:val="24"/>
        </w:rPr>
        <w:t>(Riccardi &amp; Reuter, 2024)</w:t>
      </w:r>
      <w:r w:rsidRPr="00BE257F">
        <w:rPr>
          <w:rFonts w:ascii="Arial Narrow" w:hAnsi="Arial Narrow" w:cs="Times New Roman"/>
          <w:sz w:val="24"/>
          <w:szCs w:val="24"/>
        </w:rPr>
        <w:fldChar w:fldCharType="end"/>
      </w:r>
    </w:p>
    <w:p w:rsidR="00BE257F" w:rsidRPr="00BE257F" w:rsidRDefault="00BE257F" w:rsidP="00467B7C">
      <w:pPr>
        <w:spacing w:after="0"/>
        <w:ind w:firstLine="720"/>
        <w:jc w:val="both"/>
        <w:rPr>
          <w:rFonts w:ascii="Arial Narrow" w:hAnsi="Arial Narrow" w:cs="Times New Roman"/>
          <w:sz w:val="24"/>
          <w:szCs w:val="24"/>
        </w:rPr>
      </w:pPr>
      <w:r w:rsidRPr="00BE257F">
        <w:rPr>
          <w:rFonts w:ascii="Arial Narrow" w:hAnsi="Arial Narrow" w:cs="Times New Roman"/>
          <w:sz w:val="24"/>
          <w:szCs w:val="24"/>
        </w:rPr>
        <w:t xml:space="preserve">Transformasi konstruksi yuridis terjadi secara fundamental dengan berlakunya Undang-Undang Nomor 1 Tahun 2023 tentang Kitab Undang-Undang Hukum Pidana yang mengintegrasikan pengaturan berbagai tindak pidana, termasuk pencucian uang, ke dalam kodifikasi hukum pidana nasional. Dalam KUHP baru, pengaturan tindak pidana pencucian uang mengalami reposisi dari hukum pidana khusus yang berdiri sendiri menjadi bagian integral dari sistem hukum pidana umum, meskipun tetap mempertahankan karakteristik khususnya sebagai kejahatan yang bersifat </w:t>
      </w:r>
      <w:r w:rsidRPr="00BE257F">
        <w:rPr>
          <w:rFonts w:ascii="Arial Narrow" w:hAnsi="Arial Narrow" w:cs="Times New Roman"/>
          <w:i/>
          <w:iCs/>
          <w:sz w:val="24"/>
          <w:szCs w:val="24"/>
        </w:rPr>
        <w:t>sui generis</w:t>
      </w:r>
      <w:r w:rsidRPr="00BE257F">
        <w:rPr>
          <w:rFonts w:ascii="Arial Narrow" w:hAnsi="Arial Narrow" w:cs="Times New Roman"/>
          <w:sz w:val="24"/>
          <w:szCs w:val="24"/>
        </w:rPr>
        <w:t>. Pasal 604 KUHP Tahun 2023 merumuskan tindak pidana pencucian uang dengan konstruksi yuridis yang lebih sistematis dan terstruktur, mengatur bahwa setiap orang yang menempatkan, mentransfer, mengalihkan, membelanjakan, membayarkan, menghibahkan, menitipkan, membawa ke luar negeri, mengubah bentuk, menukarkan dengan mata uang atau surat berharga, atau perbuatan lain atas harta kekayaan yang diketahuinya atau patut diduganya merupakan hasil tindak pidana, dengan tujuan menyembunyikan atau menyamarkan asal usul harta kekayaan tersebut, dipidana karena tindak pidana pencucian uang. Rumusan delik ini menunjukkan adanya pergeseran paradigma dalam konstruksi unsur-unsur tindak pidana, dimana unsur subjektif berupa pengetahuan atau dugaan tentang asal-usul dana serta tujuan untuk menyembunyikan atau menyamarkan menjadi elemen kunci yang harus dibuktikan.</w:t>
      </w:r>
      <w:r w:rsidRPr="00BE257F">
        <w:rPr>
          <w:rFonts w:ascii="Arial Narrow" w:hAnsi="Arial Narrow" w:cs="Times New Roman"/>
          <w:sz w:val="24"/>
          <w:szCs w:val="24"/>
        </w:rPr>
        <w:fldChar w:fldCharType="begin" w:fldLock="1"/>
      </w:r>
      <w:r w:rsidRPr="00BE257F">
        <w:rPr>
          <w:rFonts w:ascii="Arial Narrow" w:hAnsi="Arial Narrow" w:cs="Times New Roman"/>
          <w:sz w:val="24"/>
          <w:szCs w:val="24"/>
        </w:rPr>
        <w:instrText>ADDIN CSL_CITATION {"citationItems":[{"id":"ITEM-1","itemData":{"DOI":"10.1007/s10610-024-09581-1","ISSN":"15729869","abstract":"The misuse of law firm pooled client accounts has been identified as one of the primary areas of money laundering and terrorist financing risk for the legal profession. This article demonstrates the varied role that client accounts can play in money laundering, through both purposeful exploitation (by the predicate offender, the lawyer/law firm, or both) of the client account or of other legitimate business processes in which the client account inevitably plays a role, and/or a failure to fulfil regulatory requirements. It examines how the nature of law firm pooled client accounts in the UK creates and shapes an ‘opportunity structure’ for money laundering, and the occupational and organisational context of this opportunity structure. The article argues that examining the opportunity structures created by client accounts is a more useful approach than categorising them as inherently low, medium or high risk, as is seen in many national risk assessments and reports. Identifying the factors that create opportunities for money laundering through law firm client accounts can direct policymakers striving to prevent money laundering in the legal profession towards more targeted oversight mechanisms.","author":[{"dropping-particle":"","family":"Benson","given":"Katie","non-dropping-particle":"","parse-names":false,"suffix":""},{"dropping-particle":"","family":"Bociga","given":"Diana","non-dropping-particle":"","parse-names":false,"suffix":""}],"container-title":"European Journal on Criminal Policy and Research","id":"ITEM-1","issue":"3","issued":{"date-parts":[["2024"]]},"page":"449-473","title":"Occupation, Organisation, Opportunity, and Oversight: Law Firm Client Accounts and (Anti-)Money Laundering","type":"article-journal","volume":"30"},"uris":["http://www.mendeley.com/documents/?uuid=5562366f-61fb-4bf7-94a3-aad38aea274b"]}],"mendeley":{"formattedCitation":"(Benson &amp; Bociga, 2024)","plainTextFormattedCitation":"(Benson &amp; Bociga, 2024)","previouslyFormattedCitation":"(Benson &amp; Bociga, 2024)"},"properties":{"noteIndex":0},"schema":"https://github.com/citation-style-language/schema/raw/master/csl-citation.json"}</w:instrText>
      </w:r>
      <w:r w:rsidRPr="00BE257F">
        <w:rPr>
          <w:rFonts w:ascii="Arial Narrow" w:hAnsi="Arial Narrow" w:cs="Times New Roman"/>
          <w:sz w:val="24"/>
          <w:szCs w:val="24"/>
        </w:rPr>
        <w:fldChar w:fldCharType="separate"/>
      </w:r>
      <w:r w:rsidRPr="00BE257F">
        <w:rPr>
          <w:rFonts w:ascii="Arial Narrow" w:hAnsi="Arial Narrow" w:cs="Times New Roman"/>
          <w:noProof/>
          <w:sz w:val="24"/>
          <w:szCs w:val="24"/>
        </w:rPr>
        <w:t>(Benson &amp; Bociga, 2024)</w:t>
      </w:r>
      <w:r w:rsidRPr="00BE257F">
        <w:rPr>
          <w:rFonts w:ascii="Arial Narrow" w:hAnsi="Arial Narrow" w:cs="Times New Roman"/>
          <w:sz w:val="24"/>
          <w:szCs w:val="24"/>
        </w:rPr>
        <w:fldChar w:fldCharType="end"/>
      </w:r>
      <w:r w:rsidRPr="00BE257F">
        <w:rPr>
          <w:rFonts w:ascii="Arial Narrow" w:hAnsi="Arial Narrow" w:cs="Times New Roman"/>
          <w:sz w:val="24"/>
          <w:szCs w:val="24"/>
        </w:rPr>
        <w:t xml:space="preserve"> Perbedaan mendasar dengan konstruksi sebelumnya terletak pada penekanan terhadap unsur kesengajaan (</w:t>
      </w:r>
      <w:r w:rsidRPr="00BE257F">
        <w:rPr>
          <w:rFonts w:ascii="Arial Narrow" w:hAnsi="Arial Narrow" w:cs="Times New Roman"/>
          <w:i/>
          <w:iCs/>
          <w:sz w:val="24"/>
          <w:szCs w:val="24"/>
        </w:rPr>
        <w:t>mens rea</w:t>
      </w:r>
      <w:r w:rsidRPr="00BE257F">
        <w:rPr>
          <w:rFonts w:ascii="Arial Narrow" w:hAnsi="Arial Narrow" w:cs="Times New Roman"/>
          <w:sz w:val="24"/>
          <w:szCs w:val="24"/>
        </w:rPr>
        <w:t xml:space="preserve">) yang lebih eksplisit dalam rumusan pasal, yang memerlukan pembuktian bahwa pelaku </w:t>
      </w:r>
      <w:r w:rsidRPr="00BE257F">
        <w:rPr>
          <w:rFonts w:ascii="Arial Narrow" w:hAnsi="Arial Narrow" w:cs="Times New Roman"/>
          <w:sz w:val="24"/>
          <w:szCs w:val="24"/>
        </w:rPr>
        <w:lastRenderedPageBreak/>
        <w:t>mengetahui atau patut menduga bahwa harta kekayaan tersebut berasal dari kejahatan dan memiliki tujuan spesifik untuk menyembunyikan atau menyamarkan asal-usulnya.</w:t>
      </w:r>
      <w:r w:rsidRPr="00BE257F">
        <w:rPr>
          <w:rFonts w:ascii="Arial Narrow" w:hAnsi="Arial Narrow" w:cs="Times New Roman"/>
          <w:sz w:val="24"/>
          <w:szCs w:val="24"/>
        </w:rPr>
        <w:fldChar w:fldCharType="begin" w:fldLock="1"/>
      </w:r>
      <w:r w:rsidRPr="00BE257F">
        <w:rPr>
          <w:rFonts w:ascii="Arial Narrow" w:hAnsi="Arial Narrow" w:cs="Times New Roman"/>
          <w:sz w:val="24"/>
          <w:szCs w:val="24"/>
        </w:rPr>
        <w:instrText>ADDIN CSL_CITATION {"citationItems":[{"id":"ITEM-1","itemData":{"DOI":"10.1007/s12117-022-09475-w","ISSN":"19364830","abstract":"In order to launder large amounts of money, (drug) criminals can seek help from financial facilitators. According to the FATF, these facilitators are operating increasingly business-like and even participate in professional money laundering networks. This study examines the extent to which financial facilitators in the Netherlands exhibit business-like characteristics and the extent to which they organize themselves in money laundering networks. We further examine the relationship between business-like behavior and individual money launderers’ position in the social network. Using police intelligence data, we were able to analyze the contacts of 198 financial facilitators who were active in the Netherlands in the period 2016–2020, all having worked for drug criminals. Based on social network analysis, this research shows that financial facilitators in the Netherlands can be linked in extensive money laundering networks. Based on the facilitators’ area of expertise, roughly two main types of professional money laundering networks can be discerned. Some subnetworks operate in the real estate sector, while others primarily engage in underground banking. Furthermore, the application of regression models to predict business-like behavior using individual network measures shows that facilitators with more central positions in the network and those who collaborate with financial facilitators from varying expertise groups tend to behave more business-like than other financial facilitators.","author":[{"dropping-particle":"","family":"Kramer","given":"Jo Anne","non-dropping-particle":"","parse-names":false,"suffix":""},{"dropping-particle":"","family":"Blokland","given":"Arjan A.J.","non-dropping-particle":"","parse-names":false,"suffix":""},{"dropping-particle":"","family":"Kleemans","given":"Edward R.","non-dropping-particle":"","parse-names":false,"suffix":""},{"dropping-particle":"","family":"Soudijn","given":"Melvin R.J.","non-dropping-particle":"","parse-names":false,"suffix":""}],"container-title":"Trends in Organized Crime","id":"ITEM-1","issue":"3","issued":{"date-parts":[["2024"]]},"page":"314-341","publisher":"Springer US","title":"Money laundering as a service: Investigating business-like behavior in money laundering networks in the Netherlands","type":"article-journal","volume":"27"},"uris":["http://www.mendeley.com/documents/?uuid=0444c9ad-2e31-4843-bb4a-f952c13fd3d1"]}],"mendeley":{"formattedCitation":"(Kramer et al., 2024)","plainTextFormattedCitation":"(Kramer et al., 2024)","previouslyFormattedCitation":"(Kramer et al., 2024)"},"properties":{"noteIndex":0},"schema":"https://github.com/citation-style-language/schema/raw/master/csl-citation.json"}</w:instrText>
      </w:r>
      <w:r w:rsidRPr="00BE257F">
        <w:rPr>
          <w:rFonts w:ascii="Arial Narrow" w:hAnsi="Arial Narrow" w:cs="Times New Roman"/>
          <w:sz w:val="24"/>
          <w:szCs w:val="24"/>
        </w:rPr>
        <w:fldChar w:fldCharType="separate"/>
      </w:r>
      <w:r w:rsidRPr="00BE257F">
        <w:rPr>
          <w:rFonts w:ascii="Arial Narrow" w:hAnsi="Arial Narrow" w:cs="Times New Roman"/>
          <w:noProof/>
          <w:sz w:val="24"/>
          <w:szCs w:val="24"/>
        </w:rPr>
        <w:t>(Kramer et al., 2024)</w:t>
      </w:r>
      <w:r w:rsidRPr="00BE257F">
        <w:rPr>
          <w:rFonts w:ascii="Arial Narrow" w:hAnsi="Arial Narrow" w:cs="Times New Roman"/>
          <w:sz w:val="24"/>
          <w:szCs w:val="24"/>
        </w:rPr>
        <w:fldChar w:fldCharType="end"/>
      </w:r>
    </w:p>
    <w:p w:rsidR="00BE257F" w:rsidRPr="00BE257F" w:rsidRDefault="00BE257F" w:rsidP="00467B7C">
      <w:pPr>
        <w:spacing w:after="0"/>
        <w:ind w:firstLine="720"/>
        <w:jc w:val="both"/>
        <w:rPr>
          <w:rFonts w:ascii="Arial Narrow" w:hAnsi="Arial Narrow" w:cs="Times New Roman"/>
          <w:sz w:val="24"/>
          <w:szCs w:val="24"/>
        </w:rPr>
      </w:pPr>
      <w:r w:rsidRPr="00BE257F">
        <w:rPr>
          <w:rFonts w:ascii="Arial Narrow" w:hAnsi="Arial Narrow" w:cs="Times New Roman"/>
          <w:sz w:val="24"/>
          <w:szCs w:val="24"/>
        </w:rPr>
        <w:t>Perubahan konstruksi yuridis juga terlihat dalam pengaturan tentang kejahatan asal (</w:t>
      </w:r>
      <w:r w:rsidRPr="00BE257F">
        <w:rPr>
          <w:rFonts w:ascii="Arial Narrow" w:hAnsi="Arial Narrow" w:cs="Times New Roman"/>
          <w:i/>
          <w:iCs/>
          <w:sz w:val="24"/>
          <w:szCs w:val="24"/>
        </w:rPr>
        <w:t>predicate offenses</w:t>
      </w:r>
      <w:r w:rsidRPr="00BE257F">
        <w:rPr>
          <w:rFonts w:ascii="Arial Narrow" w:hAnsi="Arial Narrow" w:cs="Times New Roman"/>
          <w:sz w:val="24"/>
          <w:szCs w:val="24"/>
        </w:rPr>
        <w:t xml:space="preserve">) yang menjadi sumber harta kekayaan yang dicuci, dimana KUHP Tahun 2023 mengadopsi pendekatan yang lebih fleksibel dengan tidak merinci secara limitatif jenis-jenis tindak pidana asal, melainkan menggunakan kriteria umum bahwa harta kekayaan tersebut berasal dari hasil tindak pidana. Pendekatan ini memberikan ruang interpretasi yang lebih luas bagi penegak hukum untuk mengidentifikasi berbagai bentuk kejahatan yang dapat menjadi sumber dana yang dicuci, termasuk kejahatan-kejahatan baru yang muncul seiring perkembangan teknologi dan globalisasi ekonomi. Dalam konteks sistem pertanggungjawaban pidana, KUHP Tahun 2023 mengintegrasikan tindak pidana pencucian uang ke dalam kerangka asas-asas umum hukum pidana yang diatur dalam Buku I, termasuk asas legalitas, asas kesalahan, asas pertanggungjawaban pidana, serta ketentuan tentang percobaan, penyertaan, dan gabungan tindak pidana. Integrasi ini membawa konsekuensi yuridis bahwa penerapan ketentuan tentang pencucian uang harus memperhatikan asas-asas fundamental hukum pidana modern, termasuk prinsip </w:t>
      </w:r>
      <w:r w:rsidRPr="00BE257F">
        <w:rPr>
          <w:rFonts w:ascii="Arial Narrow" w:hAnsi="Arial Narrow" w:cs="Times New Roman"/>
          <w:i/>
          <w:iCs/>
          <w:sz w:val="24"/>
          <w:szCs w:val="24"/>
        </w:rPr>
        <w:t>nullum crimen sine lege</w:t>
      </w:r>
      <w:r w:rsidRPr="00BE257F">
        <w:rPr>
          <w:rFonts w:ascii="Arial Narrow" w:hAnsi="Arial Narrow" w:cs="Times New Roman"/>
          <w:sz w:val="24"/>
          <w:szCs w:val="24"/>
        </w:rPr>
        <w:t xml:space="preserve"> yang mensyaratkan adanya kepastian hukum dalam rumusan delik.</w:t>
      </w:r>
      <w:r w:rsidRPr="00BE257F">
        <w:rPr>
          <w:rFonts w:ascii="Arial Narrow" w:hAnsi="Arial Narrow" w:cs="Times New Roman"/>
          <w:sz w:val="24"/>
          <w:szCs w:val="24"/>
        </w:rPr>
        <w:fldChar w:fldCharType="begin" w:fldLock="1"/>
      </w:r>
      <w:r w:rsidRPr="00BE257F">
        <w:rPr>
          <w:rFonts w:ascii="Arial Narrow" w:hAnsi="Arial Narrow" w:cs="Times New Roman"/>
          <w:sz w:val="24"/>
          <w:szCs w:val="24"/>
        </w:rPr>
        <w:instrText>ADDIN CSL_CITATION {"citationItems":[{"id":"ITEM-1","itemData":{"DOI":"10.5281/zenodo.4756086","ISSN":"09735089","abstract":"Article 44 paragraph (1) of the Criminal Code contains vague norms, because it does not regulate when a person cannot be clarified in criminal law. This has implications for injustice and uncertainty for someone being examined or a suspect who is mentally disturbed and so far, investigators have only with their discretion for the sake of humanity sent suspects to be treated in mental hospitals and wait until they are decided by the judge/court. The research aimed to analyze the provision of Article 44 paragraph (1) of the Criminal Code of Indonesia in determining in determining the mental condition of a person suspected of committing a crime based on ius constitutum as well as examining the reformulation of Article 44 paragraph (1) of the Penal Code of Indonesia in determining the mental condition of a person suspected of committing a crime based on the perspective of ius constituendum. This writing was normative legal research using statutory approach, analytical and conceptual approach. The study indicated that there needs on reformulation of the Article 44 paragraph (1) of the Criminal Code of Indonesia relating to the circumstances of the suspects with mental illness, for the sake of humanity to be given the authority given the authority to coordinate with the Public Prosecutor to request a brief trial of the Chief of the District Court therefore, rehabilitation is immediately determined or decided with proper treatment and all their needs are borne by the State during treatment until recovered.","author":[{"dropping-particle":"","family":"Suartha","given":"I. Dewa Made","non-dropping-particle":"","parse-names":false,"suffix":""},{"dropping-particle":"","family":"Martha","given":"I. Dewa Agung Gede Mahardika","non-dropping-particle":"","parse-names":false,"suffix":""},{"dropping-particle":"","family":"Hermanto","given":"Bagus","non-dropping-particle":"","parse-names":false,"suffix":""}],"container-title":"International Journal of Criminal Justice Sciences","id":"ITEM-1","issue":"1","issued":{"date-parts":[["2022"]]},"page":"1-21","title":"Between Mental Illness, Criminal Policy Reform, and Human Rights: Discourse on Reformulation of The Article 44 Indonesia Criminal Code","type":"article-journal","volume":"17"},"uris":["http://www.mendeley.com/documents/?uuid=12704d73-9eb6-4d2d-88d8-980237afbe71"]}],"mendeley":{"formattedCitation":"(Suartha et al., 2022)","plainTextFormattedCitation":"(Suartha et al., 2022)","previouslyFormattedCitation":"(Suartha et al., 2022)"},"properties":{"noteIndex":0},"schema":"https://github.com/citation-style-language/schema/raw/master/csl-citation.json"}</w:instrText>
      </w:r>
      <w:r w:rsidRPr="00BE257F">
        <w:rPr>
          <w:rFonts w:ascii="Arial Narrow" w:hAnsi="Arial Narrow" w:cs="Times New Roman"/>
          <w:sz w:val="24"/>
          <w:szCs w:val="24"/>
        </w:rPr>
        <w:fldChar w:fldCharType="separate"/>
      </w:r>
      <w:r w:rsidRPr="00BE257F">
        <w:rPr>
          <w:rFonts w:ascii="Arial Narrow" w:hAnsi="Arial Narrow" w:cs="Times New Roman"/>
          <w:noProof/>
          <w:sz w:val="24"/>
          <w:szCs w:val="24"/>
        </w:rPr>
        <w:t>(Suartha et al., 2022)</w:t>
      </w:r>
      <w:r w:rsidRPr="00BE257F">
        <w:rPr>
          <w:rFonts w:ascii="Arial Narrow" w:hAnsi="Arial Narrow" w:cs="Times New Roman"/>
          <w:sz w:val="24"/>
          <w:szCs w:val="24"/>
        </w:rPr>
        <w:fldChar w:fldCharType="end"/>
      </w:r>
      <w:r w:rsidRPr="00BE257F">
        <w:rPr>
          <w:rFonts w:ascii="Arial Narrow" w:hAnsi="Arial Narrow" w:cs="Times New Roman"/>
          <w:sz w:val="24"/>
          <w:szCs w:val="24"/>
        </w:rPr>
        <w:t xml:space="preserve"> Sistem pemidanaan dalam KUHP Tahun 2023 juga mengalami perubahan dengan diperkenalkannya jenis-jenis pidana baru seperti pidana pengawasan dan pidana kerja sosial sebagai alternatif pidana penjara, yang memberikan fleksibilitas kepada hakim dalam menjatuhkan pidana yang proporsional dengan tingkat kesalahan dan bahaya pelaku.</w:t>
      </w:r>
      <w:r w:rsidRPr="00BE257F">
        <w:rPr>
          <w:rFonts w:ascii="Arial Narrow" w:hAnsi="Arial Narrow" w:cs="Times New Roman"/>
          <w:sz w:val="24"/>
          <w:szCs w:val="24"/>
        </w:rPr>
        <w:fldChar w:fldCharType="begin" w:fldLock="1"/>
      </w:r>
      <w:r w:rsidRPr="00BE257F">
        <w:rPr>
          <w:rFonts w:ascii="Arial Narrow" w:hAnsi="Arial Narrow" w:cs="Times New Roman"/>
          <w:sz w:val="24"/>
          <w:szCs w:val="24"/>
        </w:rPr>
        <w:instrText>ADDIN CSL_CITATION {"citationItems":[{"id":"ITEM-1","itemData":{"DOI":"10.1108/JMLC-05-2022-0068","ISSN":"17587808","abstract":"Purpose: With sanctions becoming an increasingly important tool in ostracising autocratic regimes from western markets, the need for effective enforcement of sanctions and anti-money laundering (AML) is increasing, and the global AML regime will be the backbone to detecting evasion of sanctions. This regime, however, has been widely criticised as ineffective. This paper aims to discuss issues with the current sanctions/AML regime and propose a reward scheme for whistleblowers to enable asset seizures that is not reliant on its effectiveness. Design/methodology/approach: This paper reviews weaknesses in the global AML regime, provide suggestions on how to design whistleblower reward programmes, based on agency experience and empirical evidence, as well as elaborate on how to use such programmes in the AML context. Findings: This study concludes that for reward programmes to be effective in the context of AML and sanctions enforcement, they need to include witness protection and leniency for money launderers, though not for those convicted of a criminal offence associated with the predicate crime. Moreover, rewards should be mandatory and scale with the amount of money seized or confiscated, and the cap on monetary rewards should be higher than it is under the Kleptocracy Asset Recovery Rewards Programme in the USA. Originality/value: In contrast to how the USA went about implementing rewards in this area under the Kleptocracy Asset Recovery Rewards Programme, this study argues that these programmes should be designed differently. This study also provides novel advice to governments on different design dimensions in the AML context and a model with three crucial pillars along with other design dimensions that should be considered.","author":[{"dropping-particle":"","family":"Nyreröd","given":"Theo","non-dropping-particle":"","parse-names":false,"suffix":""},{"dropping-particle":"","family":"Andreadakis","given":"Stelios","non-dropping-particle":"","parse-names":false,"suffix":""},{"dropping-particle":"","family":"Spagnolo","given":"Giancarlo","non-dropping-particle":"","parse-names":false,"suffix":""}],"container-title":"Journal of Money Laundering Control","id":"ITEM-1","issue":"5","issued":{"date-parts":[["2023"]]},"page":"912-925","title":"Money laundering and sanctions enforcement: large rewards, leniency and witness protection for whistleblowers","type":"article-journal","volume":"26"},"uris":["http://www.mendeley.com/documents/?uuid=7b8035ad-74eb-4e5c-9a92-1bce5bfe933c"]}],"mendeley":{"formattedCitation":"(Nyreröd et al., 2023)","plainTextFormattedCitation":"(Nyreröd et al., 2023)","previouslyFormattedCitation":"(Nyreröd et al., 2023)"},"properties":{"noteIndex":0},"schema":"https://github.com/citation-style-language/schema/raw/master/csl-citation.json"}</w:instrText>
      </w:r>
      <w:r w:rsidRPr="00BE257F">
        <w:rPr>
          <w:rFonts w:ascii="Arial Narrow" w:hAnsi="Arial Narrow" w:cs="Times New Roman"/>
          <w:sz w:val="24"/>
          <w:szCs w:val="24"/>
        </w:rPr>
        <w:fldChar w:fldCharType="separate"/>
      </w:r>
      <w:r w:rsidRPr="00BE257F">
        <w:rPr>
          <w:rFonts w:ascii="Arial Narrow" w:hAnsi="Arial Narrow" w:cs="Times New Roman"/>
          <w:noProof/>
          <w:sz w:val="24"/>
          <w:szCs w:val="24"/>
        </w:rPr>
        <w:t>(Nyreröd et al., 2023)</w:t>
      </w:r>
      <w:r w:rsidRPr="00BE257F">
        <w:rPr>
          <w:rFonts w:ascii="Arial Narrow" w:hAnsi="Arial Narrow" w:cs="Times New Roman"/>
          <w:sz w:val="24"/>
          <w:szCs w:val="24"/>
        </w:rPr>
        <w:fldChar w:fldCharType="end"/>
      </w:r>
    </w:p>
    <w:p w:rsidR="00BE257F" w:rsidRPr="00BE257F" w:rsidRDefault="00BE257F" w:rsidP="00467B7C">
      <w:pPr>
        <w:spacing w:after="0"/>
        <w:ind w:firstLine="720"/>
        <w:jc w:val="both"/>
        <w:rPr>
          <w:rFonts w:ascii="Arial Narrow" w:hAnsi="Arial Narrow" w:cs="Times New Roman"/>
          <w:sz w:val="24"/>
          <w:szCs w:val="24"/>
        </w:rPr>
      </w:pPr>
      <w:r w:rsidRPr="00BE257F">
        <w:rPr>
          <w:rFonts w:ascii="Arial Narrow" w:hAnsi="Arial Narrow" w:cs="Times New Roman"/>
          <w:sz w:val="24"/>
          <w:szCs w:val="24"/>
        </w:rPr>
        <w:t xml:space="preserve">Aspek penting lainnya dalam transformasi konstruksi yuridis adalah harmonisasi antara ketentuan dalam KUHP Tahun 2023 dengan undang-undang khusus yang masih berlaku, termasuk Undang-Undang Nomor 8 Tahun 2010 tentang Pencegahan dan Pemberantasan Tindak Pidana Pencucian Uang. Pasal 2 KUHP Tahun 2023 mengatur bahwa ketentuan dalam undang-undang khusus tetap berlaku sepanjang undang-undang tersebut tidak dicabut atau diubah, yang menimbulkan pertanyaan tentang hubungan antara ketentuan pencucian uang dalam KUHP dengan pengaturan dalam undang-undang khusus. Dalam praktik penegakan hukum, penafsiran terhadap hubungan antara kedua regulasi ini akan menentukan ketentuan mana yang harus diterapkan dalam kasus-kasus konkret pencucian uang. Berdasarkan asas </w:t>
      </w:r>
      <w:r w:rsidRPr="00BE257F">
        <w:rPr>
          <w:rFonts w:ascii="Arial Narrow" w:hAnsi="Arial Narrow" w:cs="Times New Roman"/>
          <w:i/>
          <w:iCs/>
          <w:sz w:val="24"/>
          <w:szCs w:val="24"/>
        </w:rPr>
        <w:t>lex specialis derogat legi generali</w:t>
      </w:r>
      <w:r w:rsidRPr="00BE257F">
        <w:rPr>
          <w:rFonts w:ascii="Arial Narrow" w:hAnsi="Arial Narrow" w:cs="Times New Roman"/>
          <w:sz w:val="24"/>
          <w:szCs w:val="24"/>
        </w:rPr>
        <w:t>, ketentuan dalam Undang-Undang Nomor 8 Tahun 2010 yang bersifat khusus seharusnya tetap diutamakan dalam penerapannya, namun ketentuan umum dalam KUHP Tahun 2023 dapat menjadi pelengkap atau pengisi kekosongan hukum yang tidak diatur secara spesifik dalam undang-undang khusus. Kompleksitas hubungan antara hukum pidana umum dan hukum pidana khusus ini menuntut kehati-hatian dari para penegak hukum dalam melakukan subsumsi fakta hukum ke dalam norma hukum yang tepat.</w:t>
      </w:r>
      <w:r w:rsidRPr="00BE257F">
        <w:rPr>
          <w:rFonts w:ascii="Arial Narrow" w:hAnsi="Arial Narrow" w:cs="Times New Roman"/>
          <w:sz w:val="24"/>
          <w:szCs w:val="24"/>
        </w:rPr>
        <w:fldChar w:fldCharType="begin" w:fldLock="1"/>
      </w:r>
      <w:r w:rsidRPr="00BE257F">
        <w:rPr>
          <w:rFonts w:ascii="Arial Narrow" w:hAnsi="Arial Narrow" w:cs="Times New Roman"/>
          <w:sz w:val="24"/>
          <w:szCs w:val="24"/>
        </w:rPr>
        <w:instrText>ADDIN CSL_CITATION {"citationItems":[{"id":"ITEM-1","itemData":{"DOI":"10.1108/JMLC-09-2022-0136","ISSN":"17587808","abstract":"Purpose: This study aims to examine the role of Australian casinos in facilitating money laundering and Chinese capital flight. Design/methodology/approach: The reports and transcripts of evidence from government inquiries into money laundering in Australian casinos are integrated with analyses of Asian transnational crime. Findings: Money laundering in Australian casinos is linked to transnational crime and Chinese capital flight. A central finding is that junket operators play a key role in facilitating money laundering. The casinos are particularly exposed to criminal influences in the Chinese very important person gambling market, since they have used junket operators and underground banks, many of whom are closely linked to major Chinese criminal groups from Hong Kong and Macau. Research limitations/implications: Very little information is available on money laundering in Australian casinos and this research has relied on the government inquiries that have been conducted over the past two years on the subject. Practical implications: The author’s focus on money laundering in Australian casinos in the context of Asia-Pacific transnational crime is important for Federal and state government regulators grappling with the rapidly changing money laundering issues. The government inquiries recognised that the money laundering was related to transnational crime, but did not have the time and resources to explore the topic. The paper provides state government casino regulators and financial crime regulators with a broader international perspective to anticipate future money laundering and crime pressures facing Australia’s casinos. Social implications: Money laundering in Australian casinos has had devastating social implications on the community. My research helps to focus attention on the problems of transnational crime and money laundering. Originality/value: Little research has examined the linkages between casinos and transnational crime. This study has found that Australian casinos were used to launder the proceeds of illegal drug trafficking and to facilitate Chinese capital flight. While casinos have been forced by damming government inquiries to tighten anti-money laundering controls, it is likely that there will be pressure to relax these controls in the future because of competitive pressure from other casinos in the Asia-Pacific region.","author":[{"dropping-particle":"","family":"Langdale","given":"John","non-dropping-particle":"","parse-names":false,"suffix":""}],"container-title":"Journal of Money Laundering Control","id":"ITEM-1","issue":"7","issued":{"date-parts":[["2022"]]},"page":"99-109","title":"Money laundering in Australian casinos","type":"article-journal","volume":"26"},"uris":["http://www.mendeley.com/documents/?uuid=4edd05cb-5306-42df-a140-4b1c81b5ebd9"]}],"mendeley":{"formattedCitation":"(Langdale, 2022)","plainTextFormattedCitation":"(Langdale, 2022)","previouslyFormattedCitation":"(Langdale, 2022)"},"properties":{"noteIndex":0},"schema":"https://github.com/citation-style-language/schema/raw/master/csl-citation.json"}</w:instrText>
      </w:r>
      <w:r w:rsidRPr="00BE257F">
        <w:rPr>
          <w:rFonts w:ascii="Arial Narrow" w:hAnsi="Arial Narrow" w:cs="Times New Roman"/>
          <w:sz w:val="24"/>
          <w:szCs w:val="24"/>
        </w:rPr>
        <w:fldChar w:fldCharType="separate"/>
      </w:r>
      <w:r w:rsidRPr="00BE257F">
        <w:rPr>
          <w:rFonts w:ascii="Arial Narrow" w:hAnsi="Arial Narrow" w:cs="Times New Roman"/>
          <w:noProof/>
          <w:sz w:val="24"/>
          <w:szCs w:val="24"/>
        </w:rPr>
        <w:t>(Langdale, 2022)</w:t>
      </w:r>
      <w:r w:rsidRPr="00BE257F">
        <w:rPr>
          <w:rFonts w:ascii="Arial Narrow" w:hAnsi="Arial Narrow" w:cs="Times New Roman"/>
          <w:sz w:val="24"/>
          <w:szCs w:val="24"/>
        </w:rPr>
        <w:fldChar w:fldCharType="end"/>
      </w:r>
      <w:r w:rsidRPr="00BE257F">
        <w:rPr>
          <w:rFonts w:ascii="Arial Narrow" w:hAnsi="Arial Narrow" w:cs="Times New Roman"/>
          <w:sz w:val="24"/>
          <w:szCs w:val="24"/>
        </w:rPr>
        <w:t xml:space="preserve"> Dari perspektif kebijakan kriminal, transformasi konstruksi yuridis ini mencerminkan upaya untuk menciptakan sistem hukum pidana yang lebih terintegrasi dan koheren, dimana berbagai jenis kejahatan diatur dalam satu kodifikasi yang memiliki asas-asas umum yang sama, namun tetap mengakomodasi kekhususan masing-masing jenis kejahatan melalui rumusan delik yang spesifik.</w:t>
      </w:r>
      <w:r w:rsidRPr="00BE257F">
        <w:rPr>
          <w:rFonts w:ascii="Arial Narrow" w:hAnsi="Arial Narrow" w:cs="Times New Roman"/>
          <w:sz w:val="24"/>
          <w:szCs w:val="24"/>
        </w:rPr>
        <w:fldChar w:fldCharType="begin" w:fldLock="1"/>
      </w:r>
      <w:r w:rsidRPr="00BE257F">
        <w:rPr>
          <w:rFonts w:ascii="Arial Narrow" w:hAnsi="Arial Narrow" w:cs="Times New Roman"/>
          <w:sz w:val="24"/>
          <w:szCs w:val="24"/>
        </w:rPr>
        <w:instrText>ADDIN CSL_CITATION {"citationItems":[{"id":"ITEM-1","itemData":{"DOI":"10.1140/epjds/s13688-022-00328-8","ISSN":"21931127","abstract":"Aim: There is a growing literature analyzing money laundering and the policies to fight it, but the overall effectiveness of anti-money laundering policies is still unclear. This paper investigates whether anti-money laundering policies affect the behavior of money launderers and their networks. Method: With an algorithm to match clusters over time, we build a unique dataset of multi-mode, undirected, binary, dynamic networks of natural and legal persons. The data includes ownership and employment relations and associated financial ties and is enriched with criminal records and police-related activities. The networks of money launderers, other criminals, and non-criminal individuals are analyzed and compared with temporal social network analysis techniques and panel data regressions on centrality measures, transitivity and assortativity indicators, and levels of constraint. Findings: We find that after the announcement of the fourth EU anti-money laundering directive in 2015, money laundering networks show a significant increase in the use of foreigners and corporate structures. At the individual level, money launderers become more dominant in criminal clusters (increased closeness centrality). This paper shows that (the announcement of) anti-money laundering policies can affect criminal networks and how such effects can be tested.","author":[{"dropping-particle":"","family":"Gerbrands","given":"Peter","non-dropping-particle":"","parse-names":false,"suffix":""},{"dropping-particle":"","family":"Unger","given":"Brigitte","non-dropping-particle":"","parse-names":false,"suffix":""},{"dropping-particle":"","family":"Getzner","given":"Michael","non-dropping-particle":"","parse-names":false,"suffix":""},{"dropping-particle":"","family":"Ferwerda","given":"Joras","non-dropping-particle":"","parse-names":false,"suffix":""}],"container-title":"EPJ Data Science","id":"ITEM-1","issue":"1","issued":{"date-parts":[["2022"]]},"publisher":"The Author(s)","title":"The effect of anti-money laundering policies: an empirical network analysis","type":"article-journal","volume":"11"},"uris":["http://www.mendeley.com/documents/?uuid=2ce43e55-462b-45d7-b230-7e138d93ac96"]}],"mendeley":{"formattedCitation":"(Gerbrands et al., 2022)","plainTextFormattedCitation":"(Gerbrands et al., 2022)","previouslyFormattedCitation":"(Gerbrands et al., 2022)"},"properties":{"noteIndex":0},"schema":"https://github.com/citation-style-language/schema/raw/master/csl-citation.json"}</w:instrText>
      </w:r>
      <w:r w:rsidRPr="00BE257F">
        <w:rPr>
          <w:rFonts w:ascii="Arial Narrow" w:hAnsi="Arial Narrow" w:cs="Times New Roman"/>
          <w:sz w:val="24"/>
          <w:szCs w:val="24"/>
        </w:rPr>
        <w:fldChar w:fldCharType="separate"/>
      </w:r>
      <w:r w:rsidRPr="00BE257F">
        <w:rPr>
          <w:rFonts w:ascii="Arial Narrow" w:hAnsi="Arial Narrow" w:cs="Times New Roman"/>
          <w:noProof/>
          <w:sz w:val="24"/>
          <w:szCs w:val="24"/>
        </w:rPr>
        <w:t>(Gerbrands et al., 2022)</w:t>
      </w:r>
      <w:r w:rsidRPr="00BE257F">
        <w:rPr>
          <w:rFonts w:ascii="Arial Narrow" w:hAnsi="Arial Narrow" w:cs="Times New Roman"/>
          <w:sz w:val="24"/>
          <w:szCs w:val="24"/>
        </w:rPr>
        <w:fldChar w:fldCharType="end"/>
      </w:r>
    </w:p>
    <w:p w:rsidR="00BE257F" w:rsidRDefault="00BE257F" w:rsidP="00127070">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sz w:val="24"/>
          <w:szCs w:val="24"/>
        </w:rPr>
      </w:pPr>
    </w:p>
    <w:p w:rsidR="00BE257F" w:rsidRDefault="00BE257F" w:rsidP="00127070">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sz w:val="24"/>
          <w:szCs w:val="24"/>
        </w:rPr>
      </w:pPr>
    </w:p>
    <w:p w:rsidR="00262CCA" w:rsidRPr="00262CCA" w:rsidRDefault="00BE257F" w:rsidP="00262CCA">
      <w:pPr>
        <w:pStyle w:val="ListParagraph"/>
        <w:numPr>
          <w:ilvl w:val="0"/>
          <w:numId w:val="21"/>
        </w:numPr>
        <w:pBdr>
          <w:top w:val="nil"/>
          <w:left w:val="nil"/>
          <w:bottom w:val="nil"/>
          <w:right w:val="nil"/>
          <w:between w:val="nil"/>
        </w:pBdr>
        <w:tabs>
          <w:tab w:val="center" w:pos="4680"/>
          <w:tab w:val="right" w:pos="9360"/>
        </w:tabs>
        <w:spacing w:before="120" w:after="0" w:line="240" w:lineRule="auto"/>
        <w:ind w:left="426"/>
        <w:jc w:val="both"/>
        <w:rPr>
          <w:rFonts w:ascii="Arial Narrow" w:eastAsia="Book Antiqua" w:hAnsi="Arial Narrow" w:cs="Book Antiqua"/>
          <w:b/>
          <w:color w:val="000000"/>
          <w:sz w:val="24"/>
          <w:szCs w:val="24"/>
        </w:rPr>
      </w:pPr>
      <w:r w:rsidRPr="00BE257F">
        <w:rPr>
          <w:rFonts w:ascii="Arial Narrow" w:hAnsi="Arial Narrow" w:cs="Times New Roman"/>
          <w:b/>
          <w:bCs/>
          <w:sz w:val="24"/>
          <w:szCs w:val="24"/>
        </w:rPr>
        <w:lastRenderedPageBreak/>
        <w:t>Implikasi Yuridis Reposisi Tindak Pidana Pencucian Uang dalam Kodifikasi Hukum Pidana Nasional terhadap Efektivitas Penegakan Hukum dan Perlindungan Hak Asasi</w:t>
      </w:r>
    </w:p>
    <w:p w:rsidR="00BE257F" w:rsidRPr="00BE257F" w:rsidRDefault="00BE257F" w:rsidP="00467B7C">
      <w:pPr>
        <w:pBdr>
          <w:top w:val="nil"/>
          <w:left w:val="nil"/>
          <w:bottom w:val="nil"/>
          <w:right w:val="nil"/>
          <w:between w:val="nil"/>
        </w:pBdr>
        <w:tabs>
          <w:tab w:val="center" w:pos="4680"/>
          <w:tab w:val="right" w:pos="9360"/>
        </w:tabs>
        <w:spacing w:before="120" w:after="0" w:line="240" w:lineRule="auto"/>
        <w:ind w:firstLine="567"/>
        <w:jc w:val="both"/>
        <w:rPr>
          <w:rFonts w:ascii="Arial Narrow" w:eastAsia="Times New Roman" w:hAnsi="Arial Narrow" w:cs="Times New Roman"/>
          <w:sz w:val="24"/>
          <w:szCs w:val="24"/>
          <w:lang w:eastAsia="en-US"/>
        </w:rPr>
      </w:pPr>
      <w:r w:rsidRPr="00BE257F">
        <w:rPr>
          <w:rFonts w:ascii="Arial Narrow" w:hAnsi="Arial Narrow" w:cs="Times New Roman"/>
          <w:sz w:val="24"/>
          <w:szCs w:val="24"/>
        </w:rPr>
        <w:t>Reposisi tindak pidana pencucian uang dari regulasi khusus yang berdiri sendiri ke dalam kodifikasi hukum pidana nasional membawa implikasi yuridis yang signifikan terhadap efektivitas penegakan hukum dan mekanisme perlindungan hak asasi manusia dalam sistem peradilan pidana Indonesia. Implikasi pertama yang mengemuka adalah terkait dengan kepastian hukum dalam penerapan ketentuan pidana, dimana integrasi pencucian uang ke dalam KUHP menciptakan kerangka normatif yang lebih sistematis namun sekaligus menimbulkan potensi tumpang tindih dengan regulasi khusus yang masih berlaku. Dalam praktik penegakan hukum, penyidik, penuntut umum, dan hakim menghadapi dilema yuridis dalam menentukan ketentuan mana yang harus diterapkan ketika berhadapan dengan kasus pencucian uang, apakah menggunakan ketentuan dalam KUHP Tahun 2023 ataukah tetap menerapkan Undang-Undang Nomor 8 Tahun 2010 yang memiliki mekanisme khusus seperti pembuktian terbalik dan kewenangan khusus bagi penyidik. Ketidakpastian ini dapat mempengaruhi efektivitas penegakan hukum, terutama dalam tahap penyidikan dan penuntutan dimana pemilihan dasar hukum yang tepat akan menentukan mekanisme pembuktian yang digunakan serta kewenangan yang dimiliki oleh aparat penegak hukum. Dari perspektif perlindungan hak asasi, reposisi ini membawa implikasi terhadap jaminan hak-hak prosedural terdakwa, khususnya terkait dengan asas praduga tidak bersalah (</w:t>
      </w:r>
      <w:r w:rsidRPr="00BE257F">
        <w:rPr>
          <w:rFonts w:ascii="Arial Narrow" w:hAnsi="Arial Narrow" w:cs="Times New Roman"/>
          <w:i/>
          <w:iCs/>
          <w:sz w:val="24"/>
          <w:szCs w:val="24"/>
        </w:rPr>
        <w:t>presumption of innocence</w:t>
      </w:r>
      <w:r w:rsidRPr="00BE257F">
        <w:rPr>
          <w:rFonts w:ascii="Arial Narrow" w:hAnsi="Arial Narrow" w:cs="Times New Roman"/>
          <w:sz w:val="24"/>
          <w:szCs w:val="24"/>
        </w:rPr>
        <w:t>) dan hak untuk tidak memberatkan diri sendiri (</w:t>
      </w:r>
      <w:r w:rsidRPr="00BE257F">
        <w:rPr>
          <w:rFonts w:ascii="Arial Narrow" w:hAnsi="Arial Narrow" w:cs="Times New Roman"/>
          <w:i/>
          <w:iCs/>
          <w:sz w:val="24"/>
          <w:szCs w:val="24"/>
        </w:rPr>
        <w:t>non-self incrimination</w:t>
      </w:r>
      <w:r w:rsidRPr="00BE257F">
        <w:rPr>
          <w:rFonts w:ascii="Arial Narrow" w:hAnsi="Arial Narrow" w:cs="Times New Roman"/>
          <w:sz w:val="24"/>
          <w:szCs w:val="24"/>
        </w:rPr>
        <w:t>) yang merupakan prinsip fundamental dalam sistem peradilan pidana modern.</w:t>
      </w:r>
      <w:r w:rsidRPr="00BE257F">
        <w:rPr>
          <w:rFonts w:ascii="Arial Narrow" w:hAnsi="Arial Narrow" w:cs="Times New Roman"/>
          <w:sz w:val="24"/>
          <w:szCs w:val="24"/>
        </w:rPr>
        <w:fldChar w:fldCharType="begin" w:fldLock="1"/>
      </w:r>
      <w:r w:rsidRPr="00BE257F">
        <w:rPr>
          <w:rFonts w:ascii="Arial Narrow" w:hAnsi="Arial Narrow" w:cs="Times New Roman"/>
          <w:sz w:val="24"/>
          <w:szCs w:val="24"/>
        </w:rPr>
        <w:instrText>ADDIN CSL_CITATION {"citationItems":[{"id":"ITEM-1","itemData":{"DOI":"10.5281/zenodo.4756086","ISSN":"09735089","abstract":"Article 44 paragraph (1) of the Criminal Code contains vague norms, because it does not regulate when a person cannot be clarified in criminal law. This has implications for injustice and uncertainty for someone being examined or a suspect who is mentally disturbed and so far, investigators have only with their discretion for the sake of humanity sent suspects to be treated in mental hospitals and wait until they are decided by the judge/court. The research aimed to analyze the provision of Article 44 paragraph (1) of the Criminal Code of Indonesia in determining in determining the mental condition of a person suspected of committing a crime based on ius constitutum as well as examining the reformulation of Article 44 paragraph (1) of the Penal Code of Indonesia in determining the mental condition of a person suspected of committing a crime based on the perspective of ius constituendum. This writing was normative legal research using statutory approach, analytical and conceptual approach. The study indicated that there needs on reformulation of the Article 44 paragraph (1) of the Criminal Code of Indonesia relating to the circumstances of the suspects with mental illness, for the sake of humanity to be given the authority given the authority to coordinate with the Public Prosecutor to request a brief trial of the Chief of the District Court therefore, rehabilitation is immediately determined or decided with proper treatment and all their needs are borne by the State during treatment until recovered.","author":[{"dropping-particle":"","family":"Suartha","given":"I. Dewa Made","non-dropping-particle":"","parse-names":false,"suffix":""},{"dropping-particle":"","family":"Martha","given":"I. Dewa Agung Gede Mahardika","non-dropping-particle":"","parse-names":false,"suffix":""},{"dropping-particle":"","family":"Hermanto","given":"Bagus","non-dropping-particle":"","parse-names":false,"suffix":""}],"container-title":"International Journal of Criminal Justice Sciences","id":"ITEM-1","issue":"1","issued":{"date-parts":[["2022"]]},"page":"1-21","title":"Between Mental Illness, Criminal Policy Reform, and Human Rights: Discourse on Reformulation of The Article 44 Indonesia Criminal Code","type":"article-journal","volume":"17"},"uris":["http://www.mendeley.com/documents/?uuid=12704d73-9eb6-4d2d-88d8-980237afbe71"]}],"mendeley":{"formattedCitation":"(Suartha et al., 2022)","plainTextFormattedCitation":"(Suartha et al., 2022)","previouslyFormattedCitation":"(Suartha et al., 2022)"},"properties":{"noteIndex":0},"schema":"https://github.com/citation-style-language/schema/raw/master/csl-citation.json"}</w:instrText>
      </w:r>
      <w:r w:rsidRPr="00BE257F">
        <w:rPr>
          <w:rFonts w:ascii="Arial Narrow" w:hAnsi="Arial Narrow" w:cs="Times New Roman"/>
          <w:sz w:val="24"/>
          <w:szCs w:val="24"/>
        </w:rPr>
        <w:fldChar w:fldCharType="separate"/>
      </w:r>
      <w:r w:rsidRPr="00BE257F">
        <w:rPr>
          <w:rFonts w:ascii="Arial Narrow" w:hAnsi="Arial Narrow" w:cs="Times New Roman"/>
          <w:noProof/>
          <w:sz w:val="24"/>
          <w:szCs w:val="24"/>
        </w:rPr>
        <w:t>(Suartha et al., 2022)</w:t>
      </w:r>
      <w:r w:rsidRPr="00BE257F">
        <w:rPr>
          <w:rFonts w:ascii="Arial Narrow" w:hAnsi="Arial Narrow" w:cs="Times New Roman"/>
          <w:sz w:val="24"/>
          <w:szCs w:val="24"/>
        </w:rPr>
        <w:fldChar w:fldCharType="end"/>
      </w:r>
      <w:r w:rsidRPr="00BE257F">
        <w:rPr>
          <w:rFonts w:ascii="Arial Narrow" w:hAnsi="Arial Narrow" w:cs="Times New Roman"/>
          <w:sz w:val="24"/>
          <w:szCs w:val="24"/>
        </w:rPr>
        <w:t xml:space="preserve"> Penerapan mekanisme pembuktian terbalik yang diatur dalam undang-undang khusus berpotensi berbenturan dengan asas-asas umum dalam KUHP yang menempatkan beban pembuktian sepenuhnya pada penuntut umum, sehingga memerlukan harmonisasi interpretasi agar tidak menimbulkan ketidakadilan dalam proses peradilan.</w:t>
      </w:r>
      <w:r w:rsidRPr="00BE257F">
        <w:rPr>
          <w:rFonts w:ascii="Arial Narrow" w:hAnsi="Arial Narrow" w:cs="Times New Roman"/>
          <w:sz w:val="24"/>
          <w:szCs w:val="24"/>
        </w:rPr>
        <w:fldChar w:fldCharType="begin" w:fldLock="1"/>
      </w:r>
      <w:r w:rsidRPr="00BE257F">
        <w:rPr>
          <w:rFonts w:ascii="Arial Narrow" w:hAnsi="Arial Narrow" w:cs="Times New Roman"/>
          <w:sz w:val="24"/>
          <w:szCs w:val="24"/>
        </w:rPr>
        <w:instrText>ADDIN CSL_CITATION {"citationItems":[{"id":"ITEM-1","itemData":{"DOI":"10.2478/CIRR-2021-0009","ISSN":"18485782","abstract":"The perpetrators of money laundering proceeds from narcotics crimes use banking facilities in carrying out their crime businesses so that banking products offered to the public can potentially be misused and used to benefit the narcotics criminals or to disguise and hide the proceeds of their crimes. The purpose of this study was to analyze the application of reverse evidence for perpetrators of money laundering crimes with drug related crimes in North Sumatra, Indonesia. With a qualitative research approach, the data was collected through interviews, observations, and literature studies, including the related laws. The informants in this study were the officials of the Directorate of Drug Investigation, Lawyers, Academics, Prosecutors, Investigators, Judges, and Members of the North Sumatra House of Representatives. The purposive sampling technique was used to identify the informants. This study raised an important issue of reverse evidence for the crime of money laundering based on the origin of narcotics, highlighting the drawbacks in the related laws. It was also found that the law enforcement process for narcotics criminals is adjusted to the rules contained in Law no. 35 of 2009 concerning Narcotics and Law no. 35 of 2010 on the Crime of Money Laundering in North Sumatra. The inverse burden of proof for perpetrators of money laundering crimes with narcotics originating crimes in North Sumatra is carried out in accordance with the rules contained in Articles 77 and 78 of the Money Laundering Law, where the defendant is given the authority to prove that his assets are not the proceeds of crime. The results of this study also found that there was an increase in the number of perpetrators of narcotics crimes and money laundering in North Sumatra during the last three years. A total of six (6) decisions on money laundering crimes were given in North Sumatra which had a permanent legal force. However, between 2018-2021, only two (2) cases of Money Laundering of narcotics predicate cases have been found but not yet signed nor any sentence given.","author":[{"dropping-particle":"","family":"Hartanto","given":"Dadang","non-dropping-particle":"","parse-names":false,"suffix":""},{"dropping-particle":"","family":"Hidayat","given":"Nasrullah","non-dropping-particle":"","parse-names":false,"suffix":""}],"container-title":"Croatian International Relations Review","id":"ITEM-1","issue":"88","issued":{"date-parts":[["2021"]]},"page":"14-33","title":"Application of Reverse Evidence for The Crime of Money Laundering Based on The Origin of Narcotics","type":"article-journal","volume":"27"},"uris":["http://www.mendeley.com/documents/?uuid=16048627-5ceb-4715-b2ac-c7b8d63dceae"]}],"mendeley":{"formattedCitation":"(Hartanto &amp; Hidayat, 2021)","plainTextFormattedCitation":"(Hartanto &amp; Hidayat, 2021)","previouslyFormattedCitation":"(Hartanto &amp; Hidayat, 2021)"},"properties":{"noteIndex":0},"schema":"https://github.com/citation-style-language/schema/raw/master/csl-citation.json"}</w:instrText>
      </w:r>
      <w:r w:rsidRPr="00BE257F">
        <w:rPr>
          <w:rFonts w:ascii="Arial Narrow" w:hAnsi="Arial Narrow" w:cs="Times New Roman"/>
          <w:sz w:val="24"/>
          <w:szCs w:val="24"/>
        </w:rPr>
        <w:fldChar w:fldCharType="separate"/>
      </w:r>
      <w:r w:rsidRPr="00BE257F">
        <w:rPr>
          <w:rFonts w:ascii="Arial Narrow" w:hAnsi="Arial Narrow" w:cs="Times New Roman"/>
          <w:noProof/>
          <w:sz w:val="24"/>
          <w:szCs w:val="24"/>
        </w:rPr>
        <w:t>(Hartanto &amp; Hidayat, 2021)</w:t>
      </w:r>
      <w:r w:rsidRPr="00BE257F">
        <w:rPr>
          <w:rFonts w:ascii="Arial Narrow" w:hAnsi="Arial Narrow" w:cs="Times New Roman"/>
          <w:sz w:val="24"/>
          <w:szCs w:val="24"/>
        </w:rPr>
        <w:fldChar w:fldCharType="end"/>
      </w:r>
    </w:p>
    <w:p w:rsidR="00BE257F" w:rsidRPr="00BE257F" w:rsidRDefault="00BE257F" w:rsidP="00467B7C">
      <w:pPr>
        <w:spacing w:after="0"/>
        <w:ind w:firstLine="720"/>
        <w:jc w:val="both"/>
        <w:rPr>
          <w:rFonts w:ascii="Arial Narrow" w:hAnsi="Arial Narrow" w:cs="Times New Roman"/>
          <w:sz w:val="24"/>
          <w:szCs w:val="24"/>
        </w:rPr>
      </w:pPr>
      <w:r w:rsidRPr="00BE257F">
        <w:rPr>
          <w:rFonts w:ascii="Arial Narrow" w:hAnsi="Arial Narrow" w:cs="Times New Roman"/>
          <w:sz w:val="24"/>
          <w:szCs w:val="24"/>
        </w:rPr>
        <w:t>Implikasi selanjutnya berkaitan dengan efektivitas deteksi dan pencegahan tindak pidana pencucian uang dalam konteks sistem keuangan modern yang semakin kompleks dan terdigitalisasi. Reposisi pencucian uang ke dalam kodifikasi hukum pidana nasional mengharuskan adanya sinkronisasi antara ketentuan pidana materiil dengan mekanisme pencegahan yang melibatkan berbagai lembaga keuangan dan profesi penunjang, termasuk perbankan, pasar modal, asuransi, notaris, advokat, dan akuntan publik. Undang-Undang Nomor 8 Tahun 2010 telah mengatur kewajiban pelaporan transaksi keuangan mencurigakan (</w:t>
      </w:r>
      <w:r w:rsidRPr="00BE257F">
        <w:rPr>
          <w:rFonts w:ascii="Arial Narrow" w:hAnsi="Arial Narrow" w:cs="Times New Roman"/>
          <w:i/>
          <w:iCs/>
          <w:sz w:val="24"/>
          <w:szCs w:val="24"/>
        </w:rPr>
        <w:t>suspicious transaction report</w:t>
      </w:r>
      <w:r w:rsidRPr="00BE257F">
        <w:rPr>
          <w:rFonts w:ascii="Arial Narrow" w:hAnsi="Arial Narrow" w:cs="Times New Roman"/>
          <w:sz w:val="24"/>
          <w:szCs w:val="24"/>
        </w:rPr>
        <w:t xml:space="preserve">) kepada Pusat Pelaporan dan Analisis Transaksi Keuangan (PPATK) sebagai bagian dari sistem deteksi dini pencucian uang, namun ketentuan ini perlu diselaraskan dengan kerangka pemidanaan dalam KUHP Tahun 2023 agar tercipta sinergi antara aspek preventif dan represif. Efektivitas penegakan hukum sangat bergantung pada kemampuan sistem untuk mendeteksi transaksi yang mencurigakan dan mengidentifikasi pola-pola pencucian uang yang semakin canggih, termasuk penggunaan </w:t>
      </w:r>
      <w:r w:rsidRPr="00BE257F">
        <w:rPr>
          <w:rFonts w:ascii="Arial Narrow" w:hAnsi="Arial Narrow" w:cs="Times New Roman"/>
          <w:i/>
          <w:iCs/>
          <w:sz w:val="24"/>
          <w:szCs w:val="24"/>
        </w:rPr>
        <w:t>shell companies</w:t>
      </w:r>
      <w:r w:rsidRPr="00BE257F">
        <w:rPr>
          <w:rFonts w:ascii="Arial Narrow" w:hAnsi="Arial Narrow" w:cs="Times New Roman"/>
          <w:sz w:val="24"/>
          <w:szCs w:val="24"/>
        </w:rPr>
        <w:t xml:space="preserve">, </w:t>
      </w:r>
      <w:r w:rsidRPr="00BE257F">
        <w:rPr>
          <w:rFonts w:ascii="Arial Narrow" w:hAnsi="Arial Narrow" w:cs="Times New Roman"/>
          <w:i/>
          <w:iCs/>
          <w:sz w:val="24"/>
          <w:szCs w:val="24"/>
        </w:rPr>
        <w:t>nominee arrangements</w:t>
      </w:r>
      <w:r w:rsidRPr="00BE257F">
        <w:rPr>
          <w:rFonts w:ascii="Arial Narrow" w:hAnsi="Arial Narrow" w:cs="Times New Roman"/>
          <w:sz w:val="24"/>
          <w:szCs w:val="24"/>
        </w:rPr>
        <w:t>, dan berbagai skema keuangan kompleks yang dirancang untuk menyembunyikan identitas pemilik manfaat (</w:t>
      </w:r>
      <w:r w:rsidRPr="00BE257F">
        <w:rPr>
          <w:rFonts w:ascii="Arial Narrow" w:hAnsi="Arial Narrow" w:cs="Times New Roman"/>
          <w:i/>
          <w:iCs/>
          <w:sz w:val="24"/>
          <w:szCs w:val="24"/>
        </w:rPr>
        <w:t>beneficial owner</w:t>
      </w:r>
      <w:r w:rsidRPr="00BE257F">
        <w:rPr>
          <w:rFonts w:ascii="Arial Narrow" w:hAnsi="Arial Narrow" w:cs="Times New Roman"/>
          <w:sz w:val="24"/>
          <w:szCs w:val="24"/>
        </w:rPr>
        <w:t>) dan asal-usul dana.</w:t>
      </w:r>
      <w:r w:rsidRPr="00BE257F">
        <w:rPr>
          <w:rFonts w:ascii="Arial Narrow" w:hAnsi="Arial Narrow" w:cs="Times New Roman"/>
          <w:sz w:val="24"/>
          <w:szCs w:val="24"/>
        </w:rPr>
        <w:fldChar w:fldCharType="begin" w:fldLock="1"/>
      </w:r>
      <w:r w:rsidRPr="00BE257F">
        <w:rPr>
          <w:rFonts w:ascii="Arial Narrow" w:hAnsi="Arial Narrow" w:cs="Times New Roman"/>
          <w:sz w:val="24"/>
          <w:szCs w:val="24"/>
        </w:rPr>
        <w:instrText>ADDIN CSL_CITATION {"citationItems":[{"id":"ITEM-1","itemData":{"DOI":"10.1007/s10610-024-09581-1","ISSN":"15729869","abstract":"The misuse of law firm pooled client accounts has been identified as one of the primary areas of money laundering and terrorist financing risk for the legal profession. This article demonstrates the varied role that client accounts can play in money laundering, through both purposeful exploitation (by the predicate offender, the lawyer/law firm, or both) of the client account or of other legitimate business processes in which the client account inevitably plays a role, and/or a failure to fulfil regulatory requirements. It examines how the nature of law firm pooled client accounts in the UK creates and shapes an ‘opportunity structure’ for money laundering, and the occupational and organisational context of this opportunity structure. The article argues that examining the opportunity structures created by client accounts is a more useful approach than categorising them as inherently low, medium or high risk, as is seen in many national risk assessments and reports. Identifying the factors that create opportunities for money laundering through law firm client accounts can direct policymakers striving to prevent money laundering in the legal profession towards more targeted oversight mechanisms.","author":[{"dropping-particle":"","family":"Benson","given":"Katie","non-dropping-particle":"","parse-names":false,"suffix":""},{"dropping-particle":"","family":"Bociga","given":"Diana","non-dropping-particle":"","parse-names":false,"suffix":""}],"container-title":"European Journal on Criminal Policy and Research","id":"ITEM-1","issue":"3","issued":{"date-parts":[["2024"]]},"page":"449-473","title":"Occupation, Organisation, Opportunity, and Oversight: Law Firm Client Accounts and (Anti-)Money Laundering","type":"article-journal","volume":"30"},"uris":["http://www.mendeley.com/documents/?uuid=5562366f-61fb-4bf7-94a3-aad38aea274b"]}],"mendeley":{"formattedCitation":"(Benson &amp; Bociga, 2024)","plainTextFormattedCitation":"(Benson &amp; Bociga, 2024)","previouslyFormattedCitation":"(Benson &amp; Bociga, 2024)"},"properties":{"noteIndex":0},"schema":"https://github.com/citation-style-language/schema/raw/master/csl-citation.json"}</w:instrText>
      </w:r>
      <w:r w:rsidRPr="00BE257F">
        <w:rPr>
          <w:rFonts w:ascii="Arial Narrow" w:hAnsi="Arial Narrow" w:cs="Times New Roman"/>
          <w:sz w:val="24"/>
          <w:szCs w:val="24"/>
        </w:rPr>
        <w:fldChar w:fldCharType="separate"/>
      </w:r>
      <w:r w:rsidRPr="00BE257F">
        <w:rPr>
          <w:rFonts w:ascii="Arial Narrow" w:hAnsi="Arial Narrow" w:cs="Times New Roman"/>
          <w:noProof/>
          <w:sz w:val="24"/>
          <w:szCs w:val="24"/>
        </w:rPr>
        <w:t>(Benson &amp; Bociga, 2024)</w:t>
      </w:r>
      <w:r w:rsidRPr="00BE257F">
        <w:rPr>
          <w:rFonts w:ascii="Arial Narrow" w:hAnsi="Arial Narrow" w:cs="Times New Roman"/>
          <w:sz w:val="24"/>
          <w:szCs w:val="24"/>
        </w:rPr>
        <w:fldChar w:fldCharType="end"/>
      </w:r>
      <w:r w:rsidRPr="00BE257F">
        <w:rPr>
          <w:rFonts w:ascii="Arial Narrow" w:hAnsi="Arial Narrow" w:cs="Times New Roman"/>
          <w:sz w:val="24"/>
          <w:szCs w:val="24"/>
        </w:rPr>
        <w:t xml:space="preserve"> Dalam konteks ini, kewenangan PPATK sebagai lembaga yang memiliki akses terhadap informasi transaksi keuangan menjadi krusial dalam mendukung proses penyidikan dan penuntutan, namun koordinasi antara PPATK dengan aparat penegak hukum perlu diperkuat melalui mekanisme pertukaran informasi yang efektif dan tunduk pada prinsip-prinsip perlindungan data pribadi.</w:t>
      </w:r>
      <w:r w:rsidRPr="00BE257F">
        <w:rPr>
          <w:rFonts w:ascii="Arial Narrow" w:hAnsi="Arial Narrow" w:cs="Times New Roman"/>
          <w:sz w:val="24"/>
          <w:szCs w:val="24"/>
        </w:rPr>
        <w:fldChar w:fldCharType="begin" w:fldLock="1"/>
      </w:r>
      <w:r w:rsidRPr="00BE257F">
        <w:rPr>
          <w:rFonts w:ascii="Arial Narrow" w:hAnsi="Arial Narrow" w:cs="Times New Roman"/>
          <w:sz w:val="24"/>
          <w:szCs w:val="24"/>
        </w:rPr>
        <w:instrText>ADDIN CSL_CITATION {"citationItems":[{"id":"ITEM-1","itemData":{"DOI":"10.1007/s12117-022-09475-w","ISSN":"19364830","abstract":"In order to launder large amounts of money, (drug) criminals can seek help from financial facilitators. According to the FATF, these facilitators are operating increasingly business-like and even participate in professional money laundering networks. This study examines the extent to which financial facilitators in the Netherlands exhibit business-like characteristics and the extent to which they organize themselves in money laundering networks. We further examine the relationship between business-like behavior and individual money launderers’ position in the social network. Using police intelligence data, we were able to analyze the contacts of 198 financial facilitators who were active in the Netherlands in the period 2016–2020, all having worked for drug criminals. Based on social network analysis, this research shows that financial facilitators in the Netherlands can be linked in extensive money laundering networks. Based on the facilitators’ area of expertise, roughly two main types of professional money laundering networks can be discerned. Some subnetworks operate in the real estate sector, while others primarily engage in underground banking. Furthermore, the application of regression models to predict business-like behavior using individual network measures shows that facilitators with more central positions in the network and those who collaborate with financial facilitators from varying expertise groups tend to behave more business-like than other financial facilitators.","author":[{"dropping-particle":"","family":"Kramer","given":"Jo Anne","non-dropping-particle":"","parse-names":false,"suffix":""},{"dropping-particle":"","family":"Blokland","given":"Arjan A.J.","non-dropping-particle":"","parse-names":false,"suffix":""},{"dropping-particle":"","family":"Kleemans","given":"Edward R.","non-dropping-particle":"","parse-names":false,"suffix":""},{"dropping-particle":"","family":"Soudijn","given":"Melvin R.J.","non-dropping-particle":"","parse-names":false,"suffix":""}],"container-title":"Trends in Organized Crime","id":"ITEM-1","issue":"3","issued":{"date-parts":[["2024"]]},"page":"314-341","publisher":"Springer US","title":"Money laundering as a service: Investigating business-like behavior in money laundering networks in the Netherlands","type":"article-journal","volume":"27"},"uris":["http://www.mendeley.com/documents/?uuid=0444c9ad-2e31-4843-bb4a-f952c13fd3d1"]}],"mendeley":{"formattedCitation":"(Kramer et al., 2024)","plainTextFormattedCitation":"(Kramer et al., 2024)","previouslyFormattedCitation":"(Kramer et al., 2024)"},"properties":{"noteIndex":0},"schema":"https://github.com/citation-style-language/schema/raw/master/csl-citation.json"}</w:instrText>
      </w:r>
      <w:r w:rsidRPr="00BE257F">
        <w:rPr>
          <w:rFonts w:ascii="Arial Narrow" w:hAnsi="Arial Narrow" w:cs="Times New Roman"/>
          <w:sz w:val="24"/>
          <w:szCs w:val="24"/>
        </w:rPr>
        <w:fldChar w:fldCharType="separate"/>
      </w:r>
      <w:r w:rsidRPr="00BE257F">
        <w:rPr>
          <w:rFonts w:ascii="Arial Narrow" w:hAnsi="Arial Narrow" w:cs="Times New Roman"/>
          <w:noProof/>
          <w:sz w:val="24"/>
          <w:szCs w:val="24"/>
        </w:rPr>
        <w:t>(Kramer et al., 2024)</w:t>
      </w:r>
      <w:r w:rsidRPr="00BE257F">
        <w:rPr>
          <w:rFonts w:ascii="Arial Narrow" w:hAnsi="Arial Narrow" w:cs="Times New Roman"/>
          <w:sz w:val="24"/>
          <w:szCs w:val="24"/>
        </w:rPr>
        <w:fldChar w:fldCharType="end"/>
      </w:r>
    </w:p>
    <w:p w:rsidR="00467B7C" w:rsidRDefault="00BE257F" w:rsidP="00467B7C">
      <w:pPr>
        <w:spacing w:after="0"/>
        <w:ind w:firstLine="720"/>
        <w:jc w:val="both"/>
        <w:rPr>
          <w:rFonts w:ascii="Arial Narrow" w:hAnsi="Arial Narrow" w:cs="Times New Roman"/>
          <w:sz w:val="24"/>
          <w:szCs w:val="24"/>
        </w:rPr>
      </w:pPr>
      <w:r w:rsidRPr="00BE257F">
        <w:rPr>
          <w:rFonts w:ascii="Arial Narrow" w:hAnsi="Arial Narrow" w:cs="Times New Roman"/>
          <w:sz w:val="24"/>
          <w:szCs w:val="24"/>
        </w:rPr>
        <w:t xml:space="preserve">Dari perspektif penegakan hukum, reposisi tindak pidana pencucian uang membawa implikasi terhadap strategi investigasi dan teknik pembuktian yang digunakan oleh penyidik. Prinsip </w:t>
      </w:r>
      <w:r w:rsidRPr="00BE257F">
        <w:rPr>
          <w:rFonts w:ascii="Arial Narrow" w:hAnsi="Arial Narrow" w:cs="Times New Roman"/>
          <w:i/>
          <w:iCs/>
          <w:sz w:val="24"/>
          <w:szCs w:val="24"/>
        </w:rPr>
        <w:lastRenderedPageBreak/>
        <w:t>follow the money</w:t>
      </w:r>
      <w:r w:rsidRPr="00BE257F">
        <w:rPr>
          <w:rFonts w:ascii="Arial Narrow" w:hAnsi="Arial Narrow" w:cs="Times New Roman"/>
          <w:sz w:val="24"/>
          <w:szCs w:val="24"/>
        </w:rPr>
        <w:t xml:space="preserve"> yang menjadi pendekatan utama dalam mengungkap jaringan pencucian uang memerlukan keahlian khusus dalam bidang forensik keuangan dan analisis transaksi, yang tidak selalu dimiliki oleh penyidik konvensional. Integrasi pencucian uang ke dalam KUHP mengharuskan penyidik untuk memiliki pemahaman yang komprehensif tentang asas-asas umum hukum pidana, sekaligus menguasai teknik-teknik investigasi khusus yang relevan dengan kejahatan keuangan, termasuk kemampuan untuk melacak aliran dana melalui berbagai yurisdiksi dan sistem keuangan yang berbeda. Kompleksitas ini menuntut adanya spesialisasi dan profesionalisasi penyidik tindak pidana pencucian uang, yang dilengkapi dengan kewenangan khusus seperti akses terhadap informasi perbankan, kewenangan untuk memblokir rekening, dan kemampuan untuk melakukan kerjasama internasional dalam pertukaran informasi dan bantuan hukum timbal balik (</w:t>
      </w:r>
      <w:r w:rsidRPr="00BE257F">
        <w:rPr>
          <w:rFonts w:ascii="Arial Narrow" w:hAnsi="Arial Narrow" w:cs="Times New Roman"/>
          <w:i/>
          <w:iCs/>
          <w:sz w:val="24"/>
          <w:szCs w:val="24"/>
        </w:rPr>
        <w:t>mutual legal assistance</w:t>
      </w:r>
      <w:r w:rsidRPr="00BE257F">
        <w:rPr>
          <w:rFonts w:ascii="Arial Narrow" w:hAnsi="Arial Narrow" w:cs="Times New Roman"/>
          <w:sz w:val="24"/>
          <w:szCs w:val="24"/>
        </w:rPr>
        <w:t>). Efektivitas penegakan hukum juga ditentukan oleh kemampuan untuk merampas dan menyita hasil kejahatan (</w:t>
      </w:r>
      <w:r w:rsidRPr="00BE257F">
        <w:rPr>
          <w:rFonts w:ascii="Arial Narrow" w:hAnsi="Arial Narrow" w:cs="Times New Roman"/>
          <w:i/>
          <w:iCs/>
          <w:sz w:val="24"/>
          <w:szCs w:val="24"/>
        </w:rPr>
        <w:t>asset recovery</w:t>
      </w:r>
      <w:r w:rsidRPr="00BE257F">
        <w:rPr>
          <w:rFonts w:ascii="Arial Narrow" w:hAnsi="Arial Narrow" w:cs="Times New Roman"/>
          <w:sz w:val="24"/>
          <w:szCs w:val="24"/>
        </w:rPr>
        <w:t>), yang merupakan tujuan utama dari pemberantasan pencucian uang selain pemidanaan terhadap pelaku.</w:t>
      </w:r>
      <w:r w:rsidRPr="00BE257F">
        <w:rPr>
          <w:rFonts w:ascii="Arial Narrow" w:hAnsi="Arial Narrow" w:cs="Times New Roman"/>
          <w:sz w:val="24"/>
          <w:szCs w:val="24"/>
        </w:rPr>
        <w:fldChar w:fldCharType="begin" w:fldLock="1"/>
      </w:r>
      <w:r w:rsidRPr="00BE257F">
        <w:rPr>
          <w:rFonts w:ascii="Arial Narrow" w:hAnsi="Arial Narrow" w:cs="Times New Roman"/>
          <w:sz w:val="24"/>
          <w:szCs w:val="24"/>
        </w:rPr>
        <w:instrText>ADDIN CSL_CITATION {"citationItems":[{"id":"ITEM-1","itemData":{"DOI":"10.1108/JMLC-05-2022-0068","ISSN":"17587808","abstract":"Purpose: With sanctions becoming an increasingly important tool in ostracising autocratic regimes from western markets, the need for effective enforcement of sanctions and anti-money laundering (AML) is increasing, and the global AML regime will be the backbone to detecting evasion of sanctions. This regime, however, has been widely criticised as ineffective. This paper aims to discuss issues with the current sanctions/AML regime and propose a reward scheme for whistleblowers to enable asset seizures that is not reliant on its effectiveness. Design/methodology/approach: This paper reviews weaknesses in the global AML regime, provide suggestions on how to design whistleblower reward programmes, based on agency experience and empirical evidence, as well as elaborate on how to use such programmes in the AML context. Findings: This study concludes that for reward programmes to be effective in the context of AML and sanctions enforcement, they need to include witness protection and leniency for money launderers, though not for those convicted of a criminal offence associated with the predicate crime. Moreover, rewards should be mandatory and scale with the amount of money seized or confiscated, and the cap on monetary rewards should be higher than it is under the Kleptocracy Asset Recovery Rewards Programme in the USA. Originality/value: In contrast to how the USA went about implementing rewards in this area under the Kleptocracy Asset Recovery Rewards Programme, this study argues that these programmes should be designed differently. This study also provides novel advice to governments on different design dimensions in the AML context and a model with three crucial pillars along with other design dimensions that should be considered.","author":[{"dropping-particle":"","family":"Nyreröd","given":"Theo","non-dropping-particle":"","parse-names":false,"suffix":""},{"dropping-particle":"","family":"Andreadakis","given":"Stelios","non-dropping-particle":"","parse-names":false,"suffix":""},{"dropping-particle":"","family":"Spagnolo","given":"Giancarlo","non-dropping-particle":"","parse-names":false,"suffix":""}],"container-title":"Journal of Money Laundering Control","id":"ITEM-1","issue":"5","issued":{"date-parts":[["2023"]]},"page":"912-925","title":"Money laundering and sanctions enforcement: large rewards, leniency and witness protection for whistleblowers","type":"article-journal","volume":"26"},"uris":["http://www.mendeley.com/documents/?uuid=7b8035ad-74eb-4e5c-9a92-1bce5bfe933c"]}],"mendeley":{"formattedCitation":"(Nyreröd et al., 2023)","plainTextFormattedCitation":"(Nyreröd et al., 2023)","previouslyFormattedCitation":"(Nyreröd et al., 2023)"},"properties":{"noteIndex":0},"schema":"https://github.com/citation-style-language/schema/raw/master/csl-citation.json"}</w:instrText>
      </w:r>
      <w:r w:rsidRPr="00BE257F">
        <w:rPr>
          <w:rFonts w:ascii="Arial Narrow" w:hAnsi="Arial Narrow" w:cs="Times New Roman"/>
          <w:sz w:val="24"/>
          <w:szCs w:val="24"/>
        </w:rPr>
        <w:fldChar w:fldCharType="separate"/>
      </w:r>
      <w:r w:rsidRPr="00BE257F">
        <w:rPr>
          <w:rFonts w:ascii="Arial Narrow" w:hAnsi="Arial Narrow" w:cs="Times New Roman"/>
          <w:noProof/>
          <w:sz w:val="24"/>
          <w:szCs w:val="24"/>
        </w:rPr>
        <w:t>(Nyreröd et al., 2023)</w:t>
      </w:r>
      <w:r w:rsidRPr="00BE257F">
        <w:rPr>
          <w:rFonts w:ascii="Arial Narrow" w:hAnsi="Arial Narrow" w:cs="Times New Roman"/>
          <w:sz w:val="24"/>
          <w:szCs w:val="24"/>
        </w:rPr>
        <w:fldChar w:fldCharType="end"/>
      </w:r>
      <w:r w:rsidRPr="00BE257F">
        <w:rPr>
          <w:rFonts w:ascii="Arial Narrow" w:hAnsi="Arial Narrow" w:cs="Times New Roman"/>
          <w:sz w:val="24"/>
          <w:szCs w:val="24"/>
        </w:rPr>
        <w:t xml:space="preserve"> Mekanisme perampasan aset dalam sistem hukum Indonesia mengadopsi pendekatan </w:t>
      </w:r>
      <w:r w:rsidRPr="00BE257F">
        <w:rPr>
          <w:rFonts w:ascii="Arial Narrow" w:hAnsi="Arial Narrow" w:cs="Times New Roman"/>
          <w:i/>
          <w:iCs/>
          <w:sz w:val="24"/>
          <w:szCs w:val="24"/>
        </w:rPr>
        <w:t>conviction based confiscation</w:t>
      </w:r>
      <w:r w:rsidRPr="00BE257F">
        <w:rPr>
          <w:rFonts w:ascii="Arial Narrow" w:hAnsi="Arial Narrow" w:cs="Times New Roman"/>
          <w:sz w:val="24"/>
          <w:szCs w:val="24"/>
        </w:rPr>
        <w:t xml:space="preserve"> yang mensyaratkan adanya putusan pemidanaan sebelum aset dapat dirampas, namun terdapat diskusi tentang kemungkinan mengadopsi sistem </w:t>
      </w:r>
      <w:r w:rsidRPr="00BE257F">
        <w:rPr>
          <w:rFonts w:ascii="Arial Narrow" w:hAnsi="Arial Narrow" w:cs="Times New Roman"/>
          <w:i/>
          <w:iCs/>
          <w:sz w:val="24"/>
          <w:szCs w:val="24"/>
        </w:rPr>
        <w:t>non-conviction based confiscation</w:t>
      </w:r>
      <w:r w:rsidRPr="00BE257F">
        <w:rPr>
          <w:rFonts w:ascii="Arial Narrow" w:hAnsi="Arial Narrow" w:cs="Times New Roman"/>
          <w:sz w:val="24"/>
          <w:szCs w:val="24"/>
        </w:rPr>
        <w:t xml:space="preserve"> yang memungkinkan perampasan aset tanpa harus melalui proses pemidanaan terlebih dahulu, sebagaimana dipraktikkan di berbagai yurisdiksi internasional.</w:t>
      </w:r>
      <w:r w:rsidRPr="00BE257F">
        <w:rPr>
          <w:rFonts w:ascii="Arial Narrow" w:hAnsi="Arial Narrow" w:cs="Times New Roman"/>
          <w:sz w:val="24"/>
          <w:szCs w:val="24"/>
        </w:rPr>
        <w:fldChar w:fldCharType="begin" w:fldLock="1"/>
      </w:r>
      <w:r w:rsidRPr="00BE257F">
        <w:rPr>
          <w:rFonts w:ascii="Arial Narrow" w:hAnsi="Arial Narrow" w:cs="Times New Roman"/>
          <w:sz w:val="24"/>
          <w:szCs w:val="24"/>
        </w:rPr>
        <w:instrText>ADDIN CSL_CITATION {"citationItems":[{"id":"ITEM-1","itemData":{"DOI":"10.1007/s10610-024-09603-y","ISBN":"1061002409603","ISSN":"15729869","abstract":"Two images dominate discussion of money laundering. Investigative journalists and politicians stress the variety and sophistication of methods that have been used to launder money of corrupt officials and white collar offenders. The research literature, largely dependent on criminal cases, emphasizes how unsophisticated and routine are the laundering methods used by drug dealers and other illegal market participants. The discrepancy may reflect the incapacity of police to detect sophisticated money laundering but it may also represent the reality; different groups of offenders choose different methods. This paper presents a theoretical framework to explain how offenders choose to launder their criminal earnings. Specifically it asks: what determines the sophistication of the method chosen? Among the variables that we suggest influence the choice are: (a) the type of predicate crime and of crime proceeds, (b) the type of offender (age, education, social status), (c) his/her motivations, (d) the AML environment and the level of AML controls. The paper provides arguments from criminological and economic theory for how these variables might play a role. Without claiming that individual cases can test the theory, we offer some case narratives to suggest the plausibility of the factors that we propose.","author":[{"dropping-particle":"","family":"Riccardi","given":"Michele","non-dropping-particle":"","parse-names":false,"suffix":""},{"dropping-particle":"","family":"Reuter","given":"Peter","non-dropping-particle":"","parse-names":false,"suffix":""}],"container-title":"European Journal on Criminal Policy and Research","id":"ITEM-1","issue":"3","issued":{"date-parts":[["2024"]]},"page":"333-358","title":"The Varieties of Money Laundering and the Determinants of Offender Choices","type":"article-journal","volume":"30"},"uris":["http://www.mendeley.com/documents/?uuid=4f6e6bf3-a798-4bae-bf90-29dcd81e6fc6"]}],"mendeley":{"formattedCitation":"(Riccardi &amp; Reuter, 2024)","plainTextFormattedCitation":"(Riccardi &amp; Reuter, 2024)","previouslyFormattedCitation":"(Riccardi &amp; Reuter, 2024)"},"properties":{"noteIndex":0},"schema":"https://github.com/citation-style-language/schema/raw/master/csl-citation.json"}</w:instrText>
      </w:r>
      <w:r w:rsidRPr="00BE257F">
        <w:rPr>
          <w:rFonts w:ascii="Arial Narrow" w:hAnsi="Arial Narrow" w:cs="Times New Roman"/>
          <w:sz w:val="24"/>
          <w:szCs w:val="24"/>
        </w:rPr>
        <w:fldChar w:fldCharType="separate"/>
      </w:r>
      <w:r w:rsidRPr="00BE257F">
        <w:rPr>
          <w:rFonts w:ascii="Arial Narrow" w:hAnsi="Arial Narrow" w:cs="Times New Roman"/>
          <w:noProof/>
          <w:sz w:val="24"/>
          <w:szCs w:val="24"/>
        </w:rPr>
        <w:t>(Riccardi &amp; Reuter, 2024)</w:t>
      </w:r>
      <w:r w:rsidRPr="00BE257F">
        <w:rPr>
          <w:rFonts w:ascii="Arial Narrow" w:hAnsi="Arial Narrow" w:cs="Times New Roman"/>
          <w:sz w:val="24"/>
          <w:szCs w:val="24"/>
        </w:rPr>
        <w:fldChar w:fldCharType="end"/>
      </w:r>
    </w:p>
    <w:p w:rsidR="00BE257F" w:rsidRPr="00BE257F" w:rsidRDefault="00BE257F" w:rsidP="00467B7C">
      <w:pPr>
        <w:spacing w:after="0"/>
        <w:ind w:firstLine="720"/>
        <w:jc w:val="both"/>
        <w:rPr>
          <w:rFonts w:ascii="Arial Narrow" w:hAnsi="Arial Narrow" w:cs="Times New Roman"/>
          <w:sz w:val="24"/>
          <w:szCs w:val="24"/>
        </w:rPr>
      </w:pPr>
      <w:r w:rsidRPr="00BE257F">
        <w:rPr>
          <w:rFonts w:ascii="Arial Narrow" w:hAnsi="Arial Narrow" w:cs="Times New Roman"/>
          <w:sz w:val="24"/>
          <w:szCs w:val="24"/>
        </w:rPr>
        <w:t xml:space="preserve">Implikasi terhadap perlindungan hak asasi manusia juga mencakup aspek proporsionalitas pemidanaan dan jaminan terhadap prinsip </w:t>
      </w:r>
      <w:r w:rsidRPr="00BE257F">
        <w:rPr>
          <w:rFonts w:ascii="Arial Narrow" w:hAnsi="Arial Narrow" w:cs="Times New Roman"/>
          <w:i/>
          <w:iCs/>
          <w:sz w:val="24"/>
          <w:szCs w:val="24"/>
        </w:rPr>
        <w:t>ne bis in idem</w:t>
      </w:r>
      <w:r w:rsidRPr="00BE257F">
        <w:rPr>
          <w:rFonts w:ascii="Arial Narrow" w:hAnsi="Arial Narrow" w:cs="Times New Roman"/>
          <w:sz w:val="24"/>
          <w:szCs w:val="24"/>
        </w:rPr>
        <w:t xml:space="preserve"> yang melarang pemidanaan ganda terhadap perbuatan yang sama. Dalam kasus-kasus dimana pelaku melakukan tindak pidana asal sekaligus melakukan pencucian terhadap hasil kejahatannya, timbul pertanyaan yuridis apakah pemidanaan terhadap kedua tindak pidana tersebut merupakan pemidanaan ganda yang dilarang ataukah merupakan gabungan tindak pidana (</w:t>
      </w:r>
      <w:r w:rsidRPr="00BE257F">
        <w:rPr>
          <w:rFonts w:ascii="Arial Narrow" w:hAnsi="Arial Narrow" w:cs="Times New Roman"/>
          <w:i/>
          <w:iCs/>
          <w:sz w:val="24"/>
          <w:szCs w:val="24"/>
        </w:rPr>
        <w:t>concursus</w:t>
      </w:r>
      <w:r w:rsidRPr="00BE257F">
        <w:rPr>
          <w:rFonts w:ascii="Arial Narrow" w:hAnsi="Arial Narrow" w:cs="Times New Roman"/>
          <w:sz w:val="24"/>
          <w:szCs w:val="24"/>
        </w:rPr>
        <w:t>) yang dapat dipidana secara terpisah. KUHP Tahun 2023 mengatur ketentuan tentang gabungan tindak pidana dalam Pasal 64 yang membedakan antara gabungan sejenis (</w:t>
      </w:r>
      <w:r w:rsidRPr="00BE257F">
        <w:rPr>
          <w:rFonts w:ascii="Arial Narrow" w:hAnsi="Arial Narrow" w:cs="Times New Roman"/>
          <w:i/>
          <w:iCs/>
          <w:sz w:val="24"/>
          <w:szCs w:val="24"/>
        </w:rPr>
        <w:t>concursus idealis</w:t>
      </w:r>
      <w:r w:rsidRPr="00BE257F">
        <w:rPr>
          <w:rFonts w:ascii="Arial Narrow" w:hAnsi="Arial Narrow" w:cs="Times New Roman"/>
          <w:sz w:val="24"/>
          <w:szCs w:val="24"/>
        </w:rPr>
        <w:t>) dan gabungan tidak sejenis (</w:t>
      </w:r>
      <w:r w:rsidRPr="00BE257F">
        <w:rPr>
          <w:rFonts w:ascii="Arial Narrow" w:hAnsi="Arial Narrow" w:cs="Times New Roman"/>
          <w:i/>
          <w:iCs/>
          <w:sz w:val="24"/>
          <w:szCs w:val="24"/>
        </w:rPr>
        <w:t>concursus realis</w:t>
      </w:r>
      <w:r w:rsidRPr="00BE257F">
        <w:rPr>
          <w:rFonts w:ascii="Arial Narrow" w:hAnsi="Arial Narrow" w:cs="Times New Roman"/>
          <w:sz w:val="24"/>
          <w:szCs w:val="24"/>
        </w:rPr>
        <w:t>), dimana dalam kasus pencucian uang yang dilakukan oleh pelaku tindak pidana asal dapat dikategorikan sebagai gabungan tidak sejenis yang memungkinkan penjatuhan pidana secara kumulatif. Namun demikian, penerapan ketentuan ini harus memperhatikan prinsip proporsionalitas dan keadilan, dimana pidana yang dijatuhkan harus sesuai dengan tingkat kesalahan dan bahaya yang ditimbulkan oleh pelaku, serta tidak boleh melampaui batas maksimum yang ditentukan dalam undang-undang.</w:t>
      </w:r>
      <w:r w:rsidRPr="00BE257F">
        <w:rPr>
          <w:rFonts w:ascii="Arial Narrow" w:hAnsi="Arial Narrow" w:cs="Times New Roman"/>
          <w:sz w:val="24"/>
          <w:szCs w:val="24"/>
        </w:rPr>
        <w:fldChar w:fldCharType="begin" w:fldLock="1"/>
      </w:r>
      <w:r w:rsidRPr="00BE257F">
        <w:rPr>
          <w:rFonts w:ascii="Arial Narrow" w:hAnsi="Arial Narrow" w:cs="Times New Roman"/>
          <w:sz w:val="24"/>
          <w:szCs w:val="24"/>
        </w:rPr>
        <w:instrText>ADDIN CSL_CITATION {"citationItems":[{"id":"ITEM-1","itemData":{"DOI":"10.5281/zenodo.4756086","ISSN":"09735089","abstract":"Article 44 paragraph (1) of the Criminal Code contains vague norms, because it does not regulate when a person cannot be clarified in criminal law. This has implications for injustice and uncertainty for someone being examined or a suspect who is mentally disturbed and so far, investigators have only with their discretion for the sake of humanity sent suspects to be treated in mental hospitals and wait until they are decided by the judge/court. The research aimed to analyze the provision of Article 44 paragraph (1) of the Criminal Code of Indonesia in determining in determining the mental condition of a person suspected of committing a crime based on ius constitutum as well as examining the reformulation of Article 44 paragraph (1) of the Penal Code of Indonesia in determining the mental condition of a person suspected of committing a crime based on the perspective of ius constituendum. This writing was normative legal research using statutory approach, analytical and conceptual approach. The study indicated that there needs on reformulation of the Article 44 paragraph (1) of the Criminal Code of Indonesia relating to the circumstances of the suspects with mental illness, for the sake of humanity to be given the authority given the authority to coordinate with the Public Prosecutor to request a brief trial of the Chief of the District Court therefore, rehabilitation is immediately determined or decided with proper treatment and all their needs are borne by the State during treatment until recovered.","author":[{"dropping-particle":"","family":"Suartha","given":"I. Dewa Made","non-dropping-particle":"","parse-names":false,"suffix":""},{"dropping-particle":"","family":"Martha","given":"I. Dewa Agung Gede Mahardika","non-dropping-particle":"","parse-names":false,"suffix":""},{"dropping-particle":"","family":"Hermanto","given":"Bagus","non-dropping-particle":"","parse-names":false,"suffix":""}],"container-title":"International Journal of Criminal Justice Sciences","id":"ITEM-1","issue":"1","issued":{"date-parts":[["2022"]]},"page":"1-21","title":"Between Mental Illness, Criminal Policy Reform, and Human Rights: Discourse on Reformulation of The Article 44 Indonesia Criminal Code","type":"article-journal","volume":"17"},"uris":["http://www.mendeley.com/documents/?uuid=12704d73-9eb6-4d2d-88d8-980237afbe71"]}],"mendeley":{"formattedCitation":"(Suartha et al., 2022)","plainTextFormattedCitation":"(Suartha et al., 2022)","previouslyFormattedCitation":"(Suartha et al., 2022)"},"properties":{"noteIndex":0},"schema":"https://github.com/citation-style-language/schema/raw/master/csl-citation.json"}</w:instrText>
      </w:r>
      <w:r w:rsidRPr="00BE257F">
        <w:rPr>
          <w:rFonts w:ascii="Arial Narrow" w:hAnsi="Arial Narrow" w:cs="Times New Roman"/>
          <w:sz w:val="24"/>
          <w:szCs w:val="24"/>
        </w:rPr>
        <w:fldChar w:fldCharType="separate"/>
      </w:r>
      <w:r w:rsidRPr="00BE257F">
        <w:rPr>
          <w:rFonts w:ascii="Arial Narrow" w:hAnsi="Arial Narrow" w:cs="Times New Roman"/>
          <w:noProof/>
          <w:sz w:val="24"/>
          <w:szCs w:val="24"/>
        </w:rPr>
        <w:t>(Suartha et al., 2022)</w:t>
      </w:r>
      <w:r w:rsidRPr="00BE257F">
        <w:rPr>
          <w:rFonts w:ascii="Arial Narrow" w:hAnsi="Arial Narrow" w:cs="Times New Roman"/>
          <w:sz w:val="24"/>
          <w:szCs w:val="24"/>
        </w:rPr>
        <w:fldChar w:fldCharType="end"/>
      </w:r>
      <w:r w:rsidRPr="00BE257F">
        <w:rPr>
          <w:rFonts w:ascii="Arial Narrow" w:hAnsi="Arial Narrow" w:cs="Times New Roman"/>
          <w:sz w:val="24"/>
          <w:szCs w:val="24"/>
        </w:rPr>
        <w:t xml:space="preserve"> Jaminan terhadap hak untuk mendapatkan peradilan yang adil (</w:t>
      </w:r>
      <w:r w:rsidRPr="00BE257F">
        <w:rPr>
          <w:rFonts w:ascii="Arial Narrow" w:hAnsi="Arial Narrow" w:cs="Times New Roman"/>
          <w:i/>
          <w:iCs/>
          <w:sz w:val="24"/>
          <w:szCs w:val="24"/>
        </w:rPr>
        <w:t>fair trial</w:t>
      </w:r>
      <w:r w:rsidRPr="00BE257F">
        <w:rPr>
          <w:rFonts w:ascii="Arial Narrow" w:hAnsi="Arial Narrow" w:cs="Times New Roman"/>
          <w:sz w:val="24"/>
          <w:szCs w:val="24"/>
        </w:rPr>
        <w:t>) juga menjadi implikasi penting dari reposisi pencucian uang, termasuk hak untuk didampingi penasihat hukum, hak untuk menghadirkan dan memeriksa saksi, hak untuk mendapatkan putusan yang beralasan (</w:t>
      </w:r>
      <w:r w:rsidRPr="00BE257F">
        <w:rPr>
          <w:rFonts w:ascii="Arial Narrow" w:hAnsi="Arial Narrow" w:cs="Times New Roman"/>
          <w:i/>
          <w:iCs/>
          <w:sz w:val="24"/>
          <w:szCs w:val="24"/>
        </w:rPr>
        <w:t>reasoned decision</w:t>
      </w:r>
      <w:r w:rsidRPr="00BE257F">
        <w:rPr>
          <w:rFonts w:ascii="Arial Narrow" w:hAnsi="Arial Narrow" w:cs="Times New Roman"/>
          <w:sz w:val="24"/>
          <w:szCs w:val="24"/>
        </w:rPr>
        <w:t>), serta hak untuk mengajukan upaya hukum terhadap putusan yang merugikan.</w:t>
      </w:r>
      <w:r w:rsidRPr="00BE257F">
        <w:rPr>
          <w:rFonts w:ascii="Arial Narrow" w:hAnsi="Arial Narrow" w:cs="Times New Roman"/>
          <w:sz w:val="24"/>
          <w:szCs w:val="24"/>
        </w:rPr>
        <w:fldChar w:fldCharType="begin" w:fldLock="1"/>
      </w:r>
      <w:r w:rsidRPr="00BE257F">
        <w:rPr>
          <w:rFonts w:ascii="Arial Narrow" w:hAnsi="Arial Narrow" w:cs="Times New Roman"/>
          <w:sz w:val="24"/>
          <w:szCs w:val="24"/>
        </w:rPr>
        <w:instrText>ADDIN CSL_CITATION {"citationItems":[{"id":"ITEM-1","itemData":{"DOI":"10.2478/CIRR-2021-0009","ISSN":"18485782","abstract":"The perpetrators of money laundering proceeds from narcotics crimes use banking facilities in carrying out their crime businesses so that banking products offered to the public can potentially be misused and used to benefit the narcotics criminals or to disguise and hide the proceeds of their crimes. The purpose of this study was to analyze the application of reverse evidence for perpetrators of money laundering crimes with drug related crimes in North Sumatra, Indonesia. With a qualitative research approach, the data was collected through interviews, observations, and literature studies, including the related laws. The informants in this study were the officials of the Directorate of Drug Investigation, Lawyers, Academics, Prosecutors, Investigators, Judges, and Members of the North Sumatra House of Representatives. The purposive sampling technique was used to identify the informants. This study raised an important issue of reverse evidence for the crime of money laundering based on the origin of narcotics, highlighting the drawbacks in the related laws. It was also found that the law enforcement process for narcotics criminals is adjusted to the rules contained in Law no. 35 of 2009 concerning Narcotics and Law no. 35 of 2010 on the Crime of Money Laundering in North Sumatra. The inverse burden of proof for perpetrators of money laundering crimes with narcotics originating crimes in North Sumatra is carried out in accordance with the rules contained in Articles 77 and 78 of the Money Laundering Law, where the defendant is given the authority to prove that his assets are not the proceeds of crime. The results of this study also found that there was an increase in the number of perpetrators of narcotics crimes and money laundering in North Sumatra during the last three years. A total of six (6) decisions on money laundering crimes were given in North Sumatra which had a permanent legal force. However, between 2018-2021, only two (2) cases of Money Laundering of narcotics predicate cases have been found but not yet signed nor any sentence given.","author":[{"dropping-particle":"","family":"Hartanto","given":"Dadang","non-dropping-particle":"","parse-names":false,"suffix":""},{"dropping-particle":"","family":"Hidayat","given":"Nasrullah","non-dropping-particle":"","parse-names":false,"suffix":""}],"container-title":"Croatian International Relations Review","id":"ITEM-1","issue":"88","issued":{"date-parts":[["2021"]]},"page":"14-33","title":"Application of Reverse Evidence for The Crime of Money Laundering Based on The Origin of Narcotics","type":"article-journal","volume":"27"},"uris":["http://www.mendeley.com/documents/?uuid=16048627-5ceb-4715-b2ac-c7b8d63dceae"]}],"mendeley":{"formattedCitation":"(Hartanto &amp; Hidayat, 2021)","plainTextFormattedCitation":"(Hartanto &amp; Hidayat, 2021)","previouslyFormattedCitation":"(Hartanto &amp; Hidayat, 2021)"},"properties":{"noteIndex":0},"schema":"https://github.com/citation-style-language/schema/raw/master/csl-citation.json"}</w:instrText>
      </w:r>
      <w:r w:rsidRPr="00BE257F">
        <w:rPr>
          <w:rFonts w:ascii="Arial Narrow" w:hAnsi="Arial Narrow" w:cs="Times New Roman"/>
          <w:sz w:val="24"/>
          <w:szCs w:val="24"/>
        </w:rPr>
        <w:fldChar w:fldCharType="separate"/>
      </w:r>
      <w:r w:rsidRPr="00BE257F">
        <w:rPr>
          <w:rFonts w:ascii="Arial Narrow" w:hAnsi="Arial Narrow" w:cs="Times New Roman"/>
          <w:noProof/>
          <w:sz w:val="24"/>
          <w:szCs w:val="24"/>
        </w:rPr>
        <w:t>(Hartanto &amp; Hidayat, 2021)</w:t>
      </w:r>
      <w:r w:rsidRPr="00BE257F">
        <w:rPr>
          <w:rFonts w:ascii="Arial Narrow" w:hAnsi="Arial Narrow" w:cs="Times New Roman"/>
          <w:sz w:val="24"/>
          <w:szCs w:val="24"/>
        </w:rPr>
        <w:fldChar w:fldCharType="end"/>
      </w:r>
    </w:p>
    <w:p w:rsidR="00BE257F" w:rsidRPr="00BE257F" w:rsidRDefault="00BE257F" w:rsidP="00467B7C">
      <w:pPr>
        <w:ind w:firstLine="720"/>
        <w:jc w:val="both"/>
        <w:rPr>
          <w:rFonts w:ascii="Arial Narrow" w:hAnsi="Arial Narrow" w:cs="Times New Roman"/>
          <w:sz w:val="24"/>
          <w:szCs w:val="24"/>
        </w:rPr>
      </w:pPr>
      <w:r w:rsidRPr="00BE257F">
        <w:rPr>
          <w:rFonts w:ascii="Arial Narrow" w:hAnsi="Arial Narrow" w:cs="Times New Roman"/>
          <w:sz w:val="24"/>
          <w:szCs w:val="24"/>
        </w:rPr>
        <w:t xml:space="preserve">Reposisi tindak pidana pencucian uang juga membawa implikasi terhadap koordinasi kelembagaan dalam sistem penegakan hukum, dimana berbagai lembaga seperti kepolisian, kejaksaan, Komisi Pemberantasan Korupsi (KPK), PPATK, Badan Narkotika Nasional (BNN), dan lembaga penegak hukum lainnya memiliki kewenangan yang bersinggungan dalam penanganan kasus pencucian uang. Ketiadaan mekanisme koordinasi yang efektif dapat menimbulkan tumpang tindih kewenangan, konflik horizontal antar lembaga, dan inefisiensi dalam penggunaan sumber </w:t>
      </w:r>
      <w:r w:rsidRPr="00BE257F">
        <w:rPr>
          <w:rFonts w:ascii="Arial Narrow" w:hAnsi="Arial Narrow" w:cs="Times New Roman"/>
          <w:sz w:val="24"/>
          <w:szCs w:val="24"/>
        </w:rPr>
        <w:lastRenderedPageBreak/>
        <w:t>daya penegakan hukum. Untuk mengatasi permasalahan ini, diperlukan pengaturan yang jelas tentang pembagian kewenangan dan mekanisme koordinasi antar lembaga, termasuk penetapan lembaga mana yang berwenang melakukan penyidikan terhadap kasus-kasus pencucian uang yang kompleks dan melibatkan berbagai yurisdiksi. Dalam konteks internasional, efektivitas penegakan hukum terhadap pencucian uang juga ditentukan oleh kemampuan Indonesia untuk melakukan kerjasama dengan negara-negara lain dalam pertukaran informasi, ekstradisi pelaku, dan perampasan aset yang berada di luar negeri.</w:t>
      </w:r>
      <w:r w:rsidRPr="00BE257F">
        <w:rPr>
          <w:rFonts w:ascii="Arial Narrow" w:hAnsi="Arial Narrow" w:cs="Times New Roman"/>
          <w:sz w:val="24"/>
          <w:szCs w:val="24"/>
        </w:rPr>
        <w:fldChar w:fldCharType="begin" w:fldLock="1"/>
      </w:r>
      <w:r w:rsidRPr="00BE257F">
        <w:rPr>
          <w:rFonts w:ascii="Arial Narrow" w:hAnsi="Arial Narrow" w:cs="Times New Roman"/>
          <w:sz w:val="24"/>
          <w:szCs w:val="24"/>
        </w:rPr>
        <w:instrText>ADDIN CSL_CITATION {"citationItems":[{"id":"ITEM-1","itemData":{"DOI":"10.1108/JMLC-09-2022-0136","ISSN":"17587808","abstract":"Purpose: This study aims to examine the role of Australian casinos in facilitating money laundering and Chinese capital flight. Design/methodology/approach: The reports and transcripts of evidence from government inquiries into money laundering in Australian casinos are integrated with analyses of Asian transnational crime. Findings: Money laundering in Australian casinos is linked to transnational crime and Chinese capital flight. A central finding is that junket operators play a key role in facilitating money laundering. The casinos are particularly exposed to criminal influences in the Chinese very important person gambling market, since they have used junket operators and underground banks, many of whom are closely linked to major Chinese criminal groups from Hong Kong and Macau. Research limitations/implications: Very little information is available on money laundering in Australian casinos and this research has relied on the government inquiries that have been conducted over the past two years on the subject. Practical implications: The author’s focus on money laundering in Australian casinos in the context of Asia-Pacific transnational crime is important for Federal and state government regulators grappling with the rapidly changing money laundering issues. The government inquiries recognised that the money laundering was related to transnational crime, but did not have the time and resources to explore the topic. The paper provides state government casino regulators and financial crime regulators with a broader international perspective to anticipate future money laundering and crime pressures facing Australia’s casinos. Social implications: Money laundering in Australian casinos has had devastating social implications on the community. My research helps to focus attention on the problems of transnational crime and money laundering. Originality/value: Little research has examined the linkages between casinos and transnational crime. This study has found that Australian casinos were used to launder the proceeds of illegal drug trafficking and to facilitate Chinese capital flight. While casinos have been forced by damming government inquiries to tighten anti-money laundering controls, it is likely that there will be pressure to relax these controls in the future because of competitive pressure from other casinos in the Asia-Pacific region.","author":[{"dropping-particle":"","family":"Langdale","given":"John","non-dropping-particle":"","parse-names":false,"suffix":""}],"container-title":"Journal of Money Laundering Control","id":"ITEM-1","issue":"7","issued":{"date-parts":[["2022"]]},"page":"99-109","title":"Money laundering in Australian casinos","type":"article-journal","volume":"26"},"uris":["http://www.mendeley.com/documents/?uuid=4edd05cb-5306-42df-a140-4b1c81b5ebd9"]}],"mendeley":{"formattedCitation":"(Langdale, 2022)","plainTextFormattedCitation":"(Langdale, 2022)","previouslyFormattedCitation":"(Langdale, 2022)"},"properties":{"noteIndex":0},"schema":"https://github.com/citation-style-language/schema/raw/master/csl-citation.json"}</w:instrText>
      </w:r>
      <w:r w:rsidRPr="00BE257F">
        <w:rPr>
          <w:rFonts w:ascii="Arial Narrow" w:hAnsi="Arial Narrow" w:cs="Times New Roman"/>
          <w:sz w:val="24"/>
          <w:szCs w:val="24"/>
        </w:rPr>
        <w:fldChar w:fldCharType="separate"/>
      </w:r>
      <w:r w:rsidRPr="00BE257F">
        <w:rPr>
          <w:rFonts w:ascii="Arial Narrow" w:hAnsi="Arial Narrow" w:cs="Times New Roman"/>
          <w:noProof/>
          <w:sz w:val="24"/>
          <w:szCs w:val="24"/>
        </w:rPr>
        <w:t>(Langdale, 2022)</w:t>
      </w:r>
      <w:r w:rsidRPr="00BE257F">
        <w:rPr>
          <w:rFonts w:ascii="Arial Narrow" w:hAnsi="Arial Narrow" w:cs="Times New Roman"/>
          <w:sz w:val="24"/>
          <w:szCs w:val="24"/>
        </w:rPr>
        <w:fldChar w:fldCharType="end"/>
      </w:r>
      <w:r w:rsidRPr="00BE257F">
        <w:rPr>
          <w:rFonts w:ascii="Arial Narrow" w:hAnsi="Arial Narrow" w:cs="Times New Roman"/>
          <w:sz w:val="24"/>
          <w:szCs w:val="24"/>
        </w:rPr>
        <w:t xml:space="preserve"> Ratifikasi berbagai konvensi internasional seperti United Nations Convention Against Transnational Organized Crime (Konvensi Palermo) dan United Nations Convention Against Corruption (Konvensi Anti Korupsi) telah memberikan dasar hukum bagi kerjasama internasional tersebut, namun implementasinya memerlukan harmonisasi dengan ketentuan hukum nasional termasuk dengan KUHP Tahun 2023.</w:t>
      </w:r>
      <w:r w:rsidRPr="00BE257F">
        <w:rPr>
          <w:rFonts w:ascii="Arial Narrow" w:hAnsi="Arial Narrow" w:cs="Times New Roman"/>
          <w:sz w:val="24"/>
          <w:szCs w:val="24"/>
        </w:rPr>
        <w:fldChar w:fldCharType="begin" w:fldLock="1"/>
      </w:r>
      <w:r w:rsidRPr="00BE257F">
        <w:rPr>
          <w:rFonts w:ascii="Arial Narrow" w:hAnsi="Arial Narrow" w:cs="Times New Roman"/>
          <w:sz w:val="24"/>
          <w:szCs w:val="24"/>
        </w:rPr>
        <w:instrText>ADDIN CSL_CITATION {"citationItems":[{"id":"ITEM-1","itemData":{"DOI":"10.1108/JMLC-05-2020-0045","ISSN":"17587808","abstract":"Purpose: This paper aims to focus on the concept of money laundering and explores the evolution and expansion of criminalization of predicate offences to the money laundering within the international anti-money laundering (AML) regime over the time. It proposes how to limit the size and scope of predicate offences in designing a balanced legal definition. Design/methodology/approach: This paper opted a content analysis focussed on the criminalization aspect of offences to money laundering in the international AML regime under the United Nations Conventions (Vienna, Palermo and Corruption Convention) and Financial Action Task Force Standards. Findings: This paper provides how the criminalization of money laundering has evolved and its definition expanded over the time. The international definition is widely drafted with wide range of predicate offences from proceeds of drug money to corruption, including terrorist financing and terrorist acts; however, the two phenomena – money laundering and terrorist financing are quiet distinct apart. This continual expansion of predicate offences quite leads legality issues such as over-criminalization and conflict with principles of criminal law. This paper suggests an approach to limit the size and scope of predicate offences to money laundering. Practical implications: This paper includes implications for the development of a balanced approach in defining predicate offences through a qualitative limitation approach consistent with the minimalist theory of penalization of criminal law. Originality/value: This paper attains an identified issue how the legal definition of the money laundering offence can be improved while considering rule of law and principles of criminal law concerns.","author":[{"dropping-particle":"","family":"Korejo","given":"Muhammad Saleem","non-dropping-particle":"","parse-names":false,"suffix":""},{"dropping-particle":"","family":"Rajamanickam","given":"Ramalinggam","non-dropping-particle":"","parse-names":false,"suffix":""},{"dropping-particle":"","family":"Muhamad","given":"Muhamad Helmi","non-dropping-particle":"","parse-names":false,"suffix":""}],"container-title":"Journal of Money Laundering Control","id":"ITEM-1","issue":"4","issued":{"date-parts":[["2021"]]},"page":"725-736","title":"The concept of money laundering: a quest for legal definition","type":"article-journal","volume":"24"},"uris":["http://www.mendeley.com/documents/?uuid=99a9154a-4797-46e3-8c62-9a7794390cd7"]}],"mendeley":{"formattedCitation":"(Korejo et al., 2021)","plainTextFormattedCitation":"(Korejo et al., 2021)","previouslyFormattedCitation":"(Korejo et al., 2021)"},"properties":{"noteIndex":0},"schema":"https://github.com/citation-style-language/schema/raw/master/csl-citation.json"}</w:instrText>
      </w:r>
      <w:r w:rsidRPr="00BE257F">
        <w:rPr>
          <w:rFonts w:ascii="Arial Narrow" w:hAnsi="Arial Narrow" w:cs="Times New Roman"/>
          <w:sz w:val="24"/>
          <w:szCs w:val="24"/>
        </w:rPr>
        <w:fldChar w:fldCharType="separate"/>
      </w:r>
      <w:r w:rsidRPr="00BE257F">
        <w:rPr>
          <w:rFonts w:ascii="Arial Narrow" w:hAnsi="Arial Narrow" w:cs="Times New Roman"/>
          <w:noProof/>
          <w:sz w:val="24"/>
          <w:szCs w:val="24"/>
        </w:rPr>
        <w:t>(Korejo et al., 2021)</w:t>
      </w:r>
      <w:r w:rsidRPr="00BE257F">
        <w:rPr>
          <w:rFonts w:ascii="Arial Narrow" w:hAnsi="Arial Narrow" w:cs="Times New Roman"/>
          <w:sz w:val="24"/>
          <w:szCs w:val="24"/>
        </w:rPr>
        <w:fldChar w:fldCharType="end"/>
      </w:r>
      <w:r w:rsidRPr="00BE257F">
        <w:rPr>
          <w:rFonts w:ascii="Arial Narrow" w:hAnsi="Arial Narrow" w:cs="Times New Roman"/>
          <w:sz w:val="24"/>
          <w:szCs w:val="24"/>
        </w:rPr>
        <w:t xml:space="preserve"> Dari perspektif perlindungan korban, reposisi pencucian uang juga membawa implikasi terhadap mekanisme kompensasi dan restitusi bagi korban kejahatan asal yang mengalami kerugian akibat tindak pidana yang menghasilkan dana yang kemudian dicuci, dimana hasil perampasan aset pencucian uang seharusnya dapat digunakan untuk memberikan kompensasi kepada korban sebagai bentuk pemulihan keadilan (</w:t>
      </w:r>
      <w:r w:rsidRPr="00BE257F">
        <w:rPr>
          <w:rFonts w:ascii="Arial Narrow" w:hAnsi="Arial Narrow" w:cs="Times New Roman"/>
          <w:i/>
          <w:iCs/>
          <w:sz w:val="24"/>
          <w:szCs w:val="24"/>
        </w:rPr>
        <w:t>restorative justice</w:t>
      </w:r>
      <w:r w:rsidRPr="00BE257F">
        <w:rPr>
          <w:rFonts w:ascii="Arial Narrow" w:hAnsi="Arial Narrow" w:cs="Times New Roman"/>
          <w:sz w:val="24"/>
          <w:szCs w:val="24"/>
        </w:rPr>
        <w:t>).</w:t>
      </w:r>
      <w:r w:rsidRPr="00BE257F">
        <w:rPr>
          <w:rFonts w:ascii="Arial Narrow" w:hAnsi="Arial Narrow" w:cs="Times New Roman"/>
          <w:sz w:val="24"/>
          <w:szCs w:val="24"/>
        </w:rPr>
        <w:fldChar w:fldCharType="begin" w:fldLock="1"/>
      </w:r>
      <w:r w:rsidRPr="00BE257F">
        <w:rPr>
          <w:rFonts w:ascii="Arial Narrow" w:hAnsi="Arial Narrow" w:cs="Times New Roman"/>
          <w:sz w:val="24"/>
          <w:szCs w:val="24"/>
        </w:rPr>
        <w:instrText>ADDIN CSL_CITATION {"citationItems":[{"id":"ITEM-1","itemData":{"DOI":"10.1140/epjds/s13688-022-00328-8","ISSN":"21931127","abstract":"Aim: There is a growing literature analyzing money laundering and the policies to fight it, but the overall effectiveness of anti-money laundering policies is still unclear. This paper investigates whether anti-money laundering policies affect the behavior of money launderers and their networks. Method: With an algorithm to match clusters over time, we build a unique dataset of multi-mode, undirected, binary, dynamic networks of natural and legal persons. The data includes ownership and employment relations and associated financial ties and is enriched with criminal records and police-related activities. The networks of money launderers, other criminals, and non-criminal individuals are analyzed and compared with temporal social network analysis techniques and panel data regressions on centrality measures, transitivity and assortativity indicators, and levels of constraint. Findings: We find that after the announcement of the fourth EU anti-money laundering directive in 2015, money laundering networks show a significant increase in the use of foreigners and corporate structures. At the individual level, money launderers become more dominant in criminal clusters (increased closeness centrality). This paper shows that (the announcement of) anti-money laundering policies can affect criminal networks and how such effects can be tested.","author":[{"dropping-particle":"","family":"Gerbrands","given":"Peter","non-dropping-particle":"","parse-names":false,"suffix":""},{"dropping-particle":"","family":"Unger","given":"Brigitte","non-dropping-particle":"","parse-names":false,"suffix":""},{"dropping-particle":"","family":"Getzner","given":"Michael","non-dropping-particle":"","parse-names":false,"suffix":""},{"dropping-particle":"","family":"Ferwerda","given":"Joras","non-dropping-particle":"","parse-names":false,"suffix":""}],"container-title":"EPJ Data Science","id":"ITEM-1","issue":"1","issued":{"date-parts":[["2022"]]},"publisher":"The Author(s)","title":"The effect of anti-money laundering policies: an empirical network analysis","type":"article-journal","volume":"11"},"uris":["http://www.mendeley.com/documents/?uuid=2ce43e55-462b-45d7-b230-7e138d93ac96"]}],"mendeley":{"formattedCitation":"(Gerbrands et al., 2022)","plainTextFormattedCitation":"(Gerbrands et al., 2022)","previouslyFormattedCitation":"(Gerbrands et al., 2022)"},"properties":{"noteIndex":0},"schema":"https://github.com/citation-style-language/schema/raw/master/csl-citation.json"}</w:instrText>
      </w:r>
      <w:r w:rsidRPr="00BE257F">
        <w:rPr>
          <w:rFonts w:ascii="Arial Narrow" w:hAnsi="Arial Narrow" w:cs="Times New Roman"/>
          <w:sz w:val="24"/>
          <w:szCs w:val="24"/>
        </w:rPr>
        <w:fldChar w:fldCharType="separate"/>
      </w:r>
      <w:r w:rsidRPr="00BE257F">
        <w:rPr>
          <w:rFonts w:ascii="Arial Narrow" w:hAnsi="Arial Narrow" w:cs="Times New Roman"/>
          <w:noProof/>
          <w:sz w:val="24"/>
          <w:szCs w:val="24"/>
        </w:rPr>
        <w:t>(Gerbrands et al., 2022)</w:t>
      </w:r>
      <w:r w:rsidRPr="00BE257F">
        <w:rPr>
          <w:rFonts w:ascii="Arial Narrow" w:hAnsi="Arial Narrow" w:cs="Times New Roman"/>
          <w:sz w:val="24"/>
          <w:szCs w:val="24"/>
        </w:rPr>
        <w:fldChar w:fldCharType="end"/>
      </w:r>
    </w:p>
    <w:p w:rsidR="00BE257F" w:rsidRPr="00BE257F" w:rsidRDefault="00BE257F" w:rsidP="00BE257F">
      <w:pPr>
        <w:pStyle w:val="ListParagraph"/>
        <w:numPr>
          <w:ilvl w:val="0"/>
          <w:numId w:val="21"/>
        </w:numPr>
        <w:pBdr>
          <w:top w:val="nil"/>
          <w:left w:val="nil"/>
          <w:bottom w:val="nil"/>
          <w:right w:val="nil"/>
          <w:between w:val="nil"/>
        </w:pBdr>
        <w:tabs>
          <w:tab w:val="center" w:pos="4680"/>
          <w:tab w:val="right" w:pos="9360"/>
        </w:tabs>
        <w:spacing w:before="120" w:after="0" w:line="240" w:lineRule="auto"/>
        <w:ind w:left="426"/>
        <w:jc w:val="both"/>
        <w:rPr>
          <w:rFonts w:ascii="Arial Narrow" w:eastAsia="Book Antiqua" w:hAnsi="Arial Narrow" w:cs="Book Antiqua"/>
          <w:b/>
          <w:color w:val="000000"/>
          <w:sz w:val="24"/>
          <w:szCs w:val="24"/>
        </w:rPr>
      </w:pPr>
      <w:r w:rsidRPr="00BE257F">
        <w:rPr>
          <w:rFonts w:ascii="Arial Narrow" w:hAnsi="Arial Narrow" w:cs="Times New Roman"/>
          <w:b/>
          <w:bCs/>
          <w:sz w:val="24"/>
          <w:szCs w:val="24"/>
        </w:rPr>
        <w:t>Harmonisasi Pengaturan Tindak Pidana Pencucian Uang dalam Undang-Undang Nomor 1 Tahun 2023 dengan Standar Internasional Pencegahan dan Pemberantasan Pencucian Uang</w:t>
      </w:r>
    </w:p>
    <w:p w:rsidR="00467B7C" w:rsidRDefault="00BE257F" w:rsidP="00467B7C">
      <w:pPr>
        <w:spacing w:after="0"/>
        <w:ind w:firstLine="360"/>
        <w:jc w:val="both"/>
        <w:rPr>
          <w:rFonts w:ascii="Arial Narrow" w:hAnsi="Arial Narrow" w:cs="Times New Roman"/>
          <w:sz w:val="24"/>
          <w:szCs w:val="24"/>
        </w:rPr>
      </w:pPr>
      <w:r w:rsidRPr="00BE257F">
        <w:rPr>
          <w:rFonts w:ascii="Arial Narrow" w:hAnsi="Arial Narrow" w:cs="Times New Roman"/>
          <w:sz w:val="24"/>
          <w:szCs w:val="24"/>
        </w:rPr>
        <w:t xml:space="preserve">Harmonisasi pengaturan tindak pidana pencucian uang dalam sistem hukum nasional dengan standar internasional merupakan keniscayaan mengingat karakteristik kejahatan ini yang bersifat transnasional dan melintasi berbagai yurisdiksi. Kerangka normatif internasional dalam pencegahan dan pemberantasan pencucian uang terutama didasarkan pada rekomendasi yang dikeluarkan oleh </w:t>
      </w:r>
      <w:r w:rsidRPr="00BE257F">
        <w:rPr>
          <w:rFonts w:ascii="Arial Narrow" w:hAnsi="Arial Narrow" w:cs="Times New Roman"/>
          <w:i/>
          <w:iCs/>
          <w:sz w:val="24"/>
          <w:szCs w:val="24"/>
        </w:rPr>
        <w:t>Financial Action Task Force</w:t>
      </w:r>
      <w:r w:rsidRPr="00BE257F">
        <w:rPr>
          <w:rFonts w:ascii="Arial Narrow" w:hAnsi="Arial Narrow" w:cs="Times New Roman"/>
          <w:sz w:val="24"/>
          <w:szCs w:val="24"/>
        </w:rPr>
        <w:t xml:space="preserve"> (FATF), yang merupakan badan antar-pemerintah yang dibentuk untuk mengembangkan dan mempromosikan kebijakan pemberantasan pencucian uang dan pendanaan terorisme. FATF mengeluarkan empat puluh rekomendasi (</w:t>
      </w:r>
      <w:r w:rsidRPr="00BE257F">
        <w:rPr>
          <w:rFonts w:ascii="Arial Narrow" w:hAnsi="Arial Narrow" w:cs="Times New Roman"/>
          <w:i/>
          <w:iCs/>
          <w:sz w:val="24"/>
          <w:szCs w:val="24"/>
        </w:rPr>
        <w:t>Forty Recommendations</w:t>
      </w:r>
      <w:r w:rsidRPr="00BE257F">
        <w:rPr>
          <w:rFonts w:ascii="Arial Narrow" w:hAnsi="Arial Narrow" w:cs="Times New Roman"/>
          <w:sz w:val="24"/>
          <w:szCs w:val="24"/>
        </w:rPr>
        <w:t>) yang menjadi standar global dalam rezim anti pencucian uang, mencakup aspek kriminalisasi, tindakan pencegahan oleh lembaga keuangan, kewenangan dan tanggung jawab otoritas yang kompeten, transparansi dan kepemilikan manfaat (</w:t>
      </w:r>
      <w:r w:rsidRPr="00BE257F">
        <w:rPr>
          <w:rFonts w:ascii="Arial Narrow" w:hAnsi="Arial Narrow" w:cs="Times New Roman"/>
          <w:i/>
          <w:iCs/>
          <w:sz w:val="24"/>
          <w:szCs w:val="24"/>
        </w:rPr>
        <w:t>beneficial ownership</w:t>
      </w:r>
      <w:r w:rsidRPr="00BE257F">
        <w:rPr>
          <w:rFonts w:ascii="Arial Narrow" w:hAnsi="Arial Narrow" w:cs="Times New Roman"/>
          <w:sz w:val="24"/>
          <w:szCs w:val="24"/>
        </w:rPr>
        <w:t>), serta kerjasama internasional. Indonesia sebagai anggota FATF dan Asia Pacific Group on Money Laundering (APG) memiliki komitmen untuk mengimplementasikan rekomendasi tersebut dalam sistem hukum nasional, yang mensyaratkan adanya penyesuaian regulasi domestik agar sejalan dengan standar internasional.</w:t>
      </w:r>
      <w:r w:rsidRPr="00BE257F">
        <w:rPr>
          <w:rFonts w:ascii="Arial Narrow" w:hAnsi="Arial Narrow" w:cs="Times New Roman"/>
          <w:sz w:val="24"/>
          <w:szCs w:val="24"/>
        </w:rPr>
        <w:fldChar w:fldCharType="begin" w:fldLock="1"/>
      </w:r>
      <w:r w:rsidRPr="00BE257F">
        <w:rPr>
          <w:rFonts w:ascii="Arial Narrow" w:hAnsi="Arial Narrow" w:cs="Times New Roman"/>
          <w:sz w:val="24"/>
          <w:szCs w:val="24"/>
        </w:rPr>
        <w:instrText>ADDIN CSL_CITATION {"citationItems":[{"id":"ITEM-1","itemData":{"DOI":"10.1108/JMLC-05-2020-0045","ISSN":"17587808","abstract":"Purpose: This paper aims to focus on the concept of money laundering and explores the evolution and expansion of criminalization of predicate offences to the money laundering within the international anti-money laundering (AML) regime over the time. It proposes how to limit the size and scope of predicate offences in designing a balanced legal definition. Design/methodology/approach: This paper opted a content analysis focussed on the criminalization aspect of offences to money laundering in the international AML regime under the United Nations Conventions (Vienna, Palermo and Corruption Convention) and Financial Action Task Force Standards. Findings: This paper provides how the criminalization of money laundering has evolved and its definition expanded over the time. The international definition is widely drafted with wide range of predicate offences from proceeds of drug money to corruption, including terrorist financing and terrorist acts; however, the two phenomena – money laundering and terrorist financing are quiet distinct apart. This continual expansion of predicate offences quite leads legality issues such as over-criminalization and conflict with principles of criminal law. This paper suggests an approach to limit the size and scope of predicate offences to money laundering. Practical implications: This paper includes implications for the development of a balanced approach in defining predicate offences through a qualitative limitation approach consistent with the minimalist theory of penalization of criminal law. Originality/value: This paper attains an identified issue how the legal definition of the money laundering offence can be improved while considering rule of law and principles of criminal law concerns.","author":[{"dropping-particle":"","family":"Korejo","given":"Muhammad Saleem","non-dropping-particle":"","parse-names":false,"suffix":""},{"dropping-particle":"","family":"Rajamanickam","given":"Ramalinggam","non-dropping-particle":"","parse-names":false,"suffix":""},{"dropping-particle":"","family":"Muhamad","given":"Muhamad Helmi","non-dropping-particle":"","parse-names":false,"suffix":""}],"container-title":"Journal of Money Laundering Control","id":"ITEM-1","issue":"4","issued":{"date-parts":[["2021"]]},"page":"725-736","title":"The concept of money laundering: a quest for legal definition","type":"article-journal","volume":"24"},"uris":["http://www.mendeley.com/documents/?uuid=99a9154a-4797-46e3-8c62-9a7794390cd7"]}],"mendeley":{"formattedCitation":"(Korejo et al., 2021)","plainTextFormattedCitation":"(Korejo et al., 2021)","previouslyFormattedCitation":"(Korejo et al., 2021)"},"properties":{"noteIndex":0},"schema":"https://github.com/citation-style-language/schema/raw/master/csl-citation.json"}</w:instrText>
      </w:r>
      <w:r w:rsidRPr="00BE257F">
        <w:rPr>
          <w:rFonts w:ascii="Arial Narrow" w:hAnsi="Arial Narrow" w:cs="Times New Roman"/>
          <w:sz w:val="24"/>
          <w:szCs w:val="24"/>
        </w:rPr>
        <w:fldChar w:fldCharType="separate"/>
      </w:r>
      <w:r w:rsidRPr="00BE257F">
        <w:rPr>
          <w:rFonts w:ascii="Arial Narrow" w:hAnsi="Arial Narrow" w:cs="Times New Roman"/>
          <w:noProof/>
          <w:sz w:val="24"/>
          <w:szCs w:val="24"/>
        </w:rPr>
        <w:t>(Korejo et al., 2021)</w:t>
      </w:r>
      <w:r w:rsidRPr="00BE257F">
        <w:rPr>
          <w:rFonts w:ascii="Arial Narrow" w:hAnsi="Arial Narrow" w:cs="Times New Roman"/>
          <w:sz w:val="24"/>
          <w:szCs w:val="24"/>
        </w:rPr>
        <w:fldChar w:fldCharType="end"/>
      </w:r>
      <w:r w:rsidRPr="00BE257F">
        <w:rPr>
          <w:rFonts w:ascii="Arial Narrow" w:hAnsi="Arial Narrow" w:cs="Times New Roman"/>
          <w:sz w:val="24"/>
          <w:szCs w:val="24"/>
        </w:rPr>
        <w:t xml:space="preserve"> Dalam konteks KUHP Tahun 2023, harmonisasi dengan standar FATF dapat dilihat dari beberapa aspek fundamental, termasuk ruang lingkup kriminalisasi pencucian uang, pengaturan tentang kejahatan asal (</w:t>
      </w:r>
      <w:r w:rsidRPr="00BE257F">
        <w:rPr>
          <w:rFonts w:ascii="Arial Narrow" w:hAnsi="Arial Narrow" w:cs="Times New Roman"/>
          <w:i/>
          <w:iCs/>
          <w:sz w:val="24"/>
          <w:szCs w:val="24"/>
        </w:rPr>
        <w:t>predicate offenses</w:t>
      </w:r>
      <w:r w:rsidRPr="00BE257F">
        <w:rPr>
          <w:rFonts w:ascii="Arial Narrow" w:hAnsi="Arial Narrow" w:cs="Times New Roman"/>
          <w:sz w:val="24"/>
          <w:szCs w:val="24"/>
        </w:rPr>
        <w:t>), mekanisme identifikasi dan verifikasi pelanggan (</w:t>
      </w:r>
      <w:r w:rsidRPr="00BE257F">
        <w:rPr>
          <w:rFonts w:ascii="Arial Narrow" w:hAnsi="Arial Narrow" w:cs="Times New Roman"/>
          <w:i/>
          <w:iCs/>
          <w:sz w:val="24"/>
          <w:szCs w:val="24"/>
        </w:rPr>
        <w:t>customer due diligence</w:t>
      </w:r>
      <w:r w:rsidRPr="00BE257F">
        <w:rPr>
          <w:rFonts w:ascii="Arial Narrow" w:hAnsi="Arial Narrow" w:cs="Times New Roman"/>
          <w:sz w:val="24"/>
          <w:szCs w:val="24"/>
        </w:rPr>
        <w:t>), serta sistem pelaporan transaksi keuangan mencurigakan (</w:t>
      </w:r>
      <w:r w:rsidRPr="00BE257F">
        <w:rPr>
          <w:rFonts w:ascii="Arial Narrow" w:hAnsi="Arial Narrow" w:cs="Times New Roman"/>
          <w:i/>
          <w:iCs/>
          <w:sz w:val="24"/>
          <w:szCs w:val="24"/>
        </w:rPr>
        <w:t>suspicious transaction reporting</w:t>
      </w:r>
      <w:r w:rsidRPr="00BE257F">
        <w:rPr>
          <w:rFonts w:ascii="Arial Narrow" w:hAnsi="Arial Narrow" w:cs="Times New Roman"/>
          <w:sz w:val="24"/>
          <w:szCs w:val="24"/>
        </w:rPr>
        <w:t>).</w:t>
      </w:r>
      <w:r w:rsidRPr="00BE257F">
        <w:rPr>
          <w:rFonts w:ascii="Arial Narrow" w:hAnsi="Arial Narrow" w:cs="Times New Roman"/>
          <w:sz w:val="24"/>
          <w:szCs w:val="24"/>
        </w:rPr>
        <w:fldChar w:fldCharType="begin" w:fldLock="1"/>
      </w:r>
      <w:r w:rsidRPr="00BE257F">
        <w:rPr>
          <w:rFonts w:ascii="Arial Narrow" w:hAnsi="Arial Narrow" w:cs="Times New Roman"/>
          <w:sz w:val="24"/>
          <w:szCs w:val="24"/>
        </w:rPr>
        <w:instrText>ADDIN CSL_CITATION {"citationItems":[{"id":"ITEM-1","itemData":{"DOI":"10.1108/JMLC-05-2022-0068","ISSN":"17587808","abstract":"Purpose: With sanctions becoming an increasingly important tool in ostracising autocratic regimes from western markets, the need for effective enforcement of sanctions and anti-money laundering (AML) is increasing, and the global AML regime will be the backbone to detecting evasion of sanctions. This regime, however, has been widely criticised as ineffective. This paper aims to discuss issues with the current sanctions/AML regime and propose a reward scheme for whistleblowers to enable asset seizures that is not reliant on its effectiveness. Design/methodology/approach: This paper reviews weaknesses in the global AML regime, provide suggestions on how to design whistleblower reward programmes, based on agency experience and empirical evidence, as well as elaborate on how to use such programmes in the AML context. Findings: This study concludes that for reward programmes to be effective in the context of AML and sanctions enforcement, they need to include witness protection and leniency for money launderers, though not for those convicted of a criminal offence associated with the predicate crime. Moreover, rewards should be mandatory and scale with the amount of money seized or confiscated, and the cap on monetary rewards should be higher than it is under the Kleptocracy Asset Recovery Rewards Programme in the USA. Originality/value: In contrast to how the USA went about implementing rewards in this area under the Kleptocracy Asset Recovery Rewards Programme, this study argues that these programmes should be designed differently. This study also provides novel advice to governments on different design dimensions in the AML context and a model with three crucial pillars along with other design dimensions that should be considered.","author":[{"dropping-particle":"","family":"Nyreröd","given":"Theo","non-dropping-particle":"","parse-names":false,"suffix":""},{"dropping-particle":"","family":"Andreadakis","given":"Stelios","non-dropping-particle":"","parse-names":false,"suffix":""},{"dropping-particle":"","family":"Spagnolo","given":"Giancarlo","non-dropping-particle":"","parse-names":false,"suffix":""}],"container-title":"Journal of Money Laundering Control","id":"ITEM-1","issue":"5","issued":{"date-parts":[["2023"]]},"page":"912-925","title":"Money laundering and sanctions enforcement: large rewards, leniency and witness protection for whistleblowers","type":"article-journal","volume":"26"},"uris":["http://www.mendeley.com/documents/?uuid=7b8035ad-74eb-4e5c-9a92-1bce5bfe933c"]}],"mendeley":{"formattedCitation":"(Nyreröd et al., 2023)","plainTextFormattedCitation":"(Nyreröd et al., 2023)","previouslyFormattedCitation":"(Nyreröd et al., 2023)"},"properties":{"noteIndex":0},"schema":"https://github.com/citation-style-language/schema/raw/master/csl-citation.json"}</w:instrText>
      </w:r>
      <w:r w:rsidRPr="00BE257F">
        <w:rPr>
          <w:rFonts w:ascii="Arial Narrow" w:hAnsi="Arial Narrow" w:cs="Times New Roman"/>
          <w:sz w:val="24"/>
          <w:szCs w:val="24"/>
        </w:rPr>
        <w:fldChar w:fldCharType="separate"/>
      </w:r>
      <w:r w:rsidRPr="00BE257F">
        <w:rPr>
          <w:rFonts w:ascii="Arial Narrow" w:hAnsi="Arial Narrow" w:cs="Times New Roman"/>
          <w:noProof/>
          <w:sz w:val="24"/>
          <w:szCs w:val="24"/>
        </w:rPr>
        <w:t>(Nyreröd et al., 2023)</w:t>
      </w:r>
      <w:r w:rsidRPr="00BE257F">
        <w:rPr>
          <w:rFonts w:ascii="Arial Narrow" w:hAnsi="Arial Narrow" w:cs="Times New Roman"/>
          <w:sz w:val="24"/>
          <w:szCs w:val="24"/>
        </w:rPr>
        <w:fldChar w:fldCharType="end"/>
      </w:r>
    </w:p>
    <w:p w:rsidR="00BE257F" w:rsidRDefault="00BE257F" w:rsidP="00467B7C">
      <w:pPr>
        <w:spacing w:after="0"/>
        <w:ind w:firstLine="360"/>
        <w:jc w:val="both"/>
        <w:rPr>
          <w:rFonts w:ascii="Arial Narrow" w:hAnsi="Arial Narrow" w:cs="Times New Roman"/>
          <w:sz w:val="24"/>
          <w:szCs w:val="24"/>
        </w:rPr>
      </w:pPr>
      <w:r w:rsidRPr="00BE257F">
        <w:rPr>
          <w:rFonts w:ascii="Arial Narrow" w:hAnsi="Arial Narrow" w:cs="Times New Roman"/>
          <w:sz w:val="24"/>
          <w:szCs w:val="24"/>
        </w:rPr>
        <w:t>Aspek pertama dari harmonisasi adalah terkait dengan ruang lingkup kriminalisasi pencucian uang, dimana Rekomendasi 3 FATF mensyaratkan bahwa negara-negara harus mengkriminalisasi pencucian uang berdasarkan Konvensi Wina tahun 1988 dan Konvensi Palermo tahun 2000. Kriminalisasi harus mencakup semua perbuatan serius (</w:t>
      </w:r>
      <w:r w:rsidRPr="00BE257F">
        <w:rPr>
          <w:rFonts w:ascii="Arial Narrow" w:hAnsi="Arial Narrow" w:cs="Times New Roman"/>
          <w:i/>
          <w:iCs/>
          <w:sz w:val="24"/>
          <w:szCs w:val="24"/>
        </w:rPr>
        <w:t>serious offenses</w:t>
      </w:r>
      <w:r w:rsidRPr="00BE257F">
        <w:rPr>
          <w:rFonts w:ascii="Arial Narrow" w:hAnsi="Arial Narrow" w:cs="Times New Roman"/>
          <w:sz w:val="24"/>
          <w:szCs w:val="24"/>
        </w:rPr>
        <w:t>) yang menghasilkan hasil kejahatan, dengan pendekatan yang dapat menggunakan metode daftar kejahatan (</w:t>
      </w:r>
      <w:r w:rsidRPr="00BE257F">
        <w:rPr>
          <w:rFonts w:ascii="Arial Narrow" w:hAnsi="Arial Narrow" w:cs="Times New Roman"/>
          <w:i/>
          <w:iCs/>
          <w:sz w:val="24"/>
          <w:szCs w:val="24"/>
        </w:rPr>
        <w:t>list approach</w:t>
      </w:r>
      <w:r w:rsidRPr="00BE257F">
        <w:rPr>
          <w:rFonts w:ascii="Arial Narrow" w:hAnsi="Arial Narrow" w:cs="Times New Roman"/>
          <w:sz w:val="24"/>
          <w:szCs w:val="24"/>
        </w:rPr>
        <w:t xml:space="preserve">), </w:t>
      </w:r>
      <w:r w:rsidRPr="00BE257F">
        <w:rPr>
          <w:rFonts w:ascii="Arial Narrow" w:hAnsi="Arial Narrow" w:cs="Times New Roman"/>
          <w:sz w:val="24"/>
          <w:szCs w:val="24"/>
        </w:rPr>
        <w:lastRenderedPageBreak/>
        <w:t>metode ambang batas (</w:t>
      </w:r>
      <w:r w:rsidRPr="00BE257F">
        <w:rPr>
          <w:rFonts w:ascii="Arial Narrow" w:hAnsi="Arial Narrow" w:cs="Times New Roman"/>
          <w:i/>
          <w:iCs/>
          <w:sz w:val="24"/>
          <w:szCs w:val="24"/>
        </w:rPr>
        <w:t>threshold approach</w:t>
      </w:r>
      <w:r w:rsidRPr="00BE257F">
        <w:rPr>
          <w:rFonts w:ascii="Arial Narrow" w:hAnsi="Arial Narrow" w:cs="Times New Roman"/>
          <w:sz w:val="24"/>
          <w:szCs w:val="24"/>
        </w:rPr>
        <w:t>) berdasarkan kategori kejahatan serius yang diancam dengan pidana tertentu, atau kombinasi keduanya. KUHP Tahun 2023 mengadopsi pendekatan yang fleksibel dengan tidak membatasi secara limitatif jenis kejahatan asal, namun menggunakan kriteria umum bahwa harta kekayaan tersebut berasal dari hasil tindak pidana, yang sejalan dengan pendekatan ambang batas dalam rekomendasi FATF. Namun demikian, Undang-Undang Nomor 8 Tahun 2010 yang masih berlaku menggunakan pendekatan kombinasi dengan merinci jenis-jenis kejahatan tertentu ditambah dengan kriteria tindak pidana yang diancam dengan pidana penjara empat tahun atau lebih, yang juga sesuai dengan standar FATF. Harmonisasi antara kedua pendekatan ini perlu dijaga agar tidak menimbulkan inkonsistensi dalam praktik penegakan hukum (Riccardi &amp; Reuter, 2024). Rekomendasi FATF juga mensyaratkan bahwa kriminalisasi pencucian uang harus mencakup baik pelaku yang melakukan kejahatan asal (</w:t>
      </w:r>
      <w:r w:rsidRPr="00BE257F">
        <w:rPr>
          <w:rFonts w:ascii="Arial Narrow" w:hAnsi="Arial Narrow" w:cs="Times New Roman"/>
          <w:i/>
          <w:iCs/>
          <w:sz w:val="24"/>
          <w:szCs w:val="24"/>
        </w:rPr>
        <w:t>self-laundering</w:t>
      </w:r>
      <w:r w:rsidRPr="00BE257F">
        <w:rPr>
          <w:rFonts w:ascii="Arial Narrow" w:hAnsi="Arial Narrow" w:cs="Times New Roman"/>
          <w:sz w:val="24"/>
          <w:szCs w:val="24"/>
        </w:rPr>
        <w:t>) maupun pihak ketiga yang membantu pencucian hasil kejahatan orang lain, yang telah diakomodasi dalam ketentuan KUHP Tahun 2023 maupun Undang-Undang Nomor 8 Tahun 2010.</w:t>
      </w:r>
      <w:r w:rsidRPr="00BE257F">
        <w:rPr>
          <w:rFonts w:ascii="Arial Narrow" w:hAnsi="Arial Narrow" w:cs="Times New Roman"/>
          <w:sz w:val="24"/>
          <w:szCs w:val="24"/>
        </w:rPr>
        <w:fldChar w:fldCharType="begin" w:fldLock="1"/>
      </w:r>
      <w:r w:rsidRPr="00BE257F">
        <w:rPr>
          <w:rFonts w:ascii="Arial Narrow" w:hAnsi="Arial Narrow" w:cs="Times New Roman"/>
          <w:sz w:val="24"/>
          <w:szCs w:val="24"/>
        </w:rPr>
        <w:instrText>ADDIN CSL_CITATION {"citationItems":[{"id":"ITEM-1","itemData":{"DOI":"10.1007/s10610-024-09581-1","ISSN":"15729869","abstract":"The misuse of law firm pooled client accounts has been identified as one of the primary areas of money laundering and terrorist financing risk for the legal profession. This article demonstrates the varied role that client accounts can play in money laundering, through both purposeful exploitation (by the predicate offender, the lawyer/law firm, or both) of the client account or of other legitimate business processes in which the client account inevitably plays a role, and/or a failure to fulfil regulatory requirements. It examines how the nature of law firm pooled client accounts in the UK creates and shapes an ‘opportunity structure’ for money laundering, and the occupational and organisational context of this opportunity structure. The article argues that examining the opportunity structures created by client accounts is a more useful approach than categorising them as inherently low, medium or high risk, as is seen in many national risk assessments and reports. Identifying the factors that create opportunities for money laundering through law firm client accounts can direct policymakers striving to prevent money laundering in the legal profession towards more targeted oversight mechanisms.","author":[{"dropping-particle":"","family":"Benson","given":"Katie","non-dropping-particle":"","parse-names":false,"suffix":""},{"dropping-particle":"","family":"Bociga","given":"Diana","non-dropping-particle":"","parse-names":false,"suffix":""}],"container-title":"European Journal on Criminal Policy and Research","id":"ITEM-1","issue":"3","issued":{"date-parts":[["2024"]]},"page":"449-473","title":"Occupation, Organisation, Opportunity, and Oversight: Law Firm Client Accounts and (Anti-)Money Laundering","type":"article-journal","volume":"30"},"uris":["http://www.mendeley.com/documents/?uuid=5562366f-61fb-4bf7-94a3-aad38aea274b"]}],"mendeley":{"formattedCitation":"(Benson &amp; Bociga, 2024)","plainTextFormattedCitation":"(Benson &amp; Bociga, 2024)","previouslyFormattedCitation":"(Benson &amp; Bociga, 2024)"},"properties":{"noteIndex":0},"schema":"https://github.com/citation-style-language/schema/raw/master/csl-citation.json"}</w:instrText>
      </w:r>
      <w:r w:rsidRPr="00BE257F">
        <w:rPr>
          <w:rFonts w:ascii="Arial Narrow" w:hAnsi="Arial Narrow" w:cs="Times New Roman"/>
          <w:sz w:val="24"/>
          <w:szCs w:val="24"/>
        </w:rPr>
        <w:fldChar w:fldCharType="separate"/>
      </w:r>
      <w:r w:rsidRPr="00BE257F">
        <w:rPr>
          <w:rFonts w:ascii="Arial Narrow" w:hAnsi="Arial Narrow" w:cs="Times New Roman"/>
          <w:noProof/>
          <w:sz w:val="24"/>
          <w:szCs w:val="24"/>
        </w:rPr>
        <w:t>(Benson &amp; Bociga, 2024)</w:t>
      </w:r>
      <w:r w:rsidRPr="00BE257F">
        <w:rPr>
          <w:rFonts w:ascii="Arial Narrow" w:hAnsi="Arial Narrow" w:cs="Times New Roman"/>
          <w:sz w:val="24"/>
          <w:szCs w:val="24"/>
        </w:rPr>
        <w:fldChar w:fldCharType="end"/>
      </w:r>
      <w:r>
        <w:rPr>
          <w:rFonts w:ascii="Arial Narrow" w:hAnsi="Arial Narrow" w:cs="Times New Roman"/>
          <w:sz w:val="24"/>
          <w:szCs w:val="24"/>
        </w:rPr>
        <w:t>.</w:t>
      </w:r>
    </w:p>
    <w:p w:rsidR="00BE257F" w:rsidRDefault="00BE257F" w:rsidP="00467B7C">
      <w:pPr>
        <w:spacing w:after="0"/>
        <w:ind w:firstLine="360"/>
        <w:jc w:val="both"/>
        <w:rPr>
          <w:rFonts w:ascii="Arial Narrow" w:hAnsi="Arial Narrow" w:cs="Times New Roman"/>
          <w:sz w:val="24"/>
          <w:szCs w:val="24"/>
        </w:rPr>
      </w:pPr>
      <w:r w:rsidRPr="00BE257F">
        <w:rPr>
          <w:rFonts w:ascii="Arial Narrow" w:hAnsi="Arial Narrow" w:cs="Times New Roman"/>
          <w:sz w:val="24"/>
          <w:szCs w:val="24"/>
        </w:rPr>
        <w:t>Aspek kedua dari harmonisasi berkaitan dengan prinsip transparansi dan identifikasi pemilik manfaat (</w:t>
      </w:r>
      <w:r w:rsidRPr="00BE257F">
        <w:rPr>
          <w:rFonts w:ascii="Arial Narrow" w:hAnsi="Arial Narrow" w:cs="Times New Roman"/>
          <w:i/>
          <w:iCs/>
          <w:sz w:val="24"/>
          <w:szCs w:val="24"/>
        </w:rPr>
        <w:t>beneficial ownership</w:t>
      </w:r>
      <w:r w:rsidRPr="00BE257F">
        <w:rPr>
          <w:rFonts w:ascii="Arial Narrow" w:hAnsi="Arial Narrow" w:cs="Times New Roman"/>
          <w:sz w:val="24"/>
          <w:szCs w:val="24"/>
        </w:rPr>
        <w:t>), yang merupakan elemen krusial dalam pencegahan pencucian uang. Rekomendasi 24 dan 25 FATF mensyaratkan bahwa negara harus memastikan adanya informasi yang memadai, akurat, dan terkini tentang kepemilikan manfaat dan pengendalian badan hukum dan konstruksi hukum (</w:t>
      </w:r>
      <w:r w:rsidRPr="00BE257F">
        <w:rPr>
          <w:rFonts w:ascii="Arial Narrow" w:hAnsi="Arial Narrow" w:cs="Times New Roman"/>
          <w:i/>
          <w:iCs/>
          <w:sz w:val="24"/>
          <w:szCs w:val="24"/>
        </w:rPr>
        <w:t>legal arrangements</w:t>
      </w:r>
      <w:r w:rsidRPr="00BE257F">
        <w:rPr>
          <w:rFonts w:ascii="Arial Narrow" w:hAnsi="Arial Narrow" w:cs="Times New Roman"/>
          <w:sz w:val="24"/>
          <w:szCs w:val="24"/>
        </w:rPr>
        <w:t xml:space="preserve">), serta informasi tersebut harus dapat diakses oleh otoritas yang berwenang secara tepat waktu. Dalam praktik pencucian uang, pelaku seringkali menggunakan struktur korporasi yang kompleks, termasuk </w:t>
      </w:r>
      <w:r w:rsidRPr="00BE257F">
        <w:rPr>
          <w:rFonts w:ascii="Arial Narrow" w:hAnsi="Arial Narrow" w:cs="Times New Roman"/>
          <w:i/>
          <w:iCs/>
          <w:sz w:val="24"/>
          <w:szCs w:val="24"/>
        </w:rPr>
        <w:t>shell companies</w:t>
      </w:r>
      <w:r w:rsidRPr="00BE257F">
        <w:rPr>
          <w:rFonts w:ascii="Arial Narrow" w:hAnsi="Arial Narrow" w:cs="Times New Roman"/>
          <w:sz w:val="24"/>
          <w:szCs w:val="24"/>
        </w:rPr>
        <w:t xml:space="preserve">, </w:t>
      </w:r>
      <w:r w:rsidRPr="00BE257F">
        <w:rPr>
          <w:rFonts w:ascii="Arial Narrow" w:hAnsi="Arial Narrow" w:cs="Times New Roman"/>
          <w:i/>
          <w:iCs/>
          <w:sz w:val="24"/>
          <w:szCs w:val="24"/>
        </w:rPr>
        <w:t>nominee shareholders</w:t>
      </w:r>
      <w:r w:rsidRPr="00BE257F">
        <w:rPr>
          <w:rFonts w:ascii="Arial Narrow" w:hAnsi="Arial Narrow" w:cs="Times New Roman"/>
          <w:sz w:val="24"/>
          <w:szCs w:val="24"/>
        </w:rPr>
        <w:t>, dan berbagai lapisan kepemilikan untuk menyembunyikan identitas sebenarnya dari pemilik manfaat. Pengaturan tentang transparansi kepemilikan dalam sistem hukum Indonesia masih menghadapi berbagai tantangan, terutama terkait dengan ketersediaan informasi yang akurat tentang pemilik manfaat dan mekanisme verifikasi yang efektif. KUHP Tahun 2023 perlu dilengkapi dengan regulasi pendukung yang mengatur kewajiban badan hukum untuk mengungkapkan informasi tentang pemilik manfaatnya, serta memberikan akses kepada otoritas penegak hukum dan lembaga keuangan untuk memverifikasi informasi tersebut.</w:t>
      </w:r>
      <w:r w:rsidRPr="00BE257F">
        <w:rPr>
          <w:rFonts w:ascii="Arial Narrow" w:hAnsi="Arial Narrow" w:cs="Times New Roman"/>
          <w:sz w:val="24"/>
          <w:szCs w:val="24"/>
        </w:rPr>
        <w:fldChar w:fldCharType="begin" w:fldLock="1"/>
      </w:r>
      <w:r w:rsidRPr="00BE257F">
        <w:rPr>
          <w:rFonts w:ascii="Arial Narrow" w:hAnsi="Arial Narrow" w:cs="Times New Roman"/>
          <w:sz w:val="24"/>
          <w:szCs w:val="24"/>
        </w:rPr>
        <w:instrText>ADDIN CSL_CITATION {"citationItems":[{"id":"ITEM-1","itemData":{"DOI":"10.1007/s12117-022-09475-w","ISSN":"19364830","abstract":"In order to launder large amounts of money, (drug) criminals can seek help from financial facilitators. According to the FATF, these facilitators are operating increasingly business-like and even participate in professional money laundering networks. This study examines the extent to which financial facilitators in the Netherlands exhibit business-like characteristics and the extent to which they organize themselves in money laundering networks. We further examine the relationship between business-like behavior and individual money launderers’ position in the social network. Using police intelligence data, we were able to analyze the contacts of 198 financial facilitators who were active in the Netherlands in the period 2016–2020, all having worked for drug criminals. Based on social network analysis, this research shows that financial facilitators in the Netherlands can be linked in extensive money laundering networks. Based on the facilitators’ area of expertise, roughly two main types of professional money laundering networks can be discerned. Some subnetworks operate in the real estate sector, while others primarily engage in underground banking. Furthermore, the application of regression models to predict business-like behavior using individual network measures shows that facilitators with more central positions in the network and those who collaborate with financial facilitators from varying expertise groups tend to behave more business-like than other financial facilitators.","author":[{"dropping-particle":"","family":"Kramer","given":"Jo Anne","non-dropping-particle":"","parse-names":false,"suffix":""},{"dropping-particle":"","family":"Blokland","given":"Arjan A.J.","non-dropping-particle":"","parse-names":false,"suffix":""},{"dropping-particle":"","family":"Kleemans","given":"Edward R.","non-dropping-particle":"","parse-names":false,"suffix":""},{"dropping-particle":"","family":"Soudijn","given":"Melvin R.J.","non-dropping-particle":"","parse-names":false,"suffix":""}],"container-title":"Trends in Organized Crime","id":"ITEM-1","issue":"3","issued":{"date-parts":[["2024"]]},"page":"314-341","publisher":"Springer US","title":"Money laundering as a service: Investigating business-like behavior in money laundering networks in the Netherlands","type":"article-journal","volume":"27"},"uris":["http://www.mendeley.com/documents/?uuid=0444c9ad-2e31-4843-bb4a-f952c13fd3d1"]}],"mendeley":{"formattedCitation":"(Kramer et al., 2024)","plainTextFormattedCitation":"(Kramer et al., 2024)","previouslyFormattedCitation":"(Kramer et al., 2024)"},"properties":{"noteIndex":0},"schema":"https://github.com/citation-style-language/schema/raw/master/csl-citation.json"}</w:instrText>
      </w:r>
      <w:r w:rsidRPr="00BE257F">
        <w:rPr>
          <w:rFonts w:ascii="Arial Narrow" w:hAnsi="Arial Narrow" w:cs="Times New Roman"/>
          <w:sz w:val="24"/>
          <w:szCs w:val="24"/>
        </w:rPr>
        <w:fldChar w:fldCharType="separate"/>
      </w:r>
      <w:r w:rsidRPr="00BE257F">
        <w:rPr>
          <w:rFonts w:ascii="Arial Narrow" w:hAnsi="Arial Narrow" w:cs="Times New Roman"/>
          <w:noProof/>
          <w:sz w:val="24"/>
          <w:szCs w:val="24"/>
        </w:rPr>
        <w:t>(Kramer et al., 2024)</w:t>
      </w:r>
      <w:r w:rsidRPr="00BE257F">
        <w:rPr>
          <w:rFonts w:ascii="Arial Narrow" w:hAnsi="Arial Narrow" w:cs="Times New Roman"/>
          <w:sz w:val="24"/>
          <w:szCs w:val="24"/>
        </w:rPr>
        <w:fldChar w:fldCharType="end"/>
      </w:r>
      <w:r w:rsidRPr="00BE257F">
        <w:rPr>
          <w:rFonts w:ascii="Arial Narrow" w:hAnsi="Arial Narrow" w:cs="Times New Roman"/>
          <w:sz w:val="24"/>
          <w:szCs w:val="24"/>
        </w:rPr>
        <w:t xml:space="preserve"> Harmonisasi dalam aspek ini juga mencakup pengaturan tentang penyedia jasa korporasi dan perwalian (</w:t>
      </w:r>
      <w:r w:rsidRPr="00BE257F">
        <w:rPr>
          <w:rFonts w:ascii="Arial Narrow" w:hAnsi="Arial Narrow" w:cs="Times New Roman"/>
          <w:i/>
          <w:iCs/>
          <w:sz w:val="24"/>
          <w:szCs w:val="24"/>
        </w:rPr>
        <w:t>trust and company service providers</w:t>
      </w:r>
      <w:r w:rsidRPr="00BE257F">
        <w:rPr>
          <w:rFonts w:ascii="Arial Narrow" w:hAnsi="Arial Narrow" w:cs="Times New Roman"/>
          <w:sz w:val="24"/>
          <w:szCs w:val="24"/>
        </w:rPr>
        <w:t>) yang memiliki peran penting dalam pembentukan dan pengelolaan struktur hukum yang dapat disalahgunakan untuk tujuan pencucian uang, dimana FATF mensyaratkan adanya lisensi atau registrasi serta kewajiban untuk menerapkan tindakan uji tuntas pelanggan (</w:t>
      </w:r>
      <w:r w:rsidRPr="00BE257F">
        <w:rPr>
          <w:rFonts w:ascii="Arial Narrow" w:hAnsi="Arial Narrow" w:cs="Times New Roman"/>
          <w:i/>
          <w:iCs/>
          <w:sz w:val="24"/>
          <w:szCs w:val="24"/>
        </w:rPr>
        <w:t>customer due diligence</w:t>
      </w:r>
      <w:r w:rsidRPr="00BE257F">
        <w:rPr>
          <w:rFonts w:ascii="Arial Narrow" w:hAnsi="Arial Narrow" w:cs="Times New Roman"/>
          <w:sz w:val="24"/>
          <w:szCs w:val="24"/>
        </w:rPr>
        <w:t>).</w:t>
      </w:r>
      <w:r w:rsidRPr="00BE257F">
        <w:rPr>
          <w:rFonts w:ascii="Arial Narrow" w:hAnsi="Arial Narrow" w:cs="Times New Roman"/>
          <w:sz w:val="24"/>
          <w:szCs w:val="24"/>
        </w:rPr>
        <w:fldChar w:fldCharType="begin" w:fldLock="1"/>
      </w:r>
      <w:r w:rsidRPr="00BE257F">
        <w:rPr>
          <w:rFonts w:ascii="Arial Narrow" w:hAnsi="Arial Narrow" w:cs="Times New Roman"/>
          <w:sz w:val="24"/>
          <w:szCs w:val="24"/>
        </w:rPr>
        <w:instrText>ADDIN CSL_CITATION {"citationItems":[{"id":"ITEM-1","itemData":{"DOI":"10.1108/JMLC-09-2022-0136","ISSN":"17587808","abstract":"Purpose: This study aims to examine the role of Australian casinos in facilitating money laundering and Chinese capital flight. Design/methodology/approach: The reports and transcripts of evidence from government inquiries into money laundering in Australian casinos are integrated with analyses of Asian transnational crime. Findings: Money laundering in Australian casinos is linked to transnational crime and Chinese capital flight. A central finding is that junket operators play a key role in facilitating money laundering. The casinos are particularly exposed to criminal influences in the Chinese very important person gambling market, since they have used junket operators and underground banks, many of whom are closely linked to major Chinese criminal groups from Hong Kong and Macau. Research limitations/implications: Very little information is available on money laundering in Australian casinos and this research has relied on the government inquiries that have been conducted over the past two years on the subject. Practical implications: The author’s focus on money laundering in Australian casinos in the context of Asia-Pacific transnational crime is important for Federal and state government regulators grappling with the rapidly changing money laundering issues. The government inquiries recognised that the money laundering was related to transnational crime, but did not have the time and resources to explore the topic. The paper provides state government casino regulators and financial crime regulators with a broader international perspective to anticipate future money laundering and crime pressures facing Australia’s casinos. Social implications: Money laundering in Australian casinos has had devastating social implications on the community. My research helps to focus attention on the problems of transnational crime and money laundering. Originality/value: Little research has examined the linkages between casinos and transnational crime. This study has found that Australian casinos were used to launder the proceeds of illegal drug trafficking and to facilitate Chinese capital flight. While casinos have been forced by damming government inquiries to tighten anti-money laundering controls, it is likely that there will be pressure to relax these controls in the future because of competitive pressure from other casinos in the Asia-Pacific region.","author":[{"dropping-particle":"","family":"Langdale","given":"John","non-dropping-particle":"","parse-names":false,"suffix":""}],"container-title":"Journal of Money Laundering Control","id":"ITEM-1","issue":"7","issued":{"date-parts":[["2022"]]},"page":"99-109","title":"Money laundering in Australian casinos","type":"article-journal","volume":"26"},"uris":["http://www.mendeley.com/documents/?uuid=4edd05cb-5306-42df-a140-4b1c81b5ebd9"]}],"mendeley":{"formattedCitation":"(Langdale, 2022)","plainTextFormattedCitation":"(Langdale, 2022)","previouslyFormattedCitation":"(Langdale, 2022)"},"properties":{"noteIndex":0},"schema":"https://github.com/citation-style-language/schema/raw/master/csl-citation.json"}</w:instrText>
      </w:r>
      <w:r w:rsidRPr="00BE257F">
        <w:rPr>
          <w:rFonts w:ascii="Arial Narrow" w:hAnsi="Arial Narrow" w:cs="Times New Roman"/>
          <w:sz w:val="24"/>
          <w:szCs w:val="24"/>
        </w:rPr>
        <w:fldChar w:fldCharType="separate"/>
      </w:r>
      <w:r w:rsidRPr="00BE257F">
        <w:rPr>
          <w:rFonts w:ascii="Arial Narrow" w:hAnsi="Arial Narrow" w:cs="Times New Roman"/>
          <w:noProof/>
          <w:sz w:val="24"/>
          <w:szCs w:val="24"/>
        </w:rPr>
        <w:t>(Langdale, 2022)</w:t>
      </w:r>
      <w:r w:rsidRPr="00BE257F">
        <w:rPr>
          <w:rFonts w:ascii="Arial Narrow" w:hAnsi="Arial Narrow" w:cs="Times New Roman"/>
          <w:sz w:val="24"/>
          <w:szCs w:val="24"/>
        </w:rPr>
        <w:fldChar w:fldCharType="end"/>
      </w:r>
    </w:p>
    <w:p w:rsidR="00467B7C" w:rsidRDefault="00BE257F" w:rsidP="00467B7C">
      <w:pPr>
        <w:spacing w:after="0"/>
        <w:ind w:firstLine="360"/>
        <w:jc w:val="both"/>
        <w:rPr>
          <w:rFonts w:ascii="Arial Narrow" w:hAnsi="Arial Narrow" w:cs="Times New Roman"/>
          <w:sz w:val="24"/>
          <w:szCs w:val="24"/>
        </w:rPr>
      </w:pPr>
      <w:r w:rsidRPr="00BE257F">
        <w:rPr>
          <w:rFonts w:ascii="Arial Narrow" w:hAnsi="Arial Narrow" w:cs="Times New Roman"/>
          <w:sz w:val="24"/>
          <w:szCs w:val="24"/>
        </w:rPr>
        <w:t xml:space="preserve">Aspek ketiga dari harmonisasi berkaitan dengan peran profesi dan bisnis tertentu yang rentan terhadap penyalahgunaan untuk pencucian uang, yang dalam terminologi FATF disebut sebagai </w:t>
      </w:r>
      <w:r w:rsidRPr="00BE257F">
        <w:rPr>
          <w:rFonts w:ascii="Arial Narrow" w:hAnsi="Arial Narrow" w:cs="Times New Roman"/>
          <w:i/>
          <w:iCs/>
          <w:sz w:val="24"/>
          <w:szCs w:val="24"/>
        </w:rPr>
        <w:t>Designated Non-Financial Businesses and Professions</w:t>
      </w:r>
      <w:r w:rsidRPr="00BE257F">
        <w:rPr>
          <w:rFonts w:ascii="Arial Narrow" w:hAnsi="Arial Narrow" w:cs="Times New Roman"/>
          <w:sz w:val="24"/>
          <w:szCs w:val="24"/>
        </w:rPr>
        <w:t xml:space="preserve"> (DNFBPs). Rekomendasi 22 FATF mensyaratkan bahwa kasino, agen real estat, pedagang logam mulia dan batu mulia, pengacara, notaris, akuntan, dan penyedia jasa korporasi harus tunduk pada kewajiban anti pencucian uang yang sama dengan lembaga keuangan, termasuk kewajiban untuk mengidentifikasi dan memverifikasi identitas pelanggan, melakukan pemantauan berkelanjutan terhadap hubungan bisnis, dan melaporkan transaksi yang mencurigakan. Dalam konteks Indonesia, profesi-profesi ini diatur dalam Undang-Undang Nomor 8 Tahun 2010 sebagai pihak pelapor yang memiliki kewajiban untuk </w:t>
      </w:r>
      <w:r w:rsidRPr="00BE257F">
        <w:rPr>
          <w:rFonts w:ascii="Arial Narrow" w:hAnsi="Arial Narrow" w:cs="Times New Roman"/>
          <w:sz w:val="24"/>
          <w:szCs w:val="24"/>
        </w:rPr>
        <w:lastRenderedPageBreak/>
        <w:t>menyampaikan laporan kepada PPATK, namun implementasinya masih menghadapi berbagai tantangan terkait dengan kepatuhan dan efektivitas pelaporan. Harmonisasi dengan standar FATF memerlukan penguatan mekanisme pengawasan terhadap DNFBPs, termasuk pembentukan badan pengawas (</w:t>
      </w:r>
      <w:r w:rsidRPr="00BE257F">
        <w:rPr>
          <w:rFonts w:ascii="Arial Narrow" w:hAnsi="Arial Narrow" w:cs="Times New Roman"/>
          <w:i/>
          <w:iCs/>
          <w:sz w:val="24"/>
          <w:szCs w:val="24"/>
        </w:rPr>
        <w:t>supervisory body</w:t>
      </w:r>
      <w:r w:rsidRPr="00BE257F">
        <w:rPr>
          <w:rFonts w:ascii="Arial Narrow" w:hAnsi="Arial Narrow" w:cs="Times New Roman"/>
          <w:sz w:val="24"/>
          <w:szCs w:val="24"/>
        </w:rPr>
        <w:t>) yang memiliki kewenangan untuk melakukan pemeriksaan, memberikan sanksi administratif, dan memastikan kepatuhan terhadap kewajiban anti pencucian uang.</w:t>
      </w:r>
      <w:r w:rsidRPr="00BE257F">
        <w:rPr>
          <w:rFonts w:ascii="Arial Narrow" w:hAnsi="Arial Narrow" w:cs="Times New Roman"/>
          <w:sz w:val="24"/>
          <w:szCs w:val="24"/>
        </w:rPr>
        <w:fldChar w:fldCharType="begin" w:fldLock="1"/>
      </w:r>
      <w:r w:rsidRPr="00BE257F">
        <w:rPr>
          <w:rFonts w:ascii="Arial Narrow" w:hAnsi="Arial Narrow" w:cs="Times New Roman"/>
          <w:sz w:val="24"/>
          <w:szCs w:val="24"/>
        </w:rPr>
        <w:instrText>ADDIN CSL_CITATION {"citationItems":[{"id":"ITEM-1","itemData":{"DOI":"10.1140/epjds/s13688-022-00328-8","ISSN":"21931127","abstract":"Aim: There is a growing literature analyzing money laundering and the policies to fight it, but the overall effectiveness of anti-money laundering policies is still unclear. This paper investigates whether anti-money laundering policies affect the behavior of money launderers and their networks. Method: With an algorithm to match clusters over time, we build a unique dataset of multi-mode, undirected, binary, dynamic networks of natural and legal persons. The data includes ownership and employment relations and associated financial ties and is enriched with criminal records and police-related activities. The networks of money launderers, other criminals, and non-criminal individuals are analyzed and compared with temporal social network analysis techniques and panel data regressions on centrality measures, transitivity and assortativity indicators, and levels of constraint. Findings: We find that after the announcement of the fourth EU anti-money laundering directive in 2015, money laundering networks show a significant increase in the use of foreigners and corporate structures. At the individual level, money launderers become more dominant in criminal clusters (increased closeness centrality). This paper shows that (the announcement of) anti-money laundering policies can affect criminal networks and how such effects can be tested.","author":[{"dropping-particle":"","family":"Gerbrands","given":"Peter","non-dropping-particle":"","parse-names":false,"suffix":""},{"dropping-particle":"","family":"Unger","given":"Brigitte","non-dropping-particle":"","parse-names":false,"suffix":""},{"dropping-particle":"","family":"Getzner","given":"Michael","non-dropping-particle":"","parse-names":false,"suffix":""},{"dropping-particle":"","family":"Ferwerda","given":"Joras","non-dropping-particle":"","parse-names":false,"suffix":""}],"container-title":"EPJ Data Science","id":"ITEM-1","issue":"1","issued":{"date-parts":[["2022"]]},"publisher":"The Author(s)","title":"The effect of anti-money laundering policies: an empirical network analysis","type":"article-journal","volume":"11"},"uris":["http://www.mendeley.com/documents/?uuid=2ce43e55-462b-45d7-b230-7e138d93ac96"]}],"mendeley":{"formattedCitation":"(Gerbrands et al., 2022)","plainTextFormattedCitation":"(Gerbrands et al., 2022)","previouslyFormattedCitation":"(Gerbrands et al., 2022)"},"properties":{"noteIndex":0},"schema":"https://github.com/citation-style-language/schema/raw/master/csl-citation.json"}</w:instrText>
      </w:r>
      <w:r w:rsidRPr="00BE257F">
        <w:rPr>
          <w:rFonts w:ascii="Arial Narrow" w:hAnsi="Arial Narrow" w:cs="Times New Roman"/>
          <w:sz w:val="24"/>
          <w:szCs w:val="24"/>
        </w:rPr>
        <w:fldChar w:fldCharType="separate"/>
      </w:r>
      <w:r w:rsidRPr="00BE257F">
        <w:rPr>
          <w:rFonts w:ascii="Arial Narrow" w:hAnsi="Arial Narrow" w:cs="Times New Roman"/>
          <w:noProof/>
          <w:sz w:val="24"/>
          <w:szCs w:val="24"/>
        </w:rPr>
        <w:t>(Gerbrands et al., 2022)</w:t>
      </w:r>
      <w:r w:rsidRPr="00BE257F">
        <w:rPr>
          <w:rFonts w:ascii="Arial Narrow" w:hAnsi="Arial Narrow" w:cs="Times New Roman"/>
          <w:sz w:val="24"/>
          <w:szCs w:val="24"/>
        </w:rPr>
        <w:fldChar w:fldCharType="end"/>
      </w:r>
      <w:r w:rsidRPr="00BE257F">
        <w:rPr>
          <w:rFonts w:ascii="Arial Narrow" w:hAnsi="Arial Narrow" w:cs="Times New Roman"/>
          <w:sz w:val="24"/>
          <w:szCs w:val="24"/>
        </w:rPr>
        <w:t xml:space="preserve"> Khusus untuk profesi hukum seperti pengacara dan notaris, implementasi kewajiban pelaporan menghadapi dilema dengan prinsip kerahasiaan hubungan antara klien dan penasihat hukum (</w:t>
      </w:r>
      <w:r w:rsidRPr="00BE257F">
        <w:rPr>
          <w:rFonts w:ascii="Arial Narrow" w:hAnsi="Arial Narrow" w:cs="Times New Roman"/>
          <w:i/>
          <w:iCs/>
          <w:sz w:val="24"/>
          <w:szCs w:val="24"/>
        </w:rPr>
        <w:t>legal professional privilege</w:t>
      </w:r>
      <w:r w:rsidRPr="00BE257F">
        <w:rPr>
          <w:rFonts w:ascii="Arial Narrow" w:hAnsi="Arial Narrow" w:cs="Times New Roman"/>
          <w:sz w:val="24"/>
          <w:szCs w:val="24"/>
        </w:rPr>
        <w:t>), yang memerlukan keseimbangan antara kepentingan pemberantasan pencucian uang dengan perlindungan hak klien untuk mendapatkan nasihat hukum yang rahasia.</w:t>
      </w:r>
      <w:r w:rsidRPr="00BE257F">
        <w:rPr>
          <w:rFonts w:ascii="Arial Narrow" w:hAnsi="Arial Narrow" w:cs="Times New Roman"/>
          <w:sz w:val="24"/>
          <w:szCs w:val="24"/>
        </w:rPr>
        <w:fldChar w:fldCharType="begin" w:fldLock="1"/>
      </w:r>
      <w:r w:rsidRPr="00BE257F">
        <w:rPr>
          <w:rFonts w:ascii="Arial Narrow" w:hAnsi="Arial Narrow" w:cs="Times New Roman"/>
          <w:sz w:val="24"/>
          <w:szCs w:val="24"/>
        </w:rPr>
        <w:instrText>ADDIN CSL_CITATION {"citationItems":[{"id":"ITEM-1","itemData":{"DOI":"10.1007/s10610-024-09581-1","ISSN":"15729869","abstract":"The misuse of law firm pooled client accounts has been identified as one of the primary areas of money laundering and terrorist financing risk for the legal profession. This article demonstrates the varied role that client accounts can play in money laundering, through both purposeful exploitation (by the predicate offender, the lawyer/law firm, or both) of the client account or of other legitimate business processes in which the client account inevitably plays a role, and/or a failure to fulfil regulatory requirements. It examines how the nature of law firm pooled client accounts in the UK creates and shapes an ‘opportunity structure’ for money laundering, and the occupational and organisational context of this opportunity structure. The article argues that examining the opportunity structures created by client accounts is a more useful approach than categorising them as inherently low, medium or high risk, as is seen in many national risk assessments and reports. Identifying the factors that create opportunities for money laundering through law firm client accounts can direct policymakers striving to prevent money laundering in the legal profession towards more targeted oversight mechanisms.","author":[{"dropping-particle":"","family":"Benson","given":"Katie","non-dropping-particle":"","parse-names":false,"suffix":""},{"dropping-particle":"","family":"Bociga","given":"Diana","non-dropping-particle":"","parse-names":false,"suffix":""}],"container-title":"European Journal on Criminal Policy and Research","id":"ITEM-1","issue":"3","issued":{"date-parts":[["2024"]]},"page":"449-473","title":"Occupation, Organisation, Opportunity, and Oversight: Law Firm Client Accounts and (Anti-)Money Laundering","type":"article-journal","volume":"30"},"uris":["http://www.mendeley.com/documents/?uuid=5562366f-61fb-4bf7-94a3-aad38aea274b"]}],"mendeley":{"formattedCitation":"(Benson &amp; Bociga, 2024)","plainTextFormattedCitation":"(Benson &amp; Bociga, 2024)","previouslyFormattedCitation":"(Benson &amp; Bociga, 2024)"},"properties":{"noteIndex":0},"schema":"https://github.com/citation-style-language/schema/raw/master/csl-citation.json"}</w:instrText>
      </w:r>
      <w:r w:rsidRPr="00BE257F">
        <w:rPr>
          <w:rFonts w:ascii="Arial Narrow" w:hAnsi="Arial Narrow" w:cs="Times New Roman"/>
          <w:sz w:val="24"/>
          <w:szCs w:val="24"/>
        </w:rPr>
        <w:fldChar w:fldCharType="separate"/>
      </w:r>
      <w:r w:rsidRPr="00BE257F">
        <w:rPr>
          <w:rFonts w:ascii="Arial Narrow" w:hAnsi="Arial Narrow" w:cs="Times New Roman"/>
          <w:noProof/>
          <w:sz w:val="24"/>
          <w:szCs w:val="24"/>
        </w:rPr>
        <w:t>(Benson &amp; Bociga, 2024)</w:t>
      </w:r>
      <w:r w:rsidRPr="00BE257F">
        <w:rPr>
          <w:rFonts w:ascii="Arial Narrow" w:hAnsi="Arial Narrow" w:cs="Times New Roman"/>
          <w:sz w:val="24"/>
          <w:szCs w:val="24"/>
        </w:rPr>
        <w:fldChar w:fldCharType="end"/>
      </w:r>
    </w:p>
    <w:p w:rsidR="00BE257F" w:rsidRDefault="00BE257F" w:rsidP="00467B7C">
      <w:pPr>
        <w:spacing w:after="0"/>
        <w:ind w:firstLine="360"/>
        <w:jc w:val="both"/>
        <w:rPr>
          <w:rFonts w:ascii="Arial Narrow" w:hAnsi="Arial Narrow" w:cs="Times New Roman"/>
          <w:sz w:val="24"/>
          <w:szCs w:val="24"/>
        </w:rPr>
      </w:pPr>
      <w:r w:rsidRPr="00BE257F">
        <w:rPr>
          <w:rFonts w:ascii="Arial Narrow" w:hAnsi="Arial Narrow" w:cs="Times New Roman"/>
          <w:sz w:val="24"/>
          <w:szCs w:val="24"/>
        </w:rPr>
        <w:t>Aspek keempat dari harmonisasi berkaitan dengan kerjasama internasional dalam pemberantasan pencucian uang, yang mencakup pertukaran informasi, bantuan hukum timbal balik (</w:t>
      </w:r>
      <w:r w:rsidRPr="00BE257F">
        <w:rPr>
          <w:rFonts w:ascii="Arial Narrow" w:hAnsi="Arial Narrow" w:cs="Times New Roman"/>
          <w:i/>
          <w:iCs/>
          <w:sz w:val="24"/>
          <w:szCs w:val="24"/>
        </w:rPr>
        <w:t>mutual legal assistance</w:t>
      </w:r>
      <w:r w:rsidRPr="00BE257F">
        <w:rPr>
          <w:rFonts w:ascii="Arial Narrow" w:hAnsi="Arial Narrow" w:cs="Times New Roman"/>
          <w:sz w:val="24"/>
          <w:szCs w:val="24"/>
        </w:rPr>
        <w:t>), ekstradisi, dan perampasan aset lintas batas. Rekomendasi 36 hingga 40 FATF mengatur berbagai aspek kerjasama internasional yang harus difasilitasi oleh negara-negara, termasuk kewajiban untuk memberikan bantuan yang luas dalam investigasi, penuntutan, dan proses terkait dengan pencucian uang dan kejahatan asal, tanpa terhambat oleh persyaratan yang terlalu ketat seperti prinsip kriminalisasi ganda (</w:t>
      </w:r>
      <w:r w:rsidRPr="00BE257F">
        <w:rPr>
          <w:rFonts w:ascii="Arial Narrow" w:hAnsi="Arial Narrow" w:cs="Times New Roman"/>
          <w:i/>
          <w:iCs/>
          <w:sz w:val="24"/>
          <w:szCs w:val="24"/>
        </w:rPr>
        <w:t>dual criminality</w:t>
      </w:r>
      <w:r w:rsidRPr="00BE257F">
        <w:rPr>
          <w:rFonts w:ascii="Arial Narrow" w:hAnsi="Arial Narrow" w:cs="Times New Roman"/>
          <w:sz w:val="24"/>
          <w:szCs w:val="24"/>
        </w:rPr>
        <w:t>) untuk tindakan-tindakan yang tidak bersifat paksaan. Indonesia telah meratifikasi berbagai konvensi internasional yang menjadi dasar bagi kerjasama dalam pemberantasan pencucian uang, termasuk United Nations Convention Against Illicit Traffic in Narcotic Drugs and Psychotropic Substances 1988 (Konvensi Wina), United Nations Convention Against Transnational Organized Crime 2000 (Konvensi Palermo), dan United Nations Convention Against Corruption 2003 (Konvensi Anti Korupsi), yang mewajibkan Indonesia untuk menyediakan mekanisme kerjasama internasional yang efektif.</w:t>
      </w:r>
      <w:r w:rsidRPr="00BE257F">
        <w:rPr>
          <w:rFonts w:ascii="Arial Narrow" w:hAnsi="Arial Narrow" w:cs="Times New Roman"/>
          <w:sz w:val="24"/>
          <w:szCs w:val="24"/>
        </w:rPr>
        <w:fldChar w:fldCharType="begin" w:fldLock="1"/>
      </w:r>
      <w:r w:rsidRPr="00BE257F">
        <w:rPr>
          <w:rFonts w:ascii="Arial Narrow" w:hAnsi="Arial Narrow" w:cs="Times New Roman"/>
          <w:sz w:val="24"/>
          <w:szCs w:val="24"/>
        </w:rPr>
        <w:instrText>ADDIN CSL_CITATION {"citationItems":[{"id":"ITEM-1","itemData":{"DOI":"10.1108/JMLC-05-2020-0045","ISSN":"17587808","abstract":"Purpose: This paper aims to focus on the concept of money laundering and explores the evolution and expansion of criminalization of predicate offences to the money laundering within the international anti-money laundering (AML) regime over the time. It proposes how to limit the size and scope of predicate offences in designing a balanced legal definition. Design/methodology/approach: This paper opted a content analysis focussed on the criminalization aspect of offences to money laundering in the international AML regime under the United Nations Conventions (Vienna, Palermo and Corruption Convention) and Financial Action Task Force Standards. Findings: This paper provides how the criminalization of money laundering has evolved and its definition expanded over the time. The international definition is widely drafted with wide range of predicate offences from proceeds of drug money to corruption, including terrorist financing and terrorist acts; however, the two phenomena – money laundering and terrorist financing are quiet distinct apart. This continual expansion of predicate offences quite leads legality issues such as over-criminalization and conflict with principles of criminal law. This paper suggests an approach to limit the size and scope of predicate offences to money laundering. Practical implications: This paper includes implications for the development of a balanced approach in defining predicate offences through a qualitative limitation approach consistent with the minimalist theory of penalization of criminal law. Originality/value: This paper attains an identified issue how the legal definition of the money laundering offence can be improved while considering rule of law and principles of criminal law concerns.","author":[{"dropping-particle":"","family":"Korejo","given":"Muhammad Saleem","non-dropping-particle":"","parse-names":false,"suffix":""},{"dropping-particle":"","family":"Rajamanickam","given":"Ramalinggam","non-dropping-particle":"","parse-names":false,"suffix":""},{"dropping-particle":"","family":"Muhamad","given":"Muhamad Helmi","non-dropping-particle":"","parse-names":false,"suffix":""}],"container-title":"Journal of Money Laundering Control","id":"ITEM-1","issue":"4","issued":{"date-parts":[["2021"]]},"page":"725-736","title":"The concept of money laundering: a quest for legal definition","type":"article-journal","volume":"24"},"uris":["http://www.mendeley.com/documents/?uuid=99a9154a-4797-46e3-8c62-9a7794390cd7"]}],"mendeley":{"formattedCitation":"(Korejo et al., 2021)","plainTextFormattedCitation":"(Korejo et al., 2021)","previouslyFormattedCitation":"(Korejo et al., 2021)"},"properties":{"noteIndex":0},"schema":"https://github.com/citation-style-language/schema/raw/master/csl-citation.json"}</w:instrText>
      </w:r>
      <w:r w:rsidRPr="00BE257F">
        <w:rPr>
          <w:rFonts w:ascii="Arial Narrow" w:hAnsi="Arial Narrow" w:cs="Times New Roman"/>
          <w:sz w:val="24"/>
          <w:szCs w:val="24"/>
        </w:rPr>
        <w:fldChar w:fldCharType="separate"/>
      </w:r>
      <w:r w:rsidRPr="00BE257F">
        <w:rPr>
          <w:rFonts w:ascii="Arial Narrow" w:hAnsi="Arial Narrow" w:cs="Times New Roman"/>
          <w:noProof/>
          <w:sz w:val="24"/>
          <w:szCs w:val="24"/>
        </w:rPr>
        <w:t>(Korejo et al., 2021)</w:t>
      </w:r>
      <w:r w:rsidRPr="00BE257F">
        <w:rPr>
          <w:rFonts w:ascii="Arial Narrow" w:hAnsi="Arial Narrow" w:cs="Times New Roman"/>
          <w:sz w:val="24"/>
          <w:szCs w:val="24"/>
        </w:rPr>
        <w:fldChar w:fldCharType="end"/>
      </w:r>
      <w:r w:rsidRPr="00BE257F">
        <w:rPr>
          <w:rFonts w:ascii="Arial Narrow" w:hAnsi="Arial Narrow" w:cs="Times New Roman"/>
          <w:sz w:val="24"/>
          <w:szCs w:val="24"/>
        </w:rPr>
        <w:t xml:space="preserve"> KUHP Tahun 2023 perlu diselaraskan dengan kewajiban-kewajiban internasional tersebut, terutama terkait dengan ketentuan tentang ekstradisi yang diatur dalam Pasal 2 sampai Pasal 11, serta ketentuan tentang penyerahan narapidana yang diatur dalam Pasal 117.</w:t>
      </w:r>
      <w:r w:rsidRPr="00BE257F">
        <w:rPr>
          <w:rFonts w:ascii="Arial Narrow" w:hAnsi="Arial Narrow" w:cs="Times New Roman"/>
          <w:sz w:val="24"/>
          <w:szCs w:val="24"/>
        </w:rPr>
        <w:fldChar w:fldCharType="begin" w:fldLock="1"/>
      </w:r>
      <w:r w:rsidRPr="00BE257F">
        <w:rPr>
          <w:rFonts w:ascii="Arial Narrow" w:hAnsi="Arial Narrow" w:cs="Times New Roman"/>
          <w:sz w:val="24"/>
          <w:szCs w:val="24"/>
        </w:rPr>
        <w:instrText>ADDIN CSL_CITATION {"citationItems":[{"id":"ITEM-1","itemData":{"DOI":"10.1108/JMLC-05-2022-0068","ISSN":"17587808","abstract":"Purpose: With sanctions becoming an increasingly important tool in ostracising autocratic regimes from western markets, the need for effective enforcement of sanctions and anti-money laundering (AML) is increasing, and the global AML regime will be the backbone to detecting evasion of sanctions. This regime, however, has been widely criticised as ineffective. This paper aims to discuss issues with the current sanctions/AML regime and propose a reward scheme for whistleblowers to enable asset seizures that is not reliant on its effectiveness. Design/methodology/approach: This paper reviews weaknesses in the global AML regime, provide suggestions on how to design whistleblower reward programmes, based on agency experience and empirical evidence, as well as elaborate on how to use such programmes in the AML context. Findings: This study concludes that for reward programmes to be effective in the context of AML and sanctions enforcement, they need to include witness protection and leniency for money launderers, though not for those convicted of a criminal offence associated with the predicate crime. Moreover, rewards should be mandatory and scale with the amount of money seized or confiscated, and the cap on monetary rewards should be higher than it is under the Kleptocracy Asset Recovery Rewards Programme in the USA. Originality/value: In contrast to how the USA went about implementing rewards in this area under the Kleptocracy Asset Recovery Rewards Programme, this study argues that these programmes should be designed differently. This study also provides novel advice to governments on different design dimensions in the AML context and a model with three crucial pillars along with other design dimensions that should be considered.","author":[{"dropping-particle":"","family":"Nyreröd","given":"Theo","non-dropping-particle":"","parse-names":false,"suffix":""},{"dropping-particle":"","family":"Andreadakis","given":"Stelios","non-dropping-particle":"","parse-names":false,"suffix":""},{"dropping-particle":"","family":"Spagnolo","given":"Giancarlo","non-dropping-particle":"","parse-names":false,"suffix":""}],"container-title":"Journal of Money Laundering Control","id":"ITEM-1","issue":"5","issued":{"date-parts":[["2023"]]},"page":"912-925","title":"Money laundering and sanctions enforcement: large rewards, leniency and witness protection for whistleblowers","type":"article-journal","volume":"26"},"uris":["http://www.mendeley.com/documents/?uuid=7b8035ad-74eb-4e5c-9a92-1bce5bfe933c"]}],"mendeley":{"formattedCitation":"(Nyreröd et al., 2023)","plainTextFormattedCitation":"(Nyreröd et al., 2023)","previouslyFormattedCitation":"(Nyreröd et al., 2023)"},"properties":{"noteIndex":0},"schema":"https://github.com/citation-style-language/schema/raw/master/csl-citation.json"}</w:instrText>
      </w:r>
      <w:r w:rsidRPr="00BE257F">
        <w:rPr>
          <w:rFonts w:ascii="Arial Narrow" w:hAnsi="Arial Narrow" w:cs="Times New Roman"/>
          <w:sz w:val="24"/>
          <w:szCs w:val="24"/>
        </w:rPr>
        <w:fldChar w:fldCharType="separate"/>
      </w:r>
      <w:r w:rsidRPr="00BE257F">
        <w:rPr>
          <w:rFonts w:ascii="Arial Narrow" w:hAnsi="Arial Narrow" w:cs="Times New Roman"/>
          <w:noProof/>
          <w:sz w:val="24"/>
          <w:szCs w:val="24"/>
        </w:rPr>
        <w:t>(Nyreröd et al., 2023)</w:t>
      </w:r>
      <w:r w:rsidRPr="00BE257F">
        <w:rPr>
          <w:rFonts w:ascii="Arial Narrow" w:hAnsi="Arial Narrow" w:cs="Times New Roman"/>
          <w:sz w:val="24"/>
          <w:szCs w:val="24"/>
        </w:rPr>
        <w:fldChar w:fldCharType="end"/>
      </w:r>
    </w:p>
    <w:p w:rsidR="00127070" w:rsidRPr="00BE257F" w:rsidRDefault="00BE257F" w:rsidP="00467B7C">
      <w:pPr>
        <w:spacing w:after="0"/>
        <w:ind w:firstLine="360"/>
        <w:jc w:val="both"/>
        <w:rPr>
          <w:rFonts w:ascii="Arial Narrow" w:hAnsi="Arial Narrow" w:cs="Times New Roman"/>
          <w:sz w:val="24"/>
          <w:szCs w:val="24"/>
        </w:rPr>
      </w:pPr>
      <w:r w:rsidRPr="00BE257F">
        <w:rPr>
          <w:rFonts w:ascii="Arial Narrow" w:hAnsi="Arial Narrow" w:cs="Times New Roman"/>
          <w:sz w:val="24"/>
          <w:szCs w:val="24"/>
        </w:rPr>
        <w:t xml:space="preserve">Evaluasi terhadap tingkat harmonisasi pengaturan pencucian uang di Indonesia dengan standar FATF dapat dilihat dari hasil </w:t>
      </w:r>
      <w:r w:rsidRPr="00BE257F">
        <w:rPr>
          <w:rFonts w:ascii="Arial Narrow" w:hAnsi="Arial Narrow" w:cs="Times New Roman"/>
          <w:i/>
          <w:iCs/>
          <w:sz w:val="24"/>
          <w:szCs w:val="24"/>
        </w:rPr>
        <w:t>Mutual Evaluation Report</w:t>
      </w:r>
      <w:r w:rsidRPr="00BE257F">
        <w:rPr>
          <w:rFonts w:ascii="Arial Narrow" w:hAnsi="Arial Narrow" w:cs="Times New Roman"/>
          <w:sz w:val="24"/>
          <w:szCs w:val="24"/>
        </w:rPr>
        <w:t xml:space="preserve"> yang dilakukan oleh APG, yang mengidentifikasi berbagai area yang memerlukan perbaikan. Dalam evaluasi yang dilakukan pada tahun 2018, Indonesia menunjukkan kemajuan signifikan dalam aspek kriminalisasi dan sistem pencegahan, namun masih terdapat kelemahan dalam hal efektivitas penegakan hukum, perampasan aset, dan pengawasan terhadap sektor non-keuangan. Harmonisasi tidak hanya mencakup aspek legislatif berupa penyesuaian peraturan perundang-undangan, tetapi juga mencakup aspek implementatif berupa efektivitas sistem dalam mencegah dan memberantas pencucian uang secara nyata. Pendekatan berbasis risiko (</w:t>
      </w:r>
      <w:r w:rsidRPr="00BE257F">
        <w:rPr>
          <w:rFonts w:ascii="Arial Narrow" w:hAnsi="Arial Narrow" w:cs="Times New Roman"/>
          <w:i/>
          <w:iCs/>
          <w:sz w:val="24"/>
          <w:szCs w:val="24"/>
        </w:rPr>
        <w:t>risk-based approach</w:t>
      </w:r>
      <w:r w:rsidRPr="00BE257F">
        <w:rPr>
          <w:rFonts w:ascii="Arial Narrow" w:hAnsi="Arial Narrow" w:cs="Times New Roman"/>
          <w:sz w:val="24"/>
          <w:szCs w:val="24"/>
        </w:rPr>
        <w:t>) yang dipromosikan oleh FATF mensyaratkan bahwa lembaga keuangan dan otoritas pengawas harus mengidentifikasi, menilai, dan memahami risiko pencucian uang yang dihadapi, serta mengambil tindakan mitigasi yang proporsional dengan risiko tersebut.</w:t>
      </w:r>
      <w:r w:rsidRPr="00BE257F">
        <w:rPr>
          <w:rFonts w:ascii="Arial Narrow" w:hAnsi="Arial Narrow" w:cs="Times New Roman"/>
          <w:sz w:val="24"/>
          <w:szCs w:val="24"/>
        </w:rPr>
        <w:fldChar w:fldCharType="begin" w:fldLock="1"/>
      </w:r>
      <w:r w:rsidRPr="00BE257F">
        <w:rPr>
          <w:rFonts w:ascii="Arial Narrow" w:hAnsi="Arial Narrow" w:cs="Times New Roman"/>
          <w:sz w:val="24"/>
          <w:szCs w:val="24"/>
        </w:rPr>
        <w:instrText>ADDIN CSL_CITATION {"citationItems":[{"id":"ITEM-1","itemData":{"DOI":"10.1007/s10610-024-09603-y","ISBN":"1061002409603","ISSN":"15729869","abstract":"Two images dominate discussion of money laundering. Investigative journalists and politicians stress the variety and sophistication of methods that have been used to launder money of corrupt officials and white collar offenders. The research literature, largely dependent on criminal cases, emphasizes how unsophisticated and routine are the laundering methods used by drug dealers and other illegal market participants. The discrepancy may reflect the incapacity of police to detect sophisticated money laundering but it may also represent the reality; different groups of offenders choose different methods. This paper presents a theoretical framework to explain how offenders choose to launder their criminal earnings. Specifically it asks: what determines the sophistication of the method chosen? Among the variables that we suggest influence the choice are: (a) the type of predicate crime and of crime proceeds, (b) the type of offender (age, education, social status), (c) his/her motivations, (d) the AML environment and the level of AML controls. The paper provides arguments from criminological and economic theory for how these variables might play a role. Without claiming that individual cases can test the theory, we offer some case narratives to suggest the plausibility of the factors that we propose.","author":[{"dropping-particle":"","family":"Riccardi","given":"Michele","non-dropping-particle":"","parse-names":false,"suffix":""},{"dropping-particle":"","family":"Reuter","given":"Peter","non-dropping-particle":"","parse-names":false,"suffix":""}],"container-title":"European Journal on Criminal Policy and Research","id":"ITEM-1","issue":"3","issued":{"date-parts":[["2024"]]},"page":"333-358","title":"The Varieties of Money Laundering and the Determinants of Offender Choices","type":"article-journal","volume":"30"},"uris":["http://www.mendeley.com/documents/?uuid=4f6e6bf3-a798-4bae-bf90-29dcd81e6fc6"]}],"mendeley":{"formattedCitation":"(Riccardi &amp; Reuter, 2024)","plainTextFormattedCitation":"(Riccardi &amp; Reuter, 2024)","previouslyFormattedCitation":"(Riccardi &amp; Reuter, 2024)"},"properties":{"noteIndex":0},"schema":"https://github.com/citation-style-language/schema/raw/master/csl-citation.json"}</w:instrText>
      </w:r>
      <w:r w:rsidRPr="00BE257F">
        <w:rPr>
          <w:rFonts w:ascii="Arial Narrow" w:hAnsi="Arial Narrow" w:cs="Times New Roman"/>
          <w:sz w:val="24"/>
          <w:szCs w:val="24"/>
        </w:rPr>
        <w:fldChar w:fldCharType="separate"/>
      </w:r>
      <w:r w:rsidRPr="00BE257F">
        <w:rPr>
          <w:rFonts w:ascii="Arial Narrow" w:hAnsi="Arial Narrow" w:cs="Times New Roman"/>
          <w:noProof/>
          <w:sz w:val="24"/>
          <w:szCs w:val="24"/>
        </w:rPr>
        <w:t>(Riccardi &amp; Reuter, 2024)</w:t>
      </w:r>
      <w:r w:rsidRPr="00BE257F">
        <w:rPr>
          <w:rFonts w:ascii="Arial Narrow" w:hAnsi="Arial Narrow" w:cs="Times New Roman"/>
          <w:sz w:val="24"/>
          <w:szCs w:val="24"/>
        </w:rPr>
        <w:fldChar w:fldCharType="end"/>
      </w:r>
      <w:r w:rsidRPr="00BE257F">
        <w:rPr>
          <w:rFonts w:ascii="Arial Narrow" w:hAnsi="Arial Narrow" w:cs="Times New Roman"/>
          <w:sz w:val="24"/>
          <w:szCs w:val="24"/>
        </w:rPr>
        <w:t xml:space="preserve"> Implementasi pendekatan berbasis risiko memerlukan kapasitas analitik yang kuat, sistem informasi yang terintegrasi, serta koordinasi yang efektif antara berbagai pemangku kepentingan dalam rezim anti pencucian uang.</w:t>
      </w:r>
      <w:r w:rsidRPr="00BE257F">
        <w:rPr>
          <w:rFonts w:ascii="Arial Narrow" w:hAnsi="Arial Narrow" w:cs="Times New Roman"/>
          <w:sz w:val="24"/>
          <w:szCs w:val="24"/>
        </w:rPr>
        <w:fldChar w:fldCharType="begin" w:fldLock="1"/>
      </w:r>
      <w:r w:rsidRPr="00BE257F">
        <w:rPr>
          <w:rFonts w:ascii="Arial Narrow" w:hAnsi="Arial Narrow" w:cs="Times New Roman"/>
          <w:sz w:val="24"/>
          <w:szCs w:val="24"/>
        </w:rPr>
        <w:instrText>ADDIN CSL_CITATION {"citationItems":[{"id":"ITEM-1","itemData":{"DOI":"10.1007/s12117-022-09475-w","ISSN":"19364830","abstract":"In order to launder large amounts of money, (drug) criminals can seek help from financial facilitators. According to the FATF, these facilitators are operating increasingly business-like and even participate in professional money laundering networks. This study examines the extent to which financial facilitators in the Netherlands exhibit business-like characteristics and the extent to which they organize themselves in money laundering networks. We further examine the relationship between business-like behavior and individual money launderers’ position in the social network. Using police intelligence data, we were able to analyze the contacts of 198 financial facilitators who were active in the Netherlands in the period 2016–2020, all having worked for drug criminals. Based on social network analysis, this research shows that financial facilitators in the Netherlands can be linked in extensive money laundering networks. Based on the facilitators’ area of expertise, roughly two main types of professional money laundering networks can be discerned. Some subnetworks operate in the real estate sector, while others primarily engage in underground banking. Furthermore, the application of regression models to predict business-like behavior using individual network measures shows that facilitators with more central positions in the network and those who collaborate with financial facilitators from varying expertise groups tend to behave more business-like than other financial facilitators.","author":[{"dropping-particle":"","family":"Kramer","given":"Jo Anne","non-dropping-particle":"","parse-names":false,"suffix":""},{"dropping-particle":"","family":"Blokland","given":"Arjan A.J.","non-dropping-particle":"","parse-names":false,"suffix":""},{"dropping-particle":"","family":"Kleemans","given":"Edward R.","non-dropping-particle":"","parse-names":false,"suffix":""},{"dropping-particle":"","family":"Soudijn","given":"Melvin R.J.","non-dropping-particle":"","parse-names":false,"suffix":""}],"container-title":"Trends in Organized Crime","id":"ITEM-1","issue":"3","issued":{"date-parts":[["2024"]]},"page":"314-341","publisher":"Springer US","title":"Money laundering as a service: Investigating business-like behavior in money laundering networks in the Netherlands","type":"article-journal","volume":"27"},"uris":["http://www.mendeley.com/documents/?uuid=0444c9ad-2e31-4843-bb4a-f952c13fd3d1"]}],"mendeley":{"formattedCitation":"(Kramer et al., 2024)","plainTextFormattedCitation":"(Kramer et al., 2024)","previouslyFormattedCitation":"(Kramer et al., 2024)"},"properties":{"noteIndex":0},"schema":"https://github.com/citation-style-language/schema/raw/master/csl-citation.json"}</w:instrText>
      </w:r>
      <w:r w:rsidRPr="00BE257F">
        <w:rPr>
          <w:rFonts w:ascii="Arial Narrow" w:hAnsi="Arial Narrow" w:cs="Times New Roman"/>
          <w:sz w:val="24"/>
          <w:szCs w:val="24"/>
        </w:rPr>
        <w:fldChar w:fldCharType="separate"/>
      </w:r>
      <w:r w:rsidRPr="00BE257F">
        <w:rPr>
          <w:rFonts w:ascii="Arial Narrow" w:hAnsi="Arial Narrow" w:cs="Times New Roman"/>
          <w:noProof/>
          <w:sz w:val="24"/>
          <w:szCs w:val="24"/>
        </w:rPr>
        <w:t>(Kramer et al., 2024)</w:t>
      </w:r>
      <w:r w:rsidRPr="00BE257F">
        <w:rPr>
          <w:rFonts w:ascii="Arial Narrow" w:hAnsi="Arial Narrow" w:cs="Times New Roman"/>
          <w:sz w:val="24"/>
          <w:szCs w:val="24"/>
        </w:rPr>
        <w:fldChar w:fldCharType="end"/>
      </w:r>
      <w:r w:rsidRPr="00BE257F">
        <w:rPr>
          <w:rFonts w:ascii="Arial Narrow" w:hAnsi="Arial Narrow" w:cs="Times New Roman"/>
          <w:sz w:val="24"/>
          <w:szCs w:val="24"/>
        </w:rPr>
        <w:t xml:space="preserve"> Harmonisasi juga mencakup aspek kelembagaan, dimana FATF mensyaratkan adanya </w:t>
      </w:r>
      <w:r w:rsidRPr="00BE257F">
        <w:rPr>
          <w:rFonts w:ascii="Arial Narrow" w:hAnsi="Arial Narrow" w:cs="Times New Roman"/>
          <w:i/>
          <w:iCs/>
          <w:sz w:val="24"/>
          <w:szCs w:val="24"/>
        </w:rPr>
        <w:t>Financial Intelligence Unit</w:t>
      </w:r>
      <w:r w:rsidRPr="00BE257F">
        <w:rPr>
          <w:rFonts w:ascii="Arial Narrow" w:hAnsi="Arial Narrow" w:cs="Times New Roman"/>
          <w:sz w:val="24"/>
          <w:szCs w:val="24"/>
        </w:rPr>
        <w:t xml:space="preserve"> (FIU) yang efektif sebagai lembaga sentral yang </w:t>
      </w:r>
      <w:r w:rsidRPr="00BE257F">
        <w:rPr>
          <w:rFonts w:ascii="Arial Narrow" w:hAnsi="Arial Narrow" w:cs="Times New Roman"/>
          <w:sz w:val="24"/>
          <w:szCs w:val="24"/>
        </w:rPr>
        <w:lastRenderedPageBreak/>
        <w:t>menerima, menganalisis, dan menyebarluaskan informasi intelijen keuangan kepada otoritas penegak hukum, yang dalam konteks Indonesia dilaksanakan oleh PPATK dengan kewenangan yang diatur dalam Undang-Undang Nomor 8 Tahun 2010.</w:t>
      </w:r>
      <w:r w:rsidRPr="00BE257F">
        <w:rPr>
          <w:rFonts w:ascii="Arial Narrow" w:hAnsi="Arial Narrow" w:cs="Times New Roman"/>
          <w:sz w:val="24"/>
          <w:szCs w:val="24"/>
        </w:rPr>
        <w:fldChar w:fldCharType="begin" w:fldLock="1"/>
      </w:r>
      <w:r w:rsidRPr="00BE257F">
        <w:rPr>
          <w:rFonts w:ascii="Arial Narrow" w:hAnsi="Arial Narrow" w:cs="Times New Roman"/>
          <w:sz w:val="24"/>
          <w:szCs w:val="24"/>
        </w:rPr>
        <w:instrText>ADDIN CSL_CITATION {"citationItems":[{"id":"ITEM-1","itemData":{"DOI":"10.2478/CIRR-2021-0009","ISSN":"18485782","abstract":"The perpetrators of money laundering proceeds from narcotics crimes use banking facilities in carrying out their crime businesses so that banking products offered to the public can potentially be misused and used to benefit the narcotics criminals or to disguise and hide the proceeds of their crimes. The purpose of this study was to analyze the application of reverse evidence for perpetrators of money laundering crimes with drug related crimes in North Sumatra, Indonesia. With a qualitative research approach, the data was collected through interviews, observations, and literature studies, including the related laws. The informants in this study were the officials of the Directorate of Drug Investigation, Lawyers, Academics, Prosecutors, Investigators, Judges, and Members of the North Sumatra House of Representatives. The purposive sampling technique was used to identify the informants. This study raised an important issue of reverse evidence for the crime of money laundering based on the origin of narcotics, highlighting the drawbacks in the related laws. It was also found that the law enforcement process for narcotics criminals is adjusted to the rules contained in Law no. 35 of 2009 concerning Narcotics and Law no. 35 of 2010 on the Crime of Money Laundering in North Sumatra. The inverse burden of proof for perpetrators of money laundering crimes with narcotics originating crimes in North Sumatra is carried out in accordance with the rules contained in Articles 77 and 78 of the Money Laundering Law, where the defendant is given the authority to prove that his assets are not the proceeds of crime. The results of this study also found that there was an increase in the number of perpetrators of narcotics crimes and money laundering in North Sumatra during the last three years. A total of six (6) decisions on money laundering crimes were given in North Sumatra which had a permanent legal force. However, between 2018-2021, only two (2) cases of Money Laundering of narcotics predicate cases have been found but not yet signed nor any sentence given.","author":[{"dropping-particle":"","family":"Hartanto","given":"Dadang","non-dropping-particle":"","parse-names":false,"suffix":""},{"dropping-particle":"","family":"Hidayat","given":"Nasrullah","non-dropping-particle":"","parse-names":false,"suffix":""}],"container-title":"Croatian International Relations Review","id":"ITEM-1","issue":"88","issued":{"date-parts":[["2021"]]},"page":"14-33","title":"Application of Reverse Evidence for The Crime of Money Laundering Based on The Origin of Narcotics","type":"article-journal","volume":"27"},"uris":["http://www.mendeley.com/documents/?uuid=16048627-5ceb-4715-b2ac-c7b8d63dceae"]}],"mendeley":{"formattedCitation":"(Hartanto &amp; Hidayat, 2021)","plainTextFormattedCitation":"(Hartanto &amp; Hidayat, 2021)","previouslyFormattedCitation":"(Hartanto &amp; Hidayat, 2021)"},"properties":{"noteIndex":0},"schema":"https://github.com/citation-style-language/schema/raw/master/csl-citation.json"}</w:instrText>
      </w:r>
      <w:r w:rsidRPr="00BE257F">
        <w:rPr>
          <w:rFonts w:ascii="Arial Narrow" w:hAnsi="Arial Narrow" w:cs="Times New Roman"/>
          <w:sz w:val="24"/>
          <w:szCs w:val="24"/>
        </w:rPr>
        <w:fldChar w:fldCharType="separate"/>
      </w:r>
      <w:r w:rsidRPr="00BE257F">
        <w:rPr>
          <w:rFonts w:ascii="Arial Narrow" w:hAnsi="Arial Narrow" w:cs="Times New Roman"/>
          <w:noProof/>
          <w:sz w:val="24"/>
          <w:szCs w:val="24"/>
        </w:rPr>
        <w:t>(Hartanto &amp; Hidayat, 2021)</w:t>
      </w:r>
      <w:r w:rsidRPr="00BE257F">
        <w:rPr>
          <w:rFonts w:ascii="Arial Narrow" w:hAnsi="Arial Narrow" w:cs="Times New Roman"/>
          <w:sz w:val="24"/>
          <w:szCs w:val="24"/>
        </w:rPr>
        <w:fldChar w:fldCharType="end"/>
      </w:r>
      <w:r w:rsidRPr="00BE257F">
        <w:rPr>
          <w:rFonts w:ascii="Arial Narrow" w:hAnsi="Arial Narrow" w:cs="Times New Roman"/>
          <w:sz w:val="24"/>
          <w:szCs w:val="24"/>
        </w:rPr>
        <w:t xml:space="preserve"> Keseluruhan upaya harmonisasi ini bertujuan untuk memastikan bahwa sistem hukum Indonesia mampu menghadapi tantangan pencucian uang dalam konteks global yang semakin kompleks, dengan tetap menghormati prinsip-prinsip kedaulatan nasional dan karakteristik sistem hukum Indonesia.</w:t>
      </w:r>
    </w:p>
    <w:p w:rsidR="002421A7" w:rsidRPr="00E57D8C" w:rsidRDefault="002421A7" w:rsidP="002421A7">
      <w:pPr>
        <w:pStyle w:val="Heading1"/>
        <w:spacing w:before="120" w:after="0" w:line="240" w:lineRule="auto"/>
        <w:jc w:val="both"/>
        <w:rPr>
          <w:rFonts w:ascii="Arial Narrow" w:eastAsia="Book Antiqua" w:hAnsi="Arial Narrow" w:cs="Book Antiqua"/>
          <w:sz w:val="24"/>
          <w:szCs w:val="24"/>
        </w:rPr>
      </w:pPr>
      <w:r w:rsidRPr="00E57D8C">
        <w:rPr>
          <w:rFonts w:ascii="Arial Narrow" w:eastAsia="Book Antiqua" w:hAnsi="Arial Narrow" w:cs="Book Antiqua"/>
          <w:sz w:val="24"/>
          <w:szCs w:val="24"/>
        </w:rPr>
        <w:t>4.  Penutup</w:t>
      </w:r>
    </w:p>
    <w:p w:rsidR="00127070" w:rsidRPr="001171A3" w:rsidRDefault="001171A3" w:rsidP="001171A3">
      <w:pPr>
        <w:ind w:firstLine="720"/>
        <w:jc w:val="both"/>
        <w:rPr>
          <w:rFonts w:ascii="Arial Narrow" w:hAnsi="Arial Narrow" w:cs="Times New Roman"/>
          <w:sz w:val="24"/>
          <w:szCs w:val="24"/>
        </w:rPr>
      </w:pPr>
      <w:r w:rsidRPr="001171A3">
        <w:rPr>
          <w:rFonts w:ascii="Arial Narrow" w:hAnsi="Arial Narrow" w:cs="Times New Roman"/>
          <w:sz w:val="24"/>
          <w:szCs w:val="24"/>
        </w:rPr>
        <w:t xml:space="preserve">Penelitian ini menghasilkan tiga temuan fundamental terkait reposisi tindak pidana pencucian uang dalam sistem pemidanaan nasional. Pertama, konstruksi yuridis pengaturan pencucian uang mengalami transformasi signifikan dari rezim hukum pidana khusus dalam Undang-Undang Nomor 8 Tahun 2010 menuju integrasi kodifikasi dalam Undang-Undang Nomor 1 Tahun 2023, dengan perubahan mendasar pada rumusan delik, unsur subjektif, dan mekanisme pertanggungjawaban pidana yang lebih menekankan aspek kesengajaan pelaku. Kedua, reposisi ini membawa implikasi yuridis kompleks terhadap efektivitas penegakan hukum melalui potensi tumpang tindih normatif antara regulasi umum dan khusus, serta menimbulkan tantangan dalam harmonisasi mekanisme pembuktian terbalik dengan asas praduga tidak bersalah yang dijamin dalam sistem peradilan pidana modern. Ketiga, harmonisasi dengan standar internasional </w:t>
      </w:r>
      <w:r w:rsidRPr="001171A3">
        <w:rPr>
          <w:rFonts w:ascii="Arial Narrow" w:hAnsi="Arial Narrow" w:cs="Times New Roman"/>
          <w:i/>
          <w:iCs/>
          <w:sz w:val="24"/>
          <w:szCs w:val="24"/>
        </w:rPr>
        <w:t>Financial Action Task Force</w:t>
      </w:r>
      <w:r w:rsidRPr="001171A3">
        <w:rPr>
          <w:rFonts w:ascii="Arial Narrow" w:hAnsi="Arial Narrow" w:cs="Times New Roman"/>
          <w:sz w:val="24"/>
          <w:szCs w:val="24"/>
        </w:rPr>
        <w:t xml:space="preserve"> menunjukkan kesesuaian dalam aspek kriminalisasi dan cakupan </w:t>
      </w:r>
      <w:r w:rsidRPr="001171A3">
        <w:rPr>
          <w:rFonts w:ascii="Arial Narrow" w:hAnsi="Arial Narrow" w:cs="Times New Roman"/>
          <w:i/>
          <w:iCs/>
          <w:sz w:val="24"/>
          <w:szCs w:val="24"/>
        </w:rPr>
        <w:t>predicate offenses</w:t>
      </w:r>
      <w:r w:rsidRPr="001171A3">
        <w:rPr>
          <w:rFonts w:ascii="Arial Narrow" w:hAnsi="Arial Narrow" w:cs="Times New Roman"/>
          <w:sz w:val="24"/>
          <w:szCs w:val="24"/>
        </w:rPr>
        <w:t>, namun memerlukan penguatan implementatif pada transparansi kepemilikan manfaat, pengawasan profesi penunjang, dan efektivitas kerjasama internasional untuk mencapai rezim anti pencucian uang yang komprehensif sesuai rekomendasi global.</w:t>
      </w:r>
    </w:p>
    <w:p w:rsidR="002421A7" w:rsidRPr="00E57D8C" w:rsidRDefault="002421A7" w:rsidP="002421A7">
      <w:pPr>
        <w:widowControl w:val="0"/>
        <w:spacing w:after="0" w:line="240" w:lineRule="auto"/>
        <w:ind w:right="88" w:firstLine="720"/>
        <w:jc w:val="both"/>
        <w:rPr>
          <w:rFonts w:ascii="Arial Narrow" w:eastAsia="Book Antiqua" w:hAnsi="Arial Narrow" w:cs="Book Antiqua"/>
          <w:sz w:val="24"/>
          <w:szCs w:val="24"/>
        </w:rPr>
      </w:pPr>
    </w:p>
    <w:p w:rsidR="002421A7" w:rsidRPr="00E57D8C" w:rsidRDefault="002421A7" w:rsidP="002421A7">
      <w:pPr>
        <w:pBdr>
          <w:top w:val="nil"/>
          <w:left w:val="nil"/>
          <w:bottom w:val="nil"/>
          <w:right w:val="nil"/>
          <w:between w:val="nil"/>
        </w:pBdr>
        <w:spacing w:before="120" w:after="0" w:line="240" w:lineRule="auto"/>
        <w:ind w:left="200" w:hanging="200"/>
        <w:jc w:val="both"/>
        <w:rPr>
          <w:rFonts w:ascii="Arial Narrow" w:eastAsia="Book Antiqua" w:hAnsi="Arial Narrow" w:cs="Book Antiqua"/>
          <w:b/>
          <w:color w:val="000000"/>
          <w:sz w:val="24"/>
          <w:szCs w:val="24"/>
        </w:rPr>
      </w:pPr>
      <w:r w:rsidRPr="00E57D8C">
        <w:rPr>
          <w:rFonts w:ascii="Arial Narrow" w:eastAsia="Book Antiqua" w:hAnsi="Arial Narrow" w:cs="Book Antiqua"/>
          <w:b/>
          <w:color w:val="000000"/>
          <w:sz w:val="24"/>
          <w:szCs w:val="24"/>
        </w:rPr>
        <w:t>Daftar Pustaka</w:t>
      </w:r>
    </w:p>
    <w:p w:rsidR="00D148F3" w:rsidRDefault="00D148F3" w:rsidP="00D148F3">
      <w:pPr>
        <w:pBdr>
          <w:top w:val="nil"/>
          <w:left w:val="nil"/>
          <w:bottom w:val="nil"/>
          <w:right w:val="nil"/>
          <w:between w:val="nil"/>
        </w:pBdr>
        <w:spacing w:after="0"/>
        <w:ind w:left="720" w:hanging="720"/>
        <w:jc w:val="both"/>
        <w:rPr>
          <w:rFonts w:ascii="Arial Narrow" w:eastAsia="Book Antiqua" w:hAnsi="Arial Narrow" w:cs="Book Antiqua"/>
          <w:color w:val="000000"/>
          <w:sz w:val="24"/>
          <w:szCs w:val="24"/>
        </w:rPr>
      </w:pPr>
    </w:p>
    <w:p w:rsidR="001171A3" w:rsidRPr="001171A3" w:rsidRDefault="001171A3" w:rsidP="001171A3">
      <w:pPr>
        <w:pBdr>
          <w:top w:val="nil"/>
          <w:left w:val="nil"/>
          <w:bottom w:val="nil"/>
          <w:right w:val="nil"/>
          <w:between w:val="nil"/>
        </w:pBdr>
        <w:spacing w:after="0"/>
        <w:ind w:left="720" w:hanging="720"/>
        <w:jc w:val="both"/>
        <w:rPr>
          <w:rFonts w:ascii="Arial Narrow" w:hAnsi="Arial Narrow"/>
          <w:sz w:val="24"/>
          <w:szCs w:val="24"/>
        </w:rPr>
      </w:pPr>
      <w:r w:rsidRPr="001171A3">
        <w:rPr>
          <w:rFonts w:ascii="Arial Narrow" w:hAnsi="Arial Narrow" w:cs="Times New Roman"/>
          <w:sz w:val="24"/>
          <w:szCs w:val="24"/>
        </w:rPr>
        <w:fldChar w:fldCharType="begin" w:fldLock="1"/>
      </w:r>
      <w:r w:rsidRPr="001171A3">
        <w:rPr>
          <w:rFonts w:ascii="Arial Narrow" w:hAnsi="Arial Narrow" w:cs="Times New Roman"/>
          <w:sz w:val="24"/>
          <w:szCs w:val="24"/>
        </w:rPr>
        <w:instrText xml:space="preserve">ADDIN Mendeley Bibliography CSL_BIBLIOGRAPHY </w:instrText>
      </w:r>
      <w:r w:rsidRPr="001171A3">
        <w:rPr>
          <w:rFonts w:ascii="Arial Narrow" w:hAnsi="Arial Narrow" w:cs="Times New Roman"/>
          <w:sz w:val="24"/>
          <w:szCs w:val="24"/>
        </w:rPr>
        <w:fldChar w:fldCharType="separate"/>
      </w:r>
      <w:r w:rsidRPr="001171A3">
        <w:rPr>
          <w:rFonts w:ascii="Arial Narrow" w:hAnsi="Arial Narrow" w:cs="Times New Roman"/>
          <w:noProof/>
          <w:sz w:val="24"/>
          <w:szCs w:val="24"/>
        </w:rPr>
        <w:t xml:space="preserve">Benson, K., &amp; Bociga, D. (2024). Occupation, Organisation, Opportunity, and Oversight: Law Firm Client Accounts and (Anti-)Money Laundering. </w:t>
      </w:r>
      <w:r w:rsidRPr="001171A3">
        <w:rPr>
          <w:rFonts w:ascii="Arial Narrow" w:hAnsi="Arial Narrow" w:cs="Times New Roman"/>
          <w:i/>
          <w:iCs/>
          <w:noProof/>
          <w:sz w:val="24"/>
          <w:szCs w:val="24"/>
        </w:rPr>
        <w:t>European Journal on Criminal Policy and Research</w:t>
      </w:r>
      <w:r w:rsidRPr="001171A3">
        <w:rPr>
          <w:rFonts w:ascii="Arial Narrow" w:hAnsi="Arial Narrow" w:cs="Times New Roman"/>
          <w:noProof/>
          <w:sz w:val="24"/>
          <w:szCs w:val="24"/>
        </w:rPr>
        <w:t xml:space="preserve">, </w:t>
      </w:r>
      <w:r w:rsidRPr="001171A3">
        <w:rPr>
          <w:rFonts w:ascii="Arial Narrow" w:hAnsi="Arial Narrow" w:cs="Times New Roman"/>
          <w:i/>
          <w:iCs/>
          <w:noProof/>
          <w:sz w:val="24"/>
          <w:szCs w:val="24"/>
        </w:rPr>
        <w:t>30</w:t>
      </w:r>
      <w:r w:rsidRPr="001171A3">
        <w:rPr>
          <w:rFonts w:ascii="Arial Narrow" w:hAnsi="Arial Narrow" w:cs="Times New Roman"/>
          <w:noProof/>
          <w:sz w:val="24"/>
          <w:szCs w:val="24"/>
        </w:rPr>
        <w:t>(3), 449–473. https://doi.org/10.1007/s10610-024-09581-1</w:t>
      </w:r>
    </w:p>
    <w:p w:rsidR="001171A3" w:rsidRPr="001171A3" w:rsidRDefault="001171A3" w:rsidP="001171A3">
      <w:pPr>
        <w:widowControl w:val="0"/>
        <w:autoSpaceDE w:val="0"/>
        <w:autoSpaceDN w:val="0"/>
        <w:adjustRightInd w:val="0"/>
        <w:spacing w:line="240" w:lineRule="auto"/>
        <w:ind w:left="480" w:hanging="480"/>
        <w:jc w:val="both"/>
        <w:rPr>
          <w:rFonts w:ascii="Arial Narrow" w:hAnsi="Arial Narrow" w:cs="Times New Roman"/>
          <w:noProof/>
          <w:sz w:val="24"/>
          <w:szCs w:val="24"/>
        </w:rPr>
      </w:pPr>
      <w:r w:rsidRPr="001171A3">
        <w:rPr>
          <w:rFonts w:ascii="Arial Narrow" w:hAnsi="Arial Narrow" w:cs="Times New Roman"/>
          <w:noProof/>
          <w:sz w:val="24"/>
          <w:szCs w:val="24"/>
        </w:rPr>
        <w:t xml:space="preserve">Gerbrands, P., Unger, B., Getzner, M., &amp; Ferwerda, J. (2022). The effect of anti-money laundering policies: an empirical network analysis. </w:t>
      </w:r>
      <w:r w:rsidRPr="001171A3">
        <w:rPr>
          <w:rFonts w:ascii="Arial Narrow" w:hAnsi="Arial Narrow" w:cs="Times New Roman"/>
          <w:i/>
          <w:iCs/>
          <w:noProof/>
          <w:sz w:val="24"/>
          <w:szCs w:val="24"/>
        </w:rPr>
        <w:t>EPJ Data Science</w:t>
      </w:r>
      <w:r w:rsidRPr="001171A3">
        <w:rPr>
          <w:rFonts w:ascii="Arial Narrow" w:hAnsi="Arial Narrow" w:cs="Times New Roman"/>
          <w:noProof/>
          <w:sz w:val="24"/>
          <w:szCs w:val="24"/>
        </w:rPr>
        <w:t xml:space="preserve">, </w:t>
      </w:r>
      <w:r w:rsidRPr="001171A3">
        <w:rPr>
          <w:rFonts w:ascii="Arial Narrow" w:hAnsi="Arial Narrow" w:cs="Times New Roman"/>
          <w:i/>
          <w:iCs/>
          <w:noProof/>
          <w:sz w:val="24"/>
          <w:szCs w:val="24"/>
        </w:rPr>
        <w:t>11</w:t>
      </w:r>
      <w:r w:rsidRPr="001171A3">
        <w:rPr>
          <w:rFonts w:ascii="Arial Narrow" w:hAnsi="Arial Narrow" w:cs="Times New Roman"/>
          <w:noProof/>
          <w:sz w:val="24"/>
          <w:szCs w:val="24"/>
        </w:rPr>
        <w:t>(1). https://doi.org/10.1140/epjds/s13688-022-00328-8</w:t>
      </w:r>
    </w:p>
    <w:p w:rsidR="001171A3" w:rsidRPr="001171A3" w:rsidRDefault="001171A3" w:rsidP="001171A3">
      <w:pPr>
        <w:widowControl w:val="0"/>
        <w:autoSpaceDE w:val="0"/>
        <w:autoSpaceDN w:val="0"/>
        <w:adjustRightInd w:val="0"/>
        <w:spacing w:line="240" w:lineRule="auto"/>
        <w:ind w:left="480" w:hanging="480"/>
        <w:jc w:val="both"/>
        <w:rPr>
          <w:rFonts w:ascii="Arial Narrow" w:hAnsi="Arial Narrow" w:cs="Times New Roman"/>
          <w:noProof/>
          <w:sz w:val="24"/>
          <w:szCs w:val="24"/>
        </w:rPr>
      </w:pPr>
      <w:r w:rsidRPr="001171A3">
        <w:rPr>
          <w:rFonts w:ascii="Arial Narrow" w:hAnsi="Arial Narrow" w:cs="Times New Roman"/>
          <w:noProof/>
          <w:sz w:val="24"/>
          <w:szCs w:val="24"/>
        </w:rPr>
        <w:t xml:space="preserve">Ginting, Y. P. (2021). Pemberantasan Pencucian Uang dengan Pendekatan Follow the Money dan Follow the Suspect. </w:t>
      </w:r>
      <w:r w:rsidRPr="001171A3">
        <w:rPr>
          <w:rFonts w:ascii="Arial Narrow" w:hAnsi="Arial Narrow" w:cs="Times New Roman"/>
          <w:i/>
          <w:iCs/>
          <w:noProof/>
          <w:sz w:val="24"/>
          <w:szCs w:val="24"/>
        </w:rPr>
        <w:t>Mulawarman Law Review</w:t>
      </w:r>
      <w:r w:rsidRPr="001171A3">
        <w:rPr>
          <w:rFonts w:ascii="Arial Narrow" w:hAnsi="Arial Narrow" w:cs="Times New Roman"/>
          <w:noProof/>
          <w:sz w:val="24"/>
          <w:szCs w:val="24"/>
        </w:rPr>
        <w:t xml:space="preserve">, </w:t>
      </w:r>
      <w:r w:rsidRPr="001171A3">
        <w:rPr>
          <w:rFonts w:ascii="Arial Narrow" w:hAnsi="Arial Narrow" w:cs="Times New Roman"/>
          <w:i/>
          <w:iCs/>
          <w:noProof/>
          <w:sz w:val="24"/>
          <w:szCs w:val="24"/>
        </w:rPr>
        <w:t>6</w:t>
      </w:r>
      <w:r w:rsidRPr="001171A3">
        <w:rPr>
          <w:rFonts w:ascii="Arial Narrow" w:hAnsi="Arial Narrow" w:cs="Times New Roman"/>
          <w:noProof/>
          <w:sz w:val="24"/>
          <w:szCs w:val="24"/>
        </w:rPr>
        <w:t>(32), 105–114. https://doi.org/10.30872/mulrev.v6i2.442</w:t>
      </w:r>
    </w:p>
    <w:p w:rsidR="001171A3" w:rsidRDefault="001171A3" w:rsidP="001171A3">
      <w:pPr>
        <w:widowControl w:val="0"/>
        <w:autoSpaceDE w:val="0"/>
        <w:autoSpaceDN w:val="0"/>
        <w:adjustRightInd w:val="0"/>
        <w:spacing w:line="240" w:lineRule="auto"/>
        <w:ind w:left="480" w:hanging="480"/>
        <w:jc w:val="both"/>
        <w:rPr>
          <w:rFonts w:ascii="Arial Narrow" w:hAnsi="Arial Narrow" w:cs="Times New Roman"/>
          <w:noProof/>
          <w:sz w:val="24"/>
          <w:szCs w:val="24"/>
        </w:rPr>
      </w:pPr>
      <w:r w:rsidRPr="001171A3">
        <w:rPr>
          <w:rFonts w:ascii="Arial Narrow" w:hAnsi="Arial Narrow" w:cs="Times New Roman"/>
          <w:noProof/>
          <w:sz w:val="24"/>
          <w:szCs w:val="24"/>
        </w:rPr>
        <w:t xml:space="preserve">Hartanto, D., &amp; Hidayat, N. (2021). Application of Reverse Evidence for The Crime of Money Laundering Based on The Origin of Narcotics. </w:t>
      </w:r>
      <w:r w:rsidRPr="001171A3">
        <w:rPr>
          <w:rFonts w:ascii="Arial Narrow" w:hAnsi="Arial Narrow" w:cs="Times New Roman"/>
          <w:i/>
          <w:iCs/>
          <w:noProof/>
          <w:sz w:val="24"/>
          <w:szCs w:val="24"/>
        </w:rPr>
        <w:t>Croatian International Relations Review</w:t>
      </w:r>
      <w:r w:rsidRPr="001171A3">
        <w:rPr>
          <w:rFonts w:ascii="Arial Narrow" w:hAnsi="Arial Narrow" w:cs="Times New Roman"/>
          <w:noProof/>
          <w:sz w:val="24"/>
          <w:szCs w:val="24"/>
        </w:rPr>
        <w:t xml:space="preserve">, </w:t>
      </w:r>
      <w:r w:rsidRPr="001171A3">
        <w:rPr>
          <w:rFonts w:ascii="Arial Narrow" w:hAnsi="Arial Narrow" w:cs="Times New Roman"/>
          <w:i/>
          <w:iCs/>
          <w:noProof/>
          <w:sz w:val="24"/>
          <w:szCs w:val="24"/>
        </w:rPr>
        <w:t>27</w:t>
      </w:r>
      <w:r w:rsidRPr="001171A3">
        <w:rPr>
          <w:rFonts w:ascii="Arial Narrow" w:hAnsi="Arial Narrow" w:cs="Times New Roman"/>
          <w:noProof/>
          <w:sz w:val="24"/>
          <w:szCs w:val="24"/>
        </w:rPr>
        <w:t>(88), 14–33. https://doi.org/10.2478/CIRR-2021-0009</w:t>
      </w:r>
    </w:p>
    <w:p w:rsidR="00C56CC3" w:rsidRPr="001171A3" w:rsidRDefault="00C56CC3" w:rsidP="001171A3">
      <w:pPr>
        <w:widowControl w:val="0"/>
        <w:autoSpaceDE w:val="0"/>
        <w:autoSpaceDN w:val="0"/>
        <w:adjustRightInd w:val="0"/>
        <w:spacing w:line="240" w:lineRule="auto"/>
        <w:ind w:left="480" w:hanging="480"/>
        <w:jc w:val="both"/>
        <w:rPr>
          <w:rFonts w:ascii="Arial Narrow" w:hAnsi="Arial Narrow" w:cs="Times New Roman"/>
          <w:noProof/>
          <w:sz w:val="24"/>
          <w:szCs w:val="24"/>
        </w:rPr>
      </w:pPr>
      <w:r w:rsidRPr="00C56CC3">
        <w:rPr>
          <w:rFonts w:ascii="Arial Narrow" w:hAnsi="Arial Narrow"/>
          <w:sz w:val="24"/>
          <w:szCs w:val="24"/>
        </w:rPr>
        <w:t xml:space="preserve">Hasbi Simanjuntak, M. (2025). Analysis of Money Laundering Using Banking System with Criminal Origin of Fraud (Supreme Court Decision Study No. 2770 K / Pid.Sus / 2024). </w:t>
      </w:r>
      <w:r w:rsidRPr="00C56CC3">
        <w:rPr>
          <w:rFonts w:ascii="Arial Narrow" w:hAnsi="Arial Narrow"/>
          <w:i/>
          <w:iCs/>
          <w:sz w:val="24"/>
          <w:szCs w:val="24"/>
        </w:rPr>
        <w:t>International Asia Of Law and Money Laundering (IAML)</w:t>
      </w:r>
      <w:r w:rsidRPr="00C56CC3">
        <w:rPr>
          <w:rFonts w:ascii="Arial Narrow" w:hAnsi="Arial Narrow"/>
          <w:sz w:val="24"/>
          <w:szCs w:val="24"/>
        </w:rPr>
        <w:t xml:space="preserve">, </w:t>
      </w:r>
      <w:r w:rsidRPr="00C56CC3">
        <w:rPr>
          <w:rFonts w:ascii="Arial Narrow" w:hAnsi="Arial Narrow"/>
          <w:i/>
          <w:iCs/>
          <w:sz w:val="24"/>
          <w:szCs w:val="24"/>
        </w:rPr>
        <w:t>4</w:t>
      </w:r>
      <w:r w:rsidRPr="00C56CC3">
        <w:rPr>
          <w:rFonts w:ascii="Arial Narrow" w:hAnsi="Arial Narrow"/>
          <w:sz w:val="24"/>
          <w:szCs w:val="24"/>
        </w:rPr>
        <w:t>(1), 13–19. https://doi.org/10.59712/iaml.v4i1.114</w:t>
      </w:r>
    </w:p>
    <w:p w:rsidR="001171A3" w:rsidRPr="001171A3" w:rsidRDefault="001171A3" w:rsidP="001171A3">
      <w:pPr>
        <w:widowControl w:val="0"/>
        <w:autoSpaceDE w:val="0"/>
        <w:autoSpaceDN w:val="0"/>
        <w:adjustRightInd w:val="0"/>
        <w:spacing w:line="240" w:lineRule="auto"/>
        <w:ind w:left="480" w:hanging="480"/>
        <w:jc w:val="both"/>
        <w:rPr>
          <w:rFonts w:ascii="Arial Narrow" w:hAnsi="Arial Narrow" w:cs="Times New Roman"/>
          <w:noProof/>
          <w:sz w:val="24"/>
          <w:szCs w:val="24"/>
        </w:rPr>
      </w:pPr>
      <w:r w:rsidRPr="001171A3">
        <w:rPr>
          <w:rFonts w:ascii="Arial Narrow" w:hAnsi="Arial Narrow" w:cs="Times New Roman"/>
          <w:noProof/>
          <w:sz w:val="24"/>
          <w:szCs w:val="24"/>
        </w:rPr>
        <w:t xml:space="preserve">Korejo, M. S., Rajamanickam, R., &amp; Muhamad, M. H. (2021). The concept of money laundering: a </w:t>
      </w:r>
      <w:r w:rsidRPr="001171A3">
        <w:rPr>
          <w:rFonts w:ascii="Arial Narrow" w:hAnsi="Arial Narrow" w:cs="Times New Roman"/>
          <w:noProof/>
          <w:sz w:val="24"/>
          <w:szCs w:val="24"/>
        </w:rPr>
        <w:lastRenderedPageBreak/>
        <w:t xml:space="preserve">quest for legal definition. </w:t>
      </w:r>
      <w:r w:rsidRPr="001171A3">
        <w:rPr>
          <w:rFonts w:ascii="Arial Narrow" w:hAnsi="Arial Narrow" w:cs="Times New Roman"/>
          <w:i/>
          <w:iCs/>
          <w:noProof/>
          <w:sz w:val="24"/>
          <w:szCs w:val="24"/>
        </w:rPr>
        <w:t>Journal of Money Laundering Control</w:t>
      </w:r>
      <w:r w:rsidRPr="001171A3">
        <w:rPr>
          <w:rFonts w:ascii="Arial Narrow" w:hAnsi="Arial Narrow" w:cs="Times New Roman"/>
          <w:noProof/>
          <w:sz w:val="24"/>
          <w:szCs w:val="24"/>
        </w:rPr>
        <w:t xml:space="preserve">, </w:t>
      </w:r>
      <w:r w:rsidRPr="001171A3">
        <w:rPr>
          <w:rFonts w:ascii="Arial Narrow" w:hAnsi="Arial Narrow" w:cs="Times New Roman"/>
          <w:i/>
          <w:iCs/>
          <w:noProof/>
          <w:sz w:val="24"/>
          <w:szCs w:val="24"/>
        </w:rPr>
        <w:t>24</w:t>
      </w:r>
      <w:r w:rsidRPr="001171A3">
        <w:rPr>
          <w:rFonts w:ascii="Arial Narrow" w:hAnsi="Arial Narrow" w:cs="Times New Roman"/>
          <w:noProof/>
          <w:sz w:val="24"/>
          <w:szCs w:val="24"/>
        </w:rPr>
        <w:t>(4), 725–736. https://doi.org/10.1108/JMLC-05-2020-0045</w:t>
      </w:r>
    </w:p>
    <w:p w:rsidR="001171A3" w:rsidRPr="001171A3" w:rsidRDefault="001171A3" w:rsidP="001171A3">
      <w:pPr>
        <w:widowControl w:val="0"/>
        <w:autoSpaceDE w:val="0"/>
        <w:autoSpaceDN w:val="0"/>
        <w:adjustRightInd w:val="0"/>
        <w:spacing w:line="240" w:lineRule="auto"/>
        <w:ind w:left="480" w:hanging="480"/>
        <w:jc w:val="both"/>
        <w:rPr>
          <w:rFonts w:ascii="Arial Narrow" w:hAnsi="Arial Narrow" w:cs="Times New Roman"/>
          <w:noProof/>
          <w:sz w:val="24"/>
          <w:szCs w:val="24"/>
        </w:rPr>
      </w:pPr>
      <w:r w:rsidRPr="001171A3">
        <w:rPr>
          <w:rFonts w:ascii="Arial Narrow" w:hAnsi="Arial Narrow" w:cs="Times New Roman"/>
          <w:noProof/>
          <w:sz w:val="24"/>
          <w:szCs w:val="24"/>
        </w:rPr>
        <w:t xml:space="preserve">Kramer, J. A., Blokland, A. A. J., Kleemans, E. R., &amp; Soudijn, M. R. J. (2024). Money laundering as a service: Investigating business-like behavior in money laundering networks in the Netherlands. </w:t>
      </w:r>
      <w:r w:rsidRPr="001171A3">
        <w:rPr>
          <w:rFonts w:ascii="Arial Narrow" w:hAnsi="Arial Narrow" w:cs="Times New Roman"/>
          <w:i/>
          <w:iCs/>
          <w:noProof/>
          <w:sz w:val="24"/>
          <w:szCs w:val="24"/>
        </w:rPr>
        <w:t>Trends in Organized Crime</w:t>
      </w:r>
      <w:r w:rsidRPr="001171A3">
        <w:rPr>
          <w:rFonts w:ascii="Arial Narrow" w:hAnsi="Arial Narrow" w:cs="Times New Roman"/>
          <w:noProof/>
          <w:sz w:val="24"/>
          <w:szCs w:val="24"/>
        </w:rPr>
        <w:t xml:space="preserve">, </w:t>
      </w:r>
      <w:r w:rsidRPr="001171A3">
        <w:rPr>
          <w:rFonts w:ascii="Arial Narrow" w:hAnsi="Arial Narrow" w:cs="Times New Roman"/>
          <w:i/>
          <w:iCs/>
          <w:noProof/>
          <w:sz w:val="24"/>
          <w:szCs w:val="24"/>
        </w:rPr>
        <w:t>27</w:t>
      </w:r>
      <w:r w:rsidRPr="001171A3">
        <w:rPr>
          <w:rFonts w:ascii="Arial Narrow" w:hAnsi="Arial Narrow" w:cs="Times New Roman"/>
          <w:noProof/>
          <w:sz w:val="24"/>
          <w:szCs w:val="24"/>
        </w:rPr>
        <w:t>(3), 314–341. https://doi.org/10.1007/s12117-022-09475-w</w:t>
      </w:r>
    </w:p>
    <w:p w:rsidR="001171A3" w:rsidRPr="001171A3" w:rsidRDefault="001171A3" w:rsidP="001171A3">
      <w:pPr>
        <w:widowControl w:val="0"/>
        <w:autoSpaceDE w:val="0"/>
        <w:autoSpaceDN w:val="0"/>
        <w:adjustRightInd w:val="0"/>
        <w:spacing w:line="240" w:lineRule="auto"/>
        <w:ind w:left="480" w:hanging="480"/>
        <w:jc w:val="both"/>
        <w:rPr>
          <w:rFonts w:ascii="Arial Narrow" w:hAnsi="Arial Narrow" w:cs="Times New Roman"/>
          <w:noProof/>
          <w:sz w:val="24"/>
          <w:szCs w:val="24"/>
        </w:rPr>
      </w:pPr>
      <w:r w:rsidRPr="001171A3">
        <w:rPr>
          <w:rFonts w:ascii="Arial Narrow" w:hAnsi="Arial Narrow" w:cs="Times New Roman"/>
          <w:noProof/>
          <w:sz w:val="24"/>
          <w:szCs w:val="24"/>
        </w:rPr>
        <w:t xml:space="preserve">Langdale, J. (2022). Money laundering in Australian casinos. </w:t>
      </w:r>
      <w:r w:rsidRPr="001171A3">
        <w:rPr>
          <w:rFonts w:ascii="Arial Narrow" w:hAnsi="Arial Narrow" w:cs="Times New Roman"/>
          <w:i/>
          <w:iCs/>
          <w:noProof/>
          <w:sz w:val="24"/>
          <w:szCs w:val="24"/>
        </w:rPr>
        <w:t>Journal of Money Laundering Control</w:t>
      </w:r>
      <w:r w:rsidRPr="001171A3">
        <w:rPr>
          <w:rFonts w:ascii="Arial Narrow" w:hAnsi="Arial Narrow" w:cs="Times New Roman"/>
          <w:noProof/>
          <w:sz w:val="24"/>
          <w:szCs w:val="24"/>
        </w:rPr>
        <w:t xml:space="preserve">, </w:t>
      </w:r>
      <w:r w:rsidRPr="001171A3">
        <w:rPr>
          <w:rFonts w:ascii="Arial Narrow" w:hAnsi="Arial Narrow" w:cs="Times New Roman"/>
          <w:i/>
          <w:iCs/>
          <w:noProof/>
          <w:sz w:val="24"/>
          <w:szCs w:val="24"/>
        </w:rPr>
        <w:t>26</w:t>
      </w:r>
      <w:r w:rsidRPr="001171A3">
        <w:rPr>
          <w:rFonts w:ascii="Arial Narrow" w:hAnsi="Arial Narrow" w:cs="Times New Roman"/>
          <w:noProof/>
          <w:sz w:val="24"/>
          <w:szCs w:val="24"/>
        </w:rPr>
        <w:t>(7), 99–109. https://doi.org/10.1108/JMLC-09-2022-0136</w:t>
      </w:r>
    </w:p>
    <w:p w:rsidR="001171A3" w:rsidRPr="001171A3" w:rsidRDefault="001171A3" w:rsidP="001171A3">
      <w:pPr>
        <w:widowControl w:val="0"/>
        <w:autoSpaceDE w:val="0"/>
        <w:autoSpaceDN w:val="0"/>
        <w:adjustRightInd w:val="0"/>
        <w:spacing w:line="240" w:lineRule="auto"/>
        <w:ind w:left="480" w:hanging="480"/>
        <w:jc w:val="both"/>
        <w:rPr>
          <w:rFonts w:ascii="Arial Narrow" w:hAnsi="Arial Narrow" w:cs="Times New Roman"/>
          <w:noProof/>
          <w:sz w:val="24"/>
          <w:szCs w:val="24"/>
        </w:rPr>
      </w:pPr>
      <w:r w:rsidRPr="001171A3">
        <w:rPr>
          <w:rFonts w:ascii="Arial Narrow" w:hAnsi="Arial Narrow" w:cs="Times New Roman"/>
          <w:noProof/>
          <w:sz w:val="24"/>
          <w:szCs w:val="24"/>
        </w:rPr>
        <w:t xml:space="preserve">Lasmadi, S., &amp; Sudarti, E. (2021). Pembuktian Terbalik Pada Tindak Pidana Pencucian Uang. </w:t>
      </w:r>
      <w:r w:rsidRPr="001171A3">
        <w:rPr>
          <w:rFonts w:ascii="Arial Narrow" w:hAnsi="Arial Narrow" w:cs="Times New Roman"/>
          <w:i/>
          <w:iCs/>
          <w:noProof/>
          <w:sz w:val="24"/>
          <w:szCs w:val="24"/>
        </w:rPr>
        <w:t>Jurnal Ilmu Hukum</w:t>
      </w:r>
      <w:r w:rsidRPr="001171A3">
        <w:rPr>
          <w:rFonts w:ascii="Arial Narrow" w:hAnsi="Arial Narrow" w:cs="Times New Roman"/>
          <w:noProof/>
          <w:sz w:val="24"/>
          <w:szCs w:val="24"/>
        </w:rPr>
        <w:t xml:space="preserve">, </w:t>
      </w:r>
      <w:r w:rsidRPr="001171A3">
        <w:rPr>
          <w:rFonts w:ascii="Arial Narrow" w:hAnsi="Arial Narrow" w:cs="Times New Roman"/>
          <w:i/>
          <w:iCs/>
          <w:noProof/>
          <w:sz w:val="24"/>
          <w:szCs w:val="24"/>
        </w:rPr>
        <w:t>5</w:t>
      </w:r>
      <w:r w:rsidRPr="001171A3">
        <w:rPr>
          <w:rFonts w:ascii="Arial Narrow" w:hAnsi="Arial Narrow" w:cs="Times New Roman"/>
          <w:noProof/>
          <w:sz w:val="24"/>
          <w:szCs w:val="24"/>
        </w:rPr>
        <w:t>(2), 17–32. https://doi.org/10.24246/jrh.2021.v5.i2.p199-218</w:t>
      </w:r>
    </w:p>
    <w:p w:rsidR="001171A3" w:rsidRPr="001171A3" w:rsidRDefault="001171A3" w:rsidP="001171A3">
      <w:pPr>
        <w:widowControl w:val="0"/>
        <w:autoSpaceDE w:val="0"/>
        <w:autoSpaceDN w:val="0"/>
        <w:adjustRightInd w:val="0"/>
        <w:spacing w:line="240" w:lineRule="auto"/>
        <w:ind w:left="480" w:hanging="480"/>
        <w:jc w:val="both"/>
        <w:rPr>
          <w:rFonts w:ascii="Arial Narrow" w:hAnsi="Arial Narrow" w:cs="Times New Roman"/>
          <w:noProof/>
          <w:sz w:val="24"/>
          <w:szCs w:val="24"/>
        </w:rPr>
      </w:pPr>
      <w:r w:rsidRPr="001171A3">
        <w:rPr>
          <w:rFonts w:ascii="Arial Narrow" w:hAnsi="Arial Narrow" w:cs="Times New Roman"/>
          <w:noProof/>
          <w:sz w:val="24"/>
          <w:szCs w:val="24"/>
        </w:rPr>
        <w:t xml:space="preserve">Marzuki, P. M. (2021). </w:t>
      </w:r>
      <w:r w:rsidRPr="001171A3">
        <w:rPr>
          <w:rFonts w:ascii="Arial Narrow" w:hAnsi="Arial Narrow" w:cs="Times New Roman"/>
          <w:i/>
          <w:iCs/>
          <w:noProof/>
          <w:sz w:val="24"/>
          <w:szCs w:val="24"/>
        </w:rPr>
        <w:t>Pengantar Ilmu Hukum</w:t>
      </w:r>
      <w:r w:rsidRPr="001171A3">
        <w:rPr>
          <w:rFonts w:ascii="Arial Narrow" w:hAnsi="Arial Narrow" w:cs="Times New Roman"/>
          <w:noProof/>
          <w:sz w:val="24"/>
          <w:szCs w:val="24"/>
        </w:rPr>
        <w:t>. Prenada Media. https://books.google.co.id/books?id=eUVIEAAAQBAJ</w:t>
      </w:r>
    </w:p>
    <w:p w:rsidR="001171A3" w:rsidRDefault="001171A3" w:rsidP="001171A3">
      <w:pPr>
        <w:widowControl w:val="0"/>
        <w:autoSpaceDE w:val="0"/>
        <w:autoSpaceDN w:val="0"/>
        <w:adjustRightInd w:val="0"/>
        <w:spacing w:line="240" w:lineRule="auto"/>
        <w:ind w:left="480" w:hanging="480"/>
        <w:jc w:val="both"/>
        <w:rPr>
          <w:rFonts w:ascii="Arial Narrow" w:hAnsi="Arial Narrow" w:cs="Times New Roman"/>
          <w:noProof/>
          <w:sz w:val="24"/>
          <w:szCs w:val="24"/>
        </w:rPr>
      </w:pPr>
      <w:r w:rsidRPr="001171A3">
        <w:rPr>
          <w:rFonts w:ascii="Arial Narrow" w:hAnsi="Arial Narrow" w:cs="Times New Roman"/>
          <w:noProof/>
          <w:sz w:val="24"/>
          <w:szCs w:val="24"/>
        </w:rPr>
        <w:t xml:space="preserve">Mouriska, N., &amp; Purwati, A. (2025). Peran Financial Action Task Force (Fatf) Dalam Harmonisasi Penanggulangan Pencucian Uang Global. </w:t>
      </w:r>
      <w:r w:rsidRPr="001171A3">
        <w:rPr>
          <w:rFonts w:ascii="Arial Narrow" w:hAnsi="Arial Narrow" w:cs="Times New Roman"/>
          <w:i/>
          <w:iCs/>
          <w:noProof/>
          <w:sz w:val="24"/>
          <w:szCs w:val="24"/>
        </w:rPr>
        <w:t>Jurnal Riset Multidisiplin Edukasi</w:t>
      </w:r>
      <w:r w:rsidRPr="001171A3">
        <w:rPr>
          <w:rFonts w:ascii="Arial Narrow" w:hAnsi="Arial Narrow" w:cs="Times New Roman"/>
          <w:noProof/>
          <w:sz w:val="24"/>
          <w:szCs w:val="24"/>
        </w:rPr>
        <w:t xml:space="preserve">, </w:t>
      </w:r>
      <w:r w:rsidRPr="001171A3">
        <w:rPr>
          <w:rFonts w:ascii="Arial Narrow" w:hAnsi="Arial Narrow" w:cs="Times New Roman"/>
          <w:i/>
          <w:iCs/>
          <w:noProof/>
          <w:sz w:val="24"/>
          <w:szCs w:val="24"/>
        </w:rPr>
        <w:t>2</w:t>
      </w:r>
      <w:r w:rsidRPr="001171A3">
        <w:rPr>
          <w:rFonts w:ascii="Arial Narrow" w:hAnsi="Arial Narrow" w:cs="Times New Roman"/>
          <w:noProof/>
          <w:sz w:val="24"/>
          <w:szCs w:val="24"/>
        </w:rPr>
        <w:t>(8), 321–334. https://doi.org/10.71282/jurmie.v2i8.813</w:t>
      </w:r>
    </w:p>
    <w:p w:rsidR="00C56CC3" w:rsidRPr="001171A3" w:rsidRDefault="00C56CC3" w:rsidP="00C56CC3">
      <w:pPr>
        <w:widowControl w:val="0"/>
        <w:autoSpaceDE w:val="0"/>
        <w:autoSpaceDN w:val="0"/>
        <w:adjustRightInd w:val="0"/>
        <w:spacing w:line="240" w:lineRule="auto"/>
        <w:ind w:left="480" w:hanging="480"/>
        <w:jc w:val="both"/>
        <w:rPr>
          <w:rFonts w:ascii="Arial Narrow" w:hAnsi="Arial Narrow" w:cs="Times New Roman"/>
          <w:noProof/>
          <w:sz w:val="24"/>
          <w:szCs w:val="24"/>
        </w:rPr>
      </w:pPr>
      <w:r w:rsidRPr="00C56CC3">
        <w:rPr>
          <w:rFonts w:ascii="Arial Narrow" w:hAnsi="Arial Narrow"/>
          <w:sz w:val="24"/>
          <w:szCs w:val="24"/>
        </w:rPr>
        <w:t xml:space="preserve">Maswandi, A. S. (2024). </w:t>
      </w:r>
      <w:r w:rsidRPr="00C56CC3">
        <w:rPr>
          <w:rFonts w:ascii="Arial Narrow" w:hAnsi="Arial Narrow"/>
          <w:i/>
          <w:iCs/>
          <w:sz w:val="24"/>
          <w:szCs w:val="24"/>
        </w:rPr>
        <w:t>Metode Penelitian Hukum Normatif (Mekanisme Dalam Penulisan Ilmiah), Mazda Media, Malang</w:t>
      </w:r>
      <w:r w:rsidRPr="00C56CC3">
        <w:rPr>
          <w:rFonts w:ascii="Arial Narrow" w:hAnsi="Arial Narrow"/>
          <w:sz w:val="24"/>
          <w:szCs w:val="24"/>
        </w:rPr>
        <w:t>.</w:t>
      </w:r>
    </w:p>
    <w:p w:rsidR="001171A3" w:rsidRPr="001171A3" w:rsidRDefault="001171A3" w:rsidP="001171A3">
      <w:pPr>
        <w:widowControl w:val="0"/>
        <w:autoSpaceDE w:val="0"/>
        <w:autoSpaceDN w:val="0"/>
        <w:adjustRightInd w:val="0"/>
        <w:spacing w:line="240" w:lineRule="auto"/>
        <w:ind w:left="480" w:hanging="480"/>
        <w:jc w:val="both"/>
        <w:rPr>
          <w:rFonts w:ascii="Arial Narrow" w:hAnsi="Arial Narrow" w:cs="Times New Roman"/>
          <w:noProof/>
          <w:sz w:val="24"/>
          <w:szCs w:val="24"/>
        </w:rPr>
      </w:pPr>
      <w:r w:rsidRPr="001171A3">
        <w:rPr>
          <w:rFonts w:ascii="Arial Narrow" w:hAnsi="Arial Narrow" w:cs="Times New Roman"/>
          <w:noProof/>
          <w:sz w:val="24"/>
          <w:szCs w:val="24"/>
        </w:rPr>
        <w:t xml:space="preserve">Nyreröd, T., Andreadakis, S., &amp; Spagnolo, G. (2023). Money laundering and sanctions enforcement: large rewards, leniency and witness protection for whistleblowers. </w:t>
      </w:r>
      <w:r w:rsidRPr="001171A3">
        <w:rPr>
          <w:rFonts w:ascii="Arial Narrow" w:hAnsi="Arial Narrow" w:cs="Times New Roman"/>
          <w:i/>
          <w:iCs/>
          <w:noProof/>
          <w:sz w:val="24"/>
          <w:szCs w:val="24"/>
        </w:rPr>
        <w:t>Journal of Money Laundering Control</w:t>
      </w:r>
      <w:r w:rsidRPr="001171A3">
        <w:rPr>
          <w:rFonts w:ascii="Arial Narrow" w:hAnsi="Arial Narrow" w:cs="Times New Roman"/>
          <w:noProof/>
          <w:sz w:val="24"/>
          <w:szCs w:val="24"/>
        </w:rPr>
        <w:t xml:space="preserve">, </w:t>
      </w:r>
      <w:r w:rsidRPr="001171A3">
        <w:rPr>
          <w:rFonts w:ascii="Arial Narrow" w:hAnsi="Arial Narrow" w:cs="Times New Roman"/>
          <w:i/>
          <w:iCs/>
          <w:noProof/>
          <w:sz w:val="24"/>
          <w:szCs w:val="24"/>
        </w:rPr>
        <w:t>26</w:t>
      </w:r>
      <w:r w:rsidRPr="001171A3">
        <w:rPr>
          <w:rFonts w:ascii="Arial Narrow" w:hAnsi="Arial Narrow" w:cs="Times New Roman"/>
          <w:noProof/>
          <w:sz w:val="24"/>
          <w:szCs w:val="24"/>
        </w:rPr>
        <w:t>(5), 912–925. https://doi.org/10.1108/JMLC-05-2022-0068</w:t>
      </w:r>
    </w:p>
    <w:p w:rsidR="001171A3" w:rsidRPr="001171A3" w:rsidRDefault="001171A3" w:rsidP="001171A3">
      <w:pPr>
        <w:widowControl w:val="0"/>
        <w:autoSpaceDE w:val="0"/>
        <w:autoSpaceDN w:val="0"/>
        <w:adjustRightInd w:val="0"/>
        <w:spacing w:line="240" w:lineRule="auto"/>
        <w:ind w:left="480" w:hanging="480"/>
        <w:jc w:val="both"/>
        <w:rPr>
          <w:rFonts w:ascii="Arial Narrow" w:hAnsi="Arial Narrow" w:cs="Times New Roman"/>
          <w:noProof/>
          <w:sz w:val="24"/>
          <w:szCs w:val="24"/>
        </w:rPr>
      </w:pPr>
      <w:r w:rsidRPr="001171A3">
        <w:rPr>
          <w:rFonts w:ascii="Arial Narrow" w:hAnsi="Arial Narrow" w:cs="Times New Roman"/>
          <w:noProof/>
          <w:sz w:val="24"/>
          <w:szCs w:val="24"/>
        </w:rPr>
        <w:t xml:space="preserve">Riccardi, M., &amp; Reuter, P. (2024). The Varieties of Money Laundering and the Determinants of Offender Choices. </w:t>
      </w:r>
      <w:r w:rsidRPr="001171A3">
        <w:rPr>
          <w:rFonts w:ascii="Arial Narrow" w:hAnsi="Arial Narrow" w:cs="Times New Roman"/>
          <w:i/>
          <w:iCs/>
          <w:noProof/>
          <w:sz w:val="24"/>
          <w:szCs w:val="24"/>
        </w:rPr>
        <w:t>European Journal on Criminal Policy and Research</w:t>
      </w:r>
      <w:r w:rsidRPr="001171A3">
        <w:rPr>
          <w:rFonts w:ascii="Arial Narrow" w:hAnsi="Arial Narrow" w:cs="Times New Roman"/>
          <w:noProof/>
          <w:sz w:val="24"/>
          <w:szCs w:val="24"/>
        </w:rPr>
        <w:t xml:space="preserve">, </w:t>
      </w:r>
      <w:r w:rsidRPr="001171A3">
        <w:rPr>
          <w:rFonts w:ascii="Arial Narrow" w:hAnsi="Arial Narrow" w:cs="Times New Roman"/>
          <w:i/>
          <w:iCs/>
          <w:noProof/>
          <w:sz w:val="24"/>
          <w:szCs w:val="24"/>
        </w:rPr>
        <w:t>30</w:t>
      </w:r>
      <w:r w:rsidRPr="001171A3">
        <w:rPr>
          <w:rFonts w:ascii="Arial Narrow" w:hAnsi="Arial Narrow" w:cs="Times New Roman"/>
          <w:noProof/>
          <w:sz w:val="24"/>
          <w:szCs w:val="24"/>
        </w:rPr>
        <w:t>(3), 333–358. https://doi.org/10.1007/s10610-024-09603-y</w:t>
      </w:r>
    </w:p>
    <w:p w:rsidR="001171A3" w:rsidRPr="001171A3" w:rsidRDefault="001171A3" w:rsidP="001171A3">
      <w:pPr>
        <w:widowControl w:val="0"/>
        <w:autoSpaceDE w:val="0"/>
        <w:autoSpaceDN w:val="0"/>
        <w:adjustRightInd w:val="0"/>
        <w:spacing w:line="240" w:lineRule="auto"/>
        <w:ind w:left="480" w:hanging="480"/>
        <w:jc w:val="both"/>
        <w:rPr>
          <w:rFonts w:ascii="Arial Narrow" w:hAnsi="Arial Narrow" w:cs="Times New Roman"/>
          <w:noProof/>
          <w:sz w:val="24"/>
          <w:szCs w:val="24"/>
        </w:rPr>
      </w:pPr>
      <w:r w:rsidRPr="001171A3">
        <w:rPr>
          <w:rFonts w:ascii="Arial Narrow" w:hAnsi="Arial Narrow" w:cs="Times New Roman"/>
          <w:noProof/>
          <w:sz w:val="24"/>
          <w:szCs w:val="24"/>
        </w:rPr>
        <w:t xml:space="preserve">Ronaldo, R.-, Emirzon, J., &amp; Yuningsih, H. (2022). Pelaksanaan Pembuktian Tindak Pidana Pencucian Uang Dalam Hasil Kejahatan Narkotika. </w:t>
      </w:r>
      <w:r w:rsidRPr="001171A3">
        <w:rPr>
          <w:rFonts w:ascii="Arial Narrow" w:hAnsi="Arial Narrow" w:cs="Times New Roman"/>
          <w:i/>
          <w:iCs/>
          <w:noProof/>
          <w:sz w:val="24"/>
          <w:szCs w:val="24"/>
        </w:rPr>
        <w:t>Lex LATA</w:t>
      </w:r>
      <w:r w:rsidRPr="001171A3">
        <w:rPr>
          <w:rFonts w:ascii="Arial Narrow" w:hAnsi="Arial Narrow" w:cs="Times New Roman"/>
          <w:noProof/>
          <w:sz w:val="24"/>
          <w:szCs w:val="24"/>
        </w:rPr>
        <w:t xml:space="preserve">, </w:t>
      </w:r>
      <w:r w:rsidRPr="001171A3">
        <w:rPr>
          <w:rFonts w:ascii="Arial Narrow" w:hAnsi="Arial Narrow" w:cs="Times New Roman"/>
          <w:i/>
          <w:iCs/>
          <w:noProof/>
          <w:sz w:val="24"/>
          <w:szCs w:val="24"/>
        </w:rPr>
        <w:t>4</w:t>
      </w:r>
      <w:r w:rsidRPr="001171A3">
        <w:rPr>
          <w:rFonts w:ascii="Arial Narrow" w:hAnsi="Arial Narrow" w:cs="Times New Roman"/>
          <w:noProof/>
          <w:sz w:val="24"/>
          <w:szCs w:val="24"/>
        </w:rPr>
        <w:t>(1). https://doi.org/10.28946/lexl.v4i1.1296</w:t>
      </w:r>
    </w:p>
    <w:p w:rsidR="001171A3" w:rsidRPr="001171A3" w:rsidRDefault="001171A3" w:rsidP="001171A3">
      <w:pPr>
        <w:widowControl w:val="0"/>
        <w:autoSpaceDE w:val="0"/>
        <w:autoSpaceDN w:val="0"/>
        <w:adjustRightInd w:val="0"/>
        <w:spacing w:line="240" w:lineRule="auto"/>
        <w:ind w:left="480" w:hanging="480"/>
        <w:jc w:val="both"/>
        <w:rPr>
          <w:rFonts w:ascii="Arial Narrow" w:hAnsi="Arial Narrow" w:cs="Times New Roman"/>
          <w:noProof/>
          <w:sz w:val="24"/>
          <w:szCs w:val="24"/>
        </w:rPr>
      </w:pPr>
      <w:r w:rsidRPr="001171A3">
        <w:rPr>
          <w:rFonts w:ascii="Arial Narrow" w:hAnsi="Arial Narrow" w:cs="Times New Roman"/>
          <w:noProof/>
          <w:sz w:val="24"/>
          <w:szCs w:val="24"/>
        </w:rPr>
        <w:t xml:space="preserve">Rosikhu, M. (2020). Peran Pusat Pelaporan Dan Analisis Transaksi Keuangan Dalam Pencegahan Dan Pemberantasan Tindak Pidana Pencucian Uang. </w:t>
      </w:r>
      <w:r w:rsidRPr="001171A3">
        <w:rPr>
          <w:rFonts w:ascii="Arial Narrow" w:hAnsi="Arial Narrow" w:cs="Times New Roman"/>
          <w:i/>
          <w:iCs/>
          <w:noProof/>
          <w:sz w:val="24"/>
          <w:szCs w:val="24"/>
        </w:rPr>
        <w:t>IJLJ: Indonesian Journal of Law and Justice</w:t>
      </w:r>
      <w:r w:rsidRPr="001171A3">
        <w:rPr>
          <w:rFonts w:ascii="Arial Narrow" w:hAnsi="Arial Narrow" w:cs="Times New Roman"/>
          <w:noProof/>
          <w:sz w:val="24"/>
          <w:szCs w:val="24"/>
        </w:rPr>
        <w:t xml:space="preserve">, </w:t>
      </w:r>
      <w:r w:rsidRPr="001171A3">
        <w:rPr>
          <w:rFonts w:ascii="Arial Narrow" w:hAnsi="Arial Narrow" w:cs="Times New Roman"/>
          <w:i/>
          <w:iCs/>
          <w:noProof/>
          <w:sz w:val="24"/>
          <w:szCs w:val="24"/>
        </w:rPr>
        <w:t>1</w:t>
      </w:r>
      <w:r w:rsidRPr="001171A3">
        <w:rPr>
          <w:rFonts w:ascii="Arial Narrow" w:hAnsi="Arial Narrow" w:cs="Times New Roman"/>
          <w:noProof/>
          <w:sz w:val="24"/>
          <w:szCs w:val="24"/>
        </w:rPr>
        <w:t>(2), 21–30. https://doi.org/10.30812/fundamental.v1i2.811</w:t>
      </w:r>
    </w:p>
    <w:p w:rsidR="001171A3" w:rsidRPr="001171A3" w:rsidRDefault="001171A3" w:rsidP="001171A3">
      <w:pPr>
        <w:widowControl w:val="0"/>
        <w:autoSpaceDE w:val="0"/>
        <w:autoSpaceDN w:val="0"/>
        <w:adjustRightInd w:val="0"/>
        <w:spacing w:line="240" w:lineRule="auto"/>
        <w:ind w:left="480" w:hanging="480"/>
        <w:jc w:val="both"/>
        <w:rPr>
          <w:rFonts w:ascii="Arial Narrow" w:hAnsi="Arial Narrow" w:cs="Times New Roman"/>
          <w:noProof/>
          <w:sz w:val="24"/>
          <w:szCs w:val="24"/>
        </w:rPr>
      </w:pPr>
      <w:r w:rsidRPr="001171A3">
        <w:rPr>
          <w:rFonts w:ascii="Arial Narrow" w:hAnsi="Arial Narrow" w:cs="Times New Roman"/>
          <w:noProof/>
          <w:sz w:val="24"/>
          <w:szCs w:val="24"/>
        </w:rPr>
        <w:t xml:space="preserve">Soekanto, S. (2020). </w:t>
      </w:r>
      <w:r w:rsidRPr="001171A3">
        <w:rPr>
          <w:rFonts w:ascii="Arial Narrow" w:hAnsi="Arial Narrow" w:cs="Times New Roman"/>
          <w:i/>
          <w:iCs/>
          <w:noProof/>
          <w:sz w:val="24"/>
          <w:szCs w:val="24"/>
        </w:rPr>
        <w:t>Penelitian hukum normatif: suatu tinjauan singkat</w:t>
      </w:r>
      <w:r w:rsidRPr="001171A3">
        <w:rPr>
          <w:rFonts w:ascii="Arial Narrow" w:hAnsi="Arial Narrow" w:cs="Times New Roman"/>
          <w:noProof/>
          <w:sz w:val="24"/>
          <w:szCs w:val="24"/>
        </w:rPr>
        <w:t>. Penerbit CV. Rajawali. https://books.google.co.id/books?id=_Y1GPAAACAAJ</w:t>
      </w:r>
    </w:p>
    <w:p w:rsidR="001171A3" w:rsidRDefault="001171A3" w:rsidP="001171A3">
      <w:pPr>
        <w:widowControl w:val="0"/>
        <w:autoSpaceDE w:val="0"/>
        <w:autoSpaceDN w:val="0"/>
        <w:adjustRightInd w:val="0"/>
        <w:spacing w:line="240" w:lineRule="auto"/>
        <w:ind w:left="480" w:hanging="480"/>
        <w:jc w:val="both"/>
        <w:rPr>
          <w:rFonts w:ascii="Arial Narrow" w:hAnsi="Arial Narrow" w:cs="Times New Roman"/>
          <w:noProof/>
          <w:sz w:val="24"/>
          <w:szCs w:val="24"/>
        </w:rPr>
      </w:pPr>
      <w:r w:rsidRPr="001171A3">
        <w:rPr>
          <w:rFonts w:ascii="Arial Narrow" w:hAnsi="Arial Narrow" w:cs="Times New Roman"/>
          <w:noProof/>
          <w:sz w:val="24"/>
          <w:szCs w:val="24"/>
        </w:rPr>
        <w:t xml:space="preserve">Suartha, I. D. M., Martha, I. D. A. G. M., &amp; Hermanto, B. (2022). Between Mental Illness, Criminal Policy Reform, and Human Rights: Discourse on Reformulation of The Article 44 Indonesia Criminal Code. </w:t>
      </w:r>
      <w:r w:rsidRPr="001171A3">
        <w:rPr>
          <w:rFonts w:ascii="Arial Narrow" w:hAnsi="Arial Narrow" w:cs="Times New Roman"/>
          <w:i/>
          <w:iCs/>
          <w:noProof/>
          <w:sz w:val="24"/>
          <w:szCs w:val="24"/>
        </w:rPr>
        <w:t>International Journal of Criminal Justice Sciences</w:t>
      </w:r>
      <w:r w:rsidRPr="001171A3">
        <w:rPr>
          <w:rFonts w:ascii="Arial Narrow" w:hAnsi="Arial Narrow" w:cs="Times New Roman"/>
          <w:noProof/>
          <w:sz w:val="24"/>
          <w:szCs w:val="24"/>
        </w:rPr>
        <w:t xml:space="preserve">, </w:t>
      </w:r>
      <w:r w:rsidRPr="001171A3">
        <w:rPr>
          <w:rFonts w:ascii="Arial Narrow" w:hAnsi="Arial Narrow" w:cs="Times New Roman"/>
          <w:i/>
          <w:iCs/>
          <w:noProof/>
          <w:sz w:val="24"/>
          <w:szCs w:val="24"/>
        </w:rPr>
        <w:t>17</w:t>
      </w:r>
      <w:r w:rsidRPr="001171A3">
        <w:rPr>
          <w:rFonts w:ascii="Arial Narrow" w:hAnsi="Arial Narrow" w:cs="Times New Roman"/>
          <w:noProof/>
          <w:sz w:val="24"/>
          <w:szCs w:val="24"/>
        </w:rPr>
        <w:t>(1), 1–21. https://doi.org/10.5281/zenodo.4756086</w:t>
      </w:r>
    </w:p>
    <w:p w:rsidR="00C56CC3" w:rsidRDefault="00C56CC3" w:rsidP="00C56CC3">
      <w:pPr>
        <w:widowControl w:val="0"/>
        <w:autoSpaceDE w:val="0"/>
        <w:autoSpaceDN w:val="0"/>
        <w:adjustRightInd w:val="0"/>
        <w:spacing w:line="240" w:lineRule="auto"/>
        <w:ind w:left="480" w:hanging="480"/>
        <w:jc w:val="both"/>
        <w:rPr>
          <w:rFonts w:ascii="Arial Narrow" w:hAnsi="Arial Narrow" w:cs="Times New Roman"/>
          <w:noProof/>
          <w:sz w:val="24"/>
          <w:szCs w:val="24"/>
        </w:rPr>
      </w:pPr>
      <w:r w:rsidRPr="00C56CC3">
        <w:rPr>
          <w:rFonts w:ascii="Arial Narrow" w:hAnsi="Arial Narrow"/>
          <w:sz w:val="24"/>
          <w:szCs w:val="24"/>
        </w:rPr>
        <w:t xml:space="preserve">Sitompul, A., &amp; Hasibuan, P. (2021). The morality of law enforcement agencies (Police, Prosecutor’s Office, KPK) in money laundering with the origin of the corruption. </w:t>
      </w:r>
      <w:r w:rsidRPr="00C56CC3">
        <w:rPr>
          <w:rFonts w:ascii="Arial Narrow" w:hAnsi="Arial Narrow"/>
          <w:i/>
          <w:iCs/>
          <w:sz w:val="24"/>
          <w:szCs w:val="24"/>
        </w:rPr>
        <w:t>European Science Review</w:t>
      </w:r>
      <w:r w:rsidRPr="00C56CC3">
        <w:rPr>
          <w:rFonts w:ascii="Arial Narrow" w:hAnsi="Arial Narrow"/>
          <w:sz w:val="24"/>
          <w:szCs w:val="24"/>
        </w:rPr>
        <w:t>, (9-10), 55-63.</w:t>
      </w:r>
    </w:p>
    <w:p w:rsidR="00C56CC3" w:rsidRDefault="00C56CC3" w:rsidP="00C56CC3">
      <w:pPr>
        <w:widowControl w:val="0"/>
        <w:autoSpaceDE w:val="0"/>
        <w:autoSpaceDN w:val="0"/>
        <w:adjustRightInd w:val="0"/>
        <w:spacing w:line="240" w:lineRule="auto"/>
        <w:ind w:left="480" w:hanging="480"/>
        <w:jc w:val="both"/>
        <w:rPr>
          <w:rFonts w:ascii="Arial Narrow" w:hAnsi="Arial Narrow" w:cs="Times New Roman"/>
          <w:noProof/>
          <w:sz w:val="24"/>
          <w:szCs w:val="24"/>
        </w:rPr>
      </w:pPr>
      <w:r w:rsidRPr="00C56CC3">
        <w:rPr>
          <w:rFonts w:ascii="Arial Narrow" w:hAnsi="Arial Narrow"/>
          <w:sz w:val="24"/>
          <w:szCs w:val="24"/>
        </w:rPr>
        <w:t xml:space="preserve">Sitompul, A., &amp; Sitompul, M. N. (2020, February). The Combination Of Money Laundering Crime </w:t>
      </w:r>
      <w:r w:rsidRPr="00C56CC3">
        <w:rPr>
          <w:rFonts w:ascii="Arial Narrow" w:hAnsi="Arial Narrow"/>
          <w:sz w:val="24"/>
          <w:szCs w:val="24"/>
        </w:rPr>
        <w:lastRenderedPageBreak/>
        <w:t xml:space="preserve">With The Origin Of Narkotics Crime To Islamic Law. In </w:t>
      </w:r>
      <w:r w:rsidRPr="00C56CC3">
        <w:rPr>
          <w:rFonts w:ascii="Arial Narrow" w:hAnsi="Arial Narrow"/>
          <w:i/>
          <w:iCs/>
          <w:sz w:val="24"/>
          <w:szCs w:val="24"/>
        </w:rPr>
        <w:t>Proceeding International Seminar of Islamic Studies</w:t>
      </w:r>
      <w:r w:rsidRPr="00C56CC3">
        <w:rPr>
          <w:rFonts w:ascii="Arial Narrow" w:hAnsi="Arial Narrow"/>
          <w:sz w:val="24"/>
          <w:szCs w:val="24"/>
        </w:rPr>
        <w:t xml:space="preserve"> (Vol. 1, No. 1, pp. 671-681).</w:t>
      </w:r>
    </w:p>
    <w:p w:rsidR="00C56CC3" w:rsidRDefault="00C56CC3" w:rsidP="00C56CC3">
      <w:pPr>
        <w:widowControl w:val="0"/>
        <w:autoSpaceDE w:val="0"/>
        <w:autoSpaceDN w:val="0"/>
        <w:adjustRightInd w:val="0"/>
        <w:spacing w:line="240" w:lineRule="auto"/>
        <w:ind w:left="480" w:hanging="480"/>
        <w:jc w:val="both"/>
        <w:rPr>
          <w:rFonts w:ascii="Arial Narrow" w:hAnsi="Arial Narrow" w:cs="Times New Roman"/>
          <w:noProof/>
          <w:sz w:val="24"/>
          <w:szCs w:val="24"/>
        </w:rPr>
      </w:pPr>
      <w:r w:rsidRPr="00C56CC3">
        <w:rPr>
          <w:rFonts w:ascii="Arial Narrow" w:hAnsi="Arial Narrow"/>
          <w:sz w:val="24"/>
          <w:szCs w:val="24"/>
        </w:rPr>
        <w:t xml:space="preserve">Sitompul, A. (2025). Cryptocurrency Based Money Laundering in Indonesia. </w:t>
      </w:r>
      <w:r w:rsidRPr="00C56CC3">
        <w:rPr>
          <w:rFonts w:ascii="Arial Narrow" w:hAnsi="Arial Narrow"/>
          <w:i/>
          <w:iCs/>
          <w:sz w:val="24"/>
          <w:szCs w:val="24"/>
        </w:rPr>
        <w:t>International Asia Of Law and Money Laundering (IAML)</w:t>
      </w:r>
      <w:r w:rsidRPr="00C56CC3">
        <w:rPr>
          <w:rFonts w:ascii="Arial Narrow" w:hAnsi="Arial Narrow"/>
          <w:sz w:val="24"/>
          <w:szCs w:val="24"/>
        </w:rPr>
        <w:t xml:space="preserve">, </w:t>
      </w:r>
      <w:r w:rsidRPr="00C56CC3">
        <w:rPr>
          <w:rFonts w:ascii="Arial Narrow" w:hAnsi="Arial Narrow"/>
          <w:i/>
          <w:iCs/>
          <w:sz w:val="24"/>
          <w:szCs w:val="24"/>
        </w:rPr>
        <w:t>4</w:t>
      </w:r>
      <w:r w:rsidRPr="00C56CC3">
        <w:rPr>
          <w:rFonts w:ascii="Arial Narrow" w:hAnsi="Arial Narrow"/>
          <w:sz w:val="24"/>
          <w:szCs w:val="24"/>
        </w:rPr>
        <w:t xml:space="preserve">(1), 7–12. </w:t>
      </w:r>
      <w:hyperlink r:id="rId9" w:history="1">
        <w:r w:rsidRPr="00C56CC3">
          <w:rPr>
            <w:rStyle w:val="Hyperlink"/>
            <w:rFonts w:ascii="Arial Narrow" w:hAnsi="Arial Narrow"/>
            <w:sz w:val="24"/>
            <w:szCs w:val="24"/>
          </w:rPr>
          <w:t>https://doi.org/10.59712/iaml.v4i1.113</w:t>
        </w:r>
      </w:hyperlink>
    </w:p>
    <w:p w:rsidR="00C56CC3" w:rsidRDefault="00C56CC3" w:rsidP="00C56CC3">
      <w:pPr>
        <w:widowControl w:val="0"/>
        <w:autoSpaceDE w:val="0"/>
        <w:autoSpaceDN w:val="0"/>
        <w:adjustRightInd w:val="0"/>
        <w:spacing w:line="240" w:lineRule="auto"/>
        <w:ind w:left="480" w:hanging="480"/>
        <w:jc w:val="both"/>
        <w:rPr>
          <w:rFonts w:ascii="Arial Narrow" w:hAnsi="Arial Narrow" w:cs="Times New Roman"/>
          <w:noProof/>
          <w:sz w:val="24"/>
          <w:szCs w:val="24"/>
        </w:rPr>
      </w:pPr>
      <w:r w:rsidRPr="00C56CC3">
        <w:rPr>
          <w:rFonts w:ascii="Arial Narrow" w:hAnsi="Arial Narrow"/>
          <w:sz w:val="24"/>
          <w:szCs w:val="24"/>
        </w:rPr>
        <w:t xml:space="preserve">Surnada, S., Kusbianto, K., &amp; Sitompul, A. (2024). Proof Of Criminal Origin Related To Money Laundering In Mutual Fund Investment Activities In Supreme Court Decision Number 2937 K/Pid. Sus/2021. </w:t>
      </w:r>
      <w:r w:rsidRPr="00C56CC3">
        <w:rPr>
          <w:rFonts w:ascii="Arial Narrow" w:hAnsi="Arial Narrow"/>
          <w:i/>
          <w:iCs/>
          <w:sz w:val="24"/>
          <w:szCs w:val="24"/>
        </w:rPr>
        <w:t>Legalpreneur Journal</w:t>
      </w:r>
      <w:r w:rsidRPr="00C56CC3">
        <w:rPr>
          <w:rFonts w:ascii="Arial Narrow" w:hAnsi="Arial Narrow"/>
          <w:sz w:val="24"/>
          <w:szCs w:val="24"/>
        </w:rPr>
        <w:t xml:space="preserve">, </w:t>
      </w:r>
      <w:r w:rsidRPr="00C56CC3">
        <w:rPr>
          <w:rFonts w:ascii="Arial Narrow" w:hAnsi="Arial Narrow"/>
          <w:i/>
          <w:iCs/>
          <w:sz w:val="24"/>
          <w:szCs w:val="24"/>
        </w:rPr>
        <w:t>3</w:t>
      </w:r>
      <w:r w:rsidRPr="00C56CC3">
        <w:rPr>
          <w:rFonts w:ascii="Arial Narrow" w:hAnsi="Arial Narrow"/>
          <w:sz w:val="24"/>
          <w:szCs w:val="24"/>
        </w:rPr>
        <w:t>(1), 314-327.</w:t>
      </w:r>
    </w:p>
    <w:p w:rsidR="00C56CC3" w:rsidRPr="001171A3" w:rsidRDefault="00C56CC3" w:rsidP="00C56CC3">
      <w:pPr>
        <w:widowControl w:val="0"/>
        <w:autoSpaceDE w:val="0"/>
        <w:autoSpaceDN w:val="0"/>
        <w:adjustRightInd w:val="0"/>
        <w:spacing w:line="240" w:lineRule="auto"/>
        <w:ind w:left="480" w:hanging="480"/>
        <w:jc w:val="both"/>
        <w:rPr>
          <w:rFonts w:ascii="Arial Narrow" w:hAnsi="Arial Narrow" w:cs="Times New Roman"/>
          <w:noProof/>
          <w:sz w:val="24"/>
          <w:szCs w:val="24"/>
        </w:rPr>
      </w:pPr>
      <w:r w:rsidRPr="00C56CC3">
        <w:rPr>
          <w:rFonts w:ascii="Arial Narrow" w:hAnsi="Arial Narrow"/>
          <w:sz w:val="24"/>
          <w:szCs w:val="24"/>
        </w:rPr>
        <w:t xml:space="preserve">Sitompul, A., &amp; Aisyah, A. (2024). Fair Law in Money Laundering with the Origin of Corruption with the Concept of Asset Seizure. </w:t>
      </w:r>
      <w:r w:rsidRPr="00C56CC3">
        <w:rPr>
          <w:rFonts w:ascii="Arial Narrow" w:hAnsi="Arial Narrow"/>
          <w:i/>
          <w:iCs/>
          <w:sz w:val="24"/>
          <w:szCs w:val="24"/>
        </w:rPr>
        <w:t>International Asia Of Law and Money Laundering (IAML)</w:t>
      </w:r>
      <w:r w:rsidRPr="00C56CC3">
        <w:rPr>
          <w:rFonts w:ascii="Arial Narrow" w:hAnsi="Arial Narrow"/>
          <w:sz w:val="24"/>
          <w:szCs w:val="24"/>
        </w:rPr>
        <w:t xml:space="preserve">, </w:t>
      </w:r>
      <w:r w:rsidRPr="00C56CC3">
        <w:rPr>
          <w:rFonts w:ascii="Arial Narrow" w:hAnsi="Arial Narrow"/>
          <w:i/>
          <w:iCs/>
          <w:sz w:val="24"/>
          <w:szCs w:val="24"/>
        </w:rPr>
        <w:t>3</w:t>
      </w:r>
      <w:r w:rsidRPr="00C56CC3">
        <w:rPr>
          <w:rFonts w:ascii="Arial Narrow" w:hAnsi="Arial Narrow"/>
          <w:sz w:val="24"/>
          <w:szCs w:val="24"/>
        </w:rPr>
        <w:t>(3), 156-162.</w:t>
      </w:r>
    </w:p>
    <w:p w:rsidR="001171A3" w:rsidRDefault="001171A3" w:rsidP="001171A3">
      <w:pPr>
        <w:widowControl w:val="0"/>
        <w:autoSpaceDE w:val="0"/>
        <w:autoSpaceDN w:val="0"/>
        <w:adjustRightInd w:val="0"/>
        <w:spacing w:line="240" w:lineRule="auto"/>
        <w:ind w:left="480" w:hanging="480"/>
        <w:jc w:val="both"/>
        <w:rPr>
          <w:rFonts w:ascii="Arial Narrow" w:hAnsi="Arial Narrow" w:cs="Times New Roman"/>
          <w:noProof/>
          <w:sz w:val="24"/>
          <w:szCs w:val="24"/>
        </w:rPr>
      </w:pPr>
      <w:r w:rsidRPr="001171A3">
        <w:rPr>
          <w:rFonts w:ascii="Arial Narrow" w:hAnsi="Arial Narrow" w:cs="Times New Roman"/>
          <w:noProof/>
          <w:sz w:val="24"/>
          <w:szCs w:val="24"/>
        </w:rPr>
        <w:t xml:space="preserve">Tuliakov, V. (2025). Transnational Criminal Law, Sovereignty and International Justice: Harmonization Challenges and Policy Evolution. </w:t>
      </w:r>
      <w:r w:rsidRPr="001171A3">
        <w:rPr>
          <w:rFonts w:ascii="Arial Narrow" w:hAnsi="Arial Narrow" w:cs="Times New Roman"/>
          <w:i/>
          <w:iCs/>
          <w:noProof/>
          <w:sz w:val="24"/>
          <w:szCs w:val="24"/>
        </w:rPr>
        <w:t>International Annals of Criminology</w:t>
      </w:r>
      <w:r w:rsidRPr="001171A3">
        <w:rPr>
          <w:rFonts w:ascii="Arial Narrow" w:hAnsi="Arial Narrow" w:cs="Times New Roman"/>
          <w:noProof/>
          <w:sz w:val="24"/>
          <w:szCs w:val="24"/>
        </w:rPr>
        <w:t>, 383–405. https://doi.org/10.1017/cri.2025.10076</w:t>
      </w:r>
    </w:p>
    <w:p w:rsidR="00C56CC3" w:rsidRPr="001171A3" w:rsidRDefault="00C56CC3" w:rsidP="00C56CC3">
      <w:pPr>
        <w:widowControl w:val="0"/>
        <w:autoSpaceDE w:val="0"/>
        <w:autoSpaceDN w:val="0"/>
        <w:adjustRightInd w:val="0"/>
        <w:spacing w:line="240" w:lineRule="auto"/>
        <w:ind w:left="480" w:hanging="480"/>
        <w:jc w:val="both"/>
        <w:rPr>
          <w:rFonts w:ascii="Arial Narrow" w:hAnsi="Arial Narrow" w:cs="Times New Roman"/>
          <w:noProof/>
          <w:sz w:val="24"/>
          <w:szCs w:val="24"/>
        </w:rPr>
      </w:pPr>
      <w:r w:rsidRPr="001171A3">
        <w:rPr>
          <w:rFonts w:ascii="Arial Narrow" w:hAnsi="Arial Narrow" w:cs="Times New Roman"/>
          <w:noProof/>
          <w:sz w:val="24"/>
          <w:szCs w:val="24"/>
        </w:rPr>
        <w:t xml:space="preserve">Undang-Undang Republik Indonesia. (2023). </w:t>
      </w:r>
      <w:r w:rsidRPr="001171A3">
        <w:rPr>
          <w:rFonts w:ascii="Arial Narrow" w:hAnsi="Arial Narrow" w:cs="Times New Roman"/>
          <w:i/>
          <w:iCs/>
          <w:noProof/>
          <w:sz w:val="24"/>
          <w:szCs w:val="24"/>
        </w:rPr>
        <w:t>Nomor 1 Tahun 2023 Tentang Kitab Undang-Undang Hukum Pidana</w:t>
      </w:r>
      <w:r w:rsidRPr="001171A3">
        <w:rPr>
          <w:rFonts w:ascii="Arial Narrow" w:hAnsi="Arial Narrow" w:cs="Times New Roman"/>
          <w:noProof/>
          <w:sz w:val="24"/>
          <w:szCs w:val="24"/>
        </w:rPr>
        <w:t xml:space="preserve">. </w:t>
      </w:r>
      <w:r w:rsidRPr="001171A3">
        <w:rPr>
          <w:rFonts w:ascii="Arial Narrow" w:hAnsi="Arial Narrow" w:cs="Times New Roman"/>
          <w:i/>
          <w:iCs/>
          <w:noProof/>
          <w:sz w:val="24"/>
          <w:szCs w:val="24"/>
        </w:rPr>
        <w:t>16100</w:t>
      </w:r>
      <w:r w:rsidRPr="001171A3">
        <w:rPr>
          <w:rFonts w:ascii="Arial Narrow" w:hAnsi="Arial Narrow" w:cs="Times New Roman"/>
          <w:noProof/>
          <w:sz w:val="24"/>
          <w:szCs w:val="24"/>
        </w:rPr>
        <w:t>. https://peraturan.bpk.go.id/Details/234935/uu-no-1-tahun-2023</w:t>
      </w:r>
    </w:p>
    <w:p w:rsidR="00C56CC3" w:rsidRPr="001171A3" w:rsidRDefault="00C56CC3" w:rsidP="00C56CC3">
      <w:pPr>
        <w:widowControl w:val="0"/>
        <w:autoSpaceDE w:val="0"/>
        <w:autoSpaceDN w:val="0"/>
        <w:adjustRightInd w:val="0"/>
        <w:spacing w:line="240" w:lineRule="auto"/>
        <w:ind w:left="480" w:hanging="480"/>
        <w:jc w:val="both"/>
        <w:rPr>
          <w:rFonts w:ascii="Arial Narrow" w:hAnsi="Arial Narrow" w:cs="Times New Roman"/>
          <w:noProof/>
          <w:sz w:val="24"/>
          <w:szCs w:val="24"/>
        </w:rPr>
      </w:pPr>
      <w:r w:rsidRPr="001171A3">
        <w:rPr>
          <w:rFonts w:ascii="Arial Narrow" w:hAnsi="Arial Narrow" w:cs="Times New Roman"/>
          <w:noProof/>
          <w:sz w:val="24"/>
          <w:szCs w:val="24"/>
        </w:rPr>
        <w:t xml:space="preserve">Undang -Undang Republik Indonesia. (2023). </w:t>
      </w:r>
      <w:r w:rsidRPr="001171A3">
        <w:rPr>
          <w:rFonts w:ascii="Arial Narrow" w:hAnsi="Arial Narrow" w:cs="Times New Roman"/>
          <w:i/>
          <w:iCs/>
          <w:noProof/>
          <w:sz w:val="24"/>
          <w:szCs w:val="24"/>
        </w:rPr>
        <w:t>Nomor 1 Tahun 2023 Tentang Kitab Undang-Undang Hukum Pidana</w:t>
      </w:r>
      <w:r w:rsidRPr="001171A3">
        <w:rPr>
          <w:rFonts w:ascii="Arial Narrow" w:hAnsi="Arial Narrow" w:cs="Times New Roman"/>
          <w:noProof/>
          <w:sz w:val="24"/>
          <w:szCs w:val="24"/>
        </w:rPr>
        <w:t xml:space="preserve">. </w:t>
      </w:r>
      <w:r w:rsidRPr="001171A3">
        <w:rPr>
          <w:rFonts w:ascii="Arial Narrow" w:hAnsi="Arial Narrow" w:cs="Times New Roman"/>
          <w:i/>
          <w:iCs/>
          <w:noProof/>
          <w:sz w:val="24"/>
          <w:szCs w:val="24"/>
        </w:rPr>
        <w:t>16100</w:t>
      </w:r>
      <w:r w:rsidRPr="001171A3">
        <w:rPr>
          <w:rFonts w:ascii="Arial Narrow" w:hAnsi="Arial Narrow" w:cs="Times New Roman"/>
          <w:noProof/>
          <w:sz w:val="24"/>
          <w:szCs w:val="24"/>
        </w:rPr>
        <w:t>.</w:t>
      </w:r>
    </w:p>
    <w:p w:rsidR="001171A3" w:rsidRPr="001171A3" w:rsidRDefault="001171A3" w:rsidP="001171A3">
      <w:pPr>
        <w:widowControl w:val="0"/>
        <w:autoSpaceDE w:val="0"/>
        <w:autoSpaceDN w:val="0"/>
        <w:adjustRightInd w:val="0"/>
        <w:spacing w:line="240" w:lineRule="auto"/>
        <w:ind w:left="480" w:hanging="480"/>
        <w:jc w:val="both"/>
        <w:rPr>
          <w:rFonts w:ascii="Arial Narrow" w:hAnsi="Arial Narrow" w:cs="Times New Roman"/>
          <w:noProof/>
          <w:sz w:val="24"/>
        </w:rPr>
      </w:pPr>
      <w:r w:rsidRPr="001171A3">
        <w:rPr>
          <w:rFonts w:ascii="Arial Narrow" w:hAnsi="Arial Narrow" w:cs="Times New Roman"/>
          <w:noProof/>
          <w:sz w:val="24"/>
          <w:szCs w:val="24"/>
        </w:rPr>
        <w:t xml:space="preserve">Wahyuningsih, S. E., &amp; Rismanto, R. (2025). Kebijakan Penegakan Hukum Pidana Terhadap Penanggulangan Money Laundering Dalam Rangka Pembaharuan Hukum Pidana Di Indonesia. </w:t>
      </w:r>
      <w:r w:rsidRPr="001171A3">
        <w:rPr>
          <w:rFonts w:ascii="Arial Narrow" w:hAnsi="Arial Narrow" w:cs="Times New Roman"/>
          <w:i/>
          <w:iCs/>
          <w:noProof/>
          <w:sz w:val="24"/>
          <w:szCs w:val="24"/>
        </w:rPr>
        <w:t>Jurnal Pembaharuan Hukum</w:t>
      </w:r>
      <w:r w:rsidRPr="001171A3">
        <w:rPr>
          <w:rFonts w:ascii="Arial Narrow" w:hAnsi="Arial Narrow" w:cs="Times New Roman"/>
          <w:noProof/>
          <w:sz w:val="24"/>
          <w:szCs w:val="24"/>
        </w:rPr>
        <w:t xml:space="preserve">, </w:t>
      </w:r>
      <w:r w:rsidRPr="001171A3">
        <w:rPr>
          <w:rFonts w:ascii="Arial Narrow" w:hAnsi="Arial Narrow" w:cs="Times New Roman"/>
          <w:i/>
          <w:iCs/>
          <w:noProof/>
          <w:sz w:val="24"/>
          <w:szCs w:val="24"/>
        </w:rPr>
        <w:t>2</w:t>
      </w:r>
      <w:r w:rsidRPr="001171A3">
        <w:rPr>
          <w:rFonts w:ascii="Arial Narrow" w:hAnsi="Arial Narrow" w:cs="Times New Roman"/>
          <w:noProof/>
          <w:sz w:val="24"/>
          <w:szCs w:val="24"/>
        </w:rPr>
        <w:t>(1), 46. https://doi.org/10.26532/jph.v2i1.1414</w:t>
      </w:r>
    </w:p>
    <w:p w:rsidR="001171A3" w:rsidRPr="001171A3" w:rsidRDefault="001171A3" w:rsidP="00C56CC3">
      <w:pPr>
        <w:spacing w:line="240" w:lineRule="auto"/>
        <w:jc w:val="both"/>
        <w:rPr>
          <w:rFonts w:ascii="Arial Narrow" w:hAnsi="Arial Narrow" w:cs="Times New Roman"/>
          <w:sz w:val="24"/>
          <w:szCs w:val="24"/>
        </w:rPr>
      </w:pPr>
      <w:r w:rsidRPr="001171A3">
        <w:rPr>
          <w:rFonts w:ascii="Arial Narrow" w:hAnsi="Arial Narrow" w:cs="Times New Roman"/>
          <w:sz w:val="24"/>
          <w:szCs w:val="24"/>
        </w:rPr>
        <w:fldChar w:fldCharType="end"/>
      </w:r>
    </w:p>
    <w:p w:rsidR="00C56CC3" w:rsidRDefault="00C56CC3" w:rsidP="00C56CC3">
      <w:pPr>
        <w:widowControl w:val="0"/>
        <w:autoSpaceDE w:val="0"/>
        <w:autoSpaceDN w:val="0"/>
        <w:adjustRightInd w:val="0"/>
        <w:spacing w:line="240" w:lineRule="auto"/>
        <w:ind w:left="480" w:hanging="480"/>
        <w:jc w:val="both"/>
        <w:rPr>
          <w:rFonts w:ascii="Arial Narrow" w:hAnsi="Arial Narrow" w:cs="Times New Roman"/>
          <w:noProof/>
          <w:sz w:val="24"/>
          <w:szCs w:val="24"/>
        </w:rPr>
      </w:pPr>
    </w:p>
    <w:p w:rsidR="00E03770" w:rsidRDefault="00E03770" w:rsidP="00C56CC3">
      <w:pPr>
        <w:widowControl w:val="0"/>
        <w:autoSpaceDE w:val="0"/>
        <w:autoSpaceDN w:val="0"/>
        <w:adjustRightInd w:val="0"/>
        <w:spacing w:line="240" w:lineRule="auto"/>
        <w:ind w:left="480" w:hanging="480"/>
        <w:jc w:val="both"/>
        <w:rPr>
          <w:rFonts w:ascii="Arial Narrow" w:hAnsi="Arial Narrow" w:cs="Times New Roman"/>
          <w:noProof/>
          <w:sz w:val="24"/>
          <w:szCs w:val="24"/>
        </w:rPr>
      </w:pPr>
    </w:p>
    <w:p w:rsidR="00E03770" w:rsidRPr="00E03770" w:rsidRDefault="00E03770" w:rsidP="00E03770">
      <w:pPr>
        <w:rPr>
          <w:rFonts w:ascii="Arial Narrow" w:hAnsi="Arial Narrow" w:cs="Times New Roman"/>
          <w:sz w:val="24"/>
          <w:szCs w:val="24"/>
        </w:rPr>
      </w:pPr>
    </w:p>
    <w:p w:rsidR="00E03770" w:rsidRPr="00E03770" w:rsidRDefault="00E03770" w:rsidP="00E03770">
      <w:pPr>
        <w:rPr>
          <w:rFonts w:ascii="Arial Narrow" w:hAnsi="Arial Narrow" w:cs="Times New Roman"/>
          <w:sz w:val="24"/>
          <w:szCs w:val="24"/>
        </w:rPr>
      </w:pPr>
    </w:p>
    <w:p w:rsidR="00E03770" w:rsidRPr="00E03770" w:rsidRDefault="00E03770" w:rsidP="00E03770">
      <w:pPr>
        <w:rPr>
          <w:rFonts w:ascii="Arial Narrow" w:hAnsi="Arial Narrow" w:cs="Times New Roman"/>
          <w:sz w:val="24"/>
          <w:szCs w:val="24"/>
        </w:rPr>
      </w:pPr>
    </w:p>
    <w:p w:rsidR="00E03770" w:rsidRDefault="00E03770" w:rsidP="00E03770">
      <w:pPr>
        <w:rPr>
          <w:rFonts w:ascii="Arial Narrow" w:hAnsi="Arial Narrow" w:cs="Times New Roman"/>
          <w:sz w:val="24"/>
          <w:szCs w:val="24"/>
        </w:rPr>
      </w:pPr>
    </w:p>
    <w:p w:rsidR="00C56CC3" w:rsidRPr="00E03770" w:rsidRDefault="00E03770" w:rsidP="00E03770">
      <w:pPr>
        <w:tabs>
          <w:tab w:val="left" w:pos="7995"/>
        </w:tabs>
        <w:rPr>
          <w:rFonts w:ascii="Arial Narrow" w:hAnsi="Arial Narrow" w:cs="Times New Roman"/>
          <w:sz w:val="24"/>
          <w:szCs w:val="24"/>
        </w:rPr>
      </w:pPr>
      <w:r>
        <w:rPr>
          <w:rFonts w:ascii="Arial Narrow" w:hAnsi="Arial Narrow" w:cs="Times New Roman"/>
          <w:sz w:val="24"/>
          <w:szCs w:val="24"/>
        </w:rPr>
        <w:tab/>
      </w:r>
    </w:p>
    <w:sectPr w:rsidR="00C56CC3" w:rsidRPr="00E03770" w:rsidSect="00080E2E">
      <w:headerReference w:type="even" r:id="rId10"/>
      <w:headerReference w:type="default" r:id="rId11"/>
      <w:footerReference w:type="even" r:id="rId12"/>
      <w:footerReference w:type="default" r:id="rId13"/>
      <w:headerReference w:type="first" r:id="rId14"/>
      <w:footerReference w:type="first" r:id="rId15"/>
      <w:pgSz w:w="11906" w:h="16838"/>
      <w:pgMar w:top="2022" w:right="1418" w:bottom="1418" w:left="1701" w:header="720" w:footer="720" w:gutter="0"/>
      <w:pgNumType w:start="32"/>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6301" w:rsidRDefault="00CD6301" w:rsidP="00AA467B">
      <w:pPr>
        <w:spacing w:after="0" w:line="240" w:lineRule="auto"/>
      </w:pPr>
      <w:r>
        <w:separator/>
      </w:r>
    </w:p>
  </w:endnote>
  <w:endnote w:type="continuationSeparator" w:id="0">
    <w:p w:rsidR="00CD6301" w:rsidRDefault="00CD6301" w:rsidP="00AA4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doni MT">
    <w:altName w:val="Bodoni Bk BT"/>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B7F" w:rsidRDefault="00CD6301">
    <w:pPr>
      <w:pBdr>
        <w:top w:val="nil"/>
        <w:left w:val="nil"/>
        <w:bottom w:val="nil"/>
        <w:right w:val="nil"/>
        <w:between w:val="nil"/>
      </w:pBdr>
      <w:tabs>
        <w:tab w:val="center" w:pos="4680"/>
        <w:tab w:val="right" w:pos="9360"/>
      </w:tabs>
      <w:spacing w:after="0" w:line="240" w:lineRule="auto"/>
      <w:jc w:val="center"/>
      <w:rPr>
        <w:rFonts w:ascii="Book Antiqua" w:eastAsia="Book Antiqua" w:hAnsi="Book Antiqua" w:cs="Book Antiqua"/>
        <w:b/>
        <w:color w:val="C00000"/>
        <w:sz w:val="20"/>
        <w:szCs w:val="20"/>
      </w:rPr>
    </w:pPr>
  </w:p>
  <w:p w:rsidR="00946B7F" w:rsidRDefault="00CD6301">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41228"/>
      <w:docPartObj>
        <w:docPartGallery w:val="Page Numbers (Bottom of Page)"/>
        <w:docPartUnique/>
      </w:docPartObj>
    </w:sdtPr>
    <w:sdtEndPr/>
    <w:sdtContent>
      <w:p w:rsidR="00BA20A0" w:rsidRDefault="00F214B7">
        <w:pPr>
          <w:pStyle w:val="Footer"/>
          <w:jc w:val="right"/>
        </w:pPr>
        <w:r>
          <w:fldChar w:fldCharType="begin"/>
        </w:r>
        <w:r w:rsidR="005D2BB4">
          <w:instrText xml:space="preserve"> PAGE   \* MERGEFORMAT </w:instrText>
        </w:r>
        <w:r>
          <w:fldChar w:fldCharType="separate"/>
        </w:r>
        <w:r w:rsidR="00ED4590">
          <w:rPr>
            <w:noProof/>
          </w:rPr>
          <w:t>46</w:t>
        </w:r>
        <w:r>
          <w:rPr>
            <w:noProof/>
          </w:rPr>
          <w:fldChar w:fldCharType="end"/>
        </w:r>
      </w:p>
    </w:sdtContent>
  </w:sdt>
  <w:p w:rsidR="00946B7F" w:rsidRDefault="00CD6301">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b/>
        <w:color w:val="C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7888310"/>
      <w:docPartObj>
        <w:docPartGallery w:val="Page Numbers (Bottom of Page)"/>
        <w:docPartUnique/>
      </w:docPartObj>
    </w:sdtPr>
    <w:sdtEndPr>
      <w:rPr>
        <w:noProof/>
      </w:rPr>
    </w:sdtEndPr>
    <w:sdtContent>
      <w:p w:rsidR="004F32EE" w:rsidRDefault="004F32EE">
        <w:pPr>
          <w:pStyle w:val="Footer"/>
          <w:jc w:val="right"/>
        </w:pPr>
        <w:r>
          <w:fldChar w:fldCharType="begin"/>
        </w:r>
        <w:r>
          <w:instrText xml:space="preserve"> PAGE   \* MERGEFORMAT </w:instrText>
        </w:r>
        <w:r>
          <w:fldChar w:fldCharType="separate"/>
        </w:r>
        <w:r w:rsidR="00ED4590">
          <w:rPr>
            <w:noProof/>
          </w:rPr>
          <w:t>32</w:t>
        </w:r>
        <w:r>
          <w:rPr>
            <w:noProof/>
          </w:rPr>
          <w:fldChar w:fldCharType="end"/>
        </w:r>
      </w:p>
    </w:sdtContent>
  </w:sdt>
  <w:p w:rsidR="004F32EE" w:rsidRDefault="004F32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6301" w:rsidRDefault="00CD6301" w:rsidP="00AA467B">
      <w:pPr>
        <w:spacing w:after="0" w:line="240" w:lineRule="auto"/>
      </w:pPr>
      <w:r>
        <w:separator/>
      </w:r>
    </w:p>
  </w:footnote>
  <w:footnote w:type="continuationSeparator" w:id="0">
    <w:p w:rsidR="00CD6301" w:rsidRDefault="00CD6301" w:rsidP="00AA46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05A" w:rsidRDefault="00CD6301">
    <w:pPr>
      <w:pStyle w:val="Header"/>
    </w:pPr>
    <w:r>
      <w:rPr>
        <w:noProof/>
        <w:lang w:val="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43456" o:spid="_x0000_s2060" type="#_x0000_t75" style="position:absolute;margin-left:0;margin-top:0;width:5in;height:270pt;z-index:-251648000;mso-position-horizontal:center;mso-position-horizontal-relative:margin;mso-position-vertical:center;mso-position-vertical-relative:margin" o:allowincell="f">
          <v:imagedata r:id="rId1" o:title="Logo LJ New"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2EE" w:rsidRDefault="004865B0" w:rsidP="004F32EE">
    <w:pPr>
      <w:spacing w:after="0" w:line="240" w:lineRule="auto"/>
      <w:contextualSpacing/>
      <w:jc w:val="center"/>
      <w:rPr>
        <w:b/>
        <w:lang w:val="id-ID"/>
      </w:rPr>
    </w:pPr>
    <w:r>
      <w:rPr>
        <w:noProof/>
        <w:lang w:eastAsia="en-US"/>
      </w:rPr>
      <mc:AlternateContent>
        <mc:Choice Requires="wps">
          <w:drawing>
            <wp:anchor distT="0" distB="0" distL="114300" distR="114300" simplePos="0" relativeHeight="251661312" behindDoc="0" locked="0" layoutInCell="1" allowOverlap="1" wp14:anchorId="7F1B85D5" wp14:editId="5DEA3D1B">
              <wp:simplePos x="0" y="0"/>
              <wp:positionH relativeFrom="column">
                <wp:posOffset>3628052</wp:posOffset>
              </wp:positionH>
              <wp:positionV relativeFrom="paragraph">
                <wp:posOffset>-29183</wp:posOffset>
              </wp:positionV>
              <wp:extent cx="1874926" cy="545465"/>
              <wp:effectExtent l="76200" t="57150" r="68580" b="1022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4926" cy="545465"/>
                      </a:xfrm>
                      <a:prstGeom prst="rect">
                        <a:avLst/>
                      </a:prstGeom>
                      <a:ln/>
                    </wps:spPr>
                    <wps:style>
                      <a:lnRef idx="3">
                        <a:schemeClr val="lt1"/>
                      </a:lnRef>
                      <a:fillRef idx="1">
                        <a:schemeClr val="accent3"/>
                      </a:fillRef>
                      <a:effectRef idx="1">
                        <a:schemeClr val="accent3"/>
                      </a:effectRef>
                      <a:fontRef idx="minor">
                        <a:schemeClr val="lt1"/>
                      </a:fontRef>
                    </wps:style>
                    <wps:txbx>
                      <w:txbxContent>
                        <w:p w:rsidR="004F32EE" w:rsidRPr="00DC1C52" w:rsidRDefault="004F32EE"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 xml:space="preserve">Volume </w:t>
                          </w:r>
                          <w:r>
                            <w:rPr>
                              <w:rFonts w:ascii="Bodoni MT" w:hAnsi="Bodoni MT"/>
                              <w:b/>
                              <w:sz w:val="24"/>
                              <w:szCs w:val="24"/>
                              <w:lang w:val="id-ID"/>
                            </w:rPr>
                            <w:t>I</w:t>
                          </w:r>
                          <w:r w:rsidRPr="00DC1C52">
                            <w:rPr>
                              <w:rFonts w:ascii="Bodoni MT" w:hAnsi="Bodoni MT"/>
                              <w:b/>
                              <w:sz w:val="24"/>
                              <w:szCs w:val="24"/>
                              <w:lang w:val="id-ID"/>
                            </w:rPr>
                            <w:t xml:space="preserve">, Nomor </w:t>
                          </w:r>
                          <w:r>
                            <w:rPr>
                              <w:rFonts w:ascii="Bodoni MT" w:hAnsi="Bodoni MT"/>
                              <w:b/>
                              <w:sz w:val="24"/>
                              <w:szCs w:val="24"/>
                              <w:lang w:val="id-ID"/>
                            </w:rPr>
                            <w:t>1</w:t>
                          </w:r>
                          <w:r w:rsidRPr="00DC1C52">
                            <w:rPr>
                              <w:rFonts w:ascii="Bodoni MT" w:hAnsi="Bodoni MT"/>
                              <w:b/>
                              <w:sz w:val="24"/>
                              <w:szCs w:val="24"/>
                              <w:lang w:val="id-ID"/>
                            </w:rPr>
                            <w:t>,</w:t>
                          </w:r>
                        </w:p>
                        <w:p w:rsidR="004F32EE" w:rsidRPr="00DC1C52" w:rsidRDefault="004F32EE" w:rsidP="004F32EE">
                          <w:pPr>
                            <w:spacing w:after="0" w:line="240" w:lineRule="auto"/>
                            <w:contextualSpacing/>
                            <w:jc w:val="right"/>
                            <w:rPr>
                              <w:rFonts w:ascii="Bodoni MT" w:hAnsi="Bodoni MT"/>
                              <w:b/>
                              <w:sz w:val="28"/>
                              <w:szCs w:val="28"/>
                              <w:lang w:val="id-ID"/>
                            </w:rPr>
                          </w:pPr>
                          <w:r>
                            <w:rPr>
                              <w:rFonts w:ascii="Bodoni MT" w:hAnsi="Bodoni MT"/>
                              <w:b/>
                              <w:sz w:val="24"/>
                              <w:szCs w:val="24"/>
                              <w:lang w:val="id-ID"/>
                            </w:rPr>
                            <w:t>Juli</w:t>
                          </w:r>
                          <w:r w:rsidRPr="00DC1C52">
                            <w:rPr>
                              <w:rFonts w:ascii="Bodoni MT" w:hAnsi="Bodoni MT"/>
                              <w:b/>
                              <w:sz w:val="24"/>
                              <w:szCs w:val="24"/>
                              <w:lang w:val="id-ID"/>
                            </w:rPr>
                            <w:t xml:space="preserve">, </w:t>
                          </w:r>
                          <w:r>
                            <w:rPr>
                              <w:rFonts w:ascii="Bodoni MT" w:hAnsi="Bodoni MT"/>
                              <w:b/>
                              <w:sz w:val="28"/>
                              <w:szCs w:val="28"/>
                              <w:lang w:val="id-ID"/>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1B85D5" id="_x0000_t202" coordsize="21600,21600" o:spt="202" path="m,l,21600r21600,l21600,xe">
              <v:stroke joinstyle="miter"/>
              <v:path gradientshapeok="t" o:connecttype="rect"/>
            </v:shapetype>
            <v:shape id="Text Box 4" o:spid="_x0000_s1026" type="#_x0000_t202" style="position:absolute;left:0;text-align:left;margin-left:285.65pt;margin-top:-2.3pt;width:147.65pt;height:4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" fillcolor="#9bbb59 [3206]" strokecolor="white [3201]" strokeweight="3pt">
              <v:shadow on="t" color="black" opacity="24903f" origin=",.5" offset="0,.55556mm"/>
              <v:path arrowok="t"/>
              <v:textbox>
                <w:txbxContent>
                  <w:p w:rsidR="004F32EE" w:rsidRPr="00DC1C52" w:rsidRDefault="004F32EE"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 xml:space="preserve">Volume </w:t>
                    </w:r>
                    <w:r>
                      <w:rPr>
                        <w:rFonts w:ascii="Bodoni MT" w:hAnsi="Bodoni MT"/>
                        <w:b/>
                        <w:sz w:val="24"/>
                        <w:szCs w:val="24"/>
                        <w:lang w:val="id-ID"/>
                      </w:rPr>
                      <w:t>I</w:t>
                    </w:r>
                    <w:r w:rsidRPr="00DC1C52">
                      <w:rPr>
                        <w:rFonts w:ascii="Bodoni MT" w:hAnsi="Bodoni MT"/>
                        <w:b/>
                        <w:sz w:val="24"/>
                        <w:szCs w:val="24"/>
                        <w:lang w:val="id-ID"/>
                      </w:rPr>
                      <w:t xml:space="preserve">, Nomor </w:t>
                    </w:r>
                    <w:r>
                      <w:rPr>
                        <w:rFonts w:ascii="Bodoni MT" w:hAnsi="Bodoni MT"/>
                        <w:b/>
                        <w:sz w:val="24"/>
                        <w:szCs w:val="24"/>
                        <w:lang w:val="id-ID"/>
                      </w:rPr>
                      <w:t>1</w:t>
                    </w:r>
                    <w:r w:rsidRPr="00DC1C52">
                      <w:rPr>
                        <w:rFonts w:ascii="Bodoni MT" w:hAnsi="Bodoni MT"/>
                        <w:b/>
                        <w:sz w:val="24"/>
                        <w:szCs w:val="24"/>
                        <w:lang w:val="id-ID"/>
                      </w:rPr>
                      <w:t>,</w:t>
                    </w:r>
                  </w:p>
                  <w:p w:rsidR="004F32EE" w:rsidRPr="00DC1C52" w:rsidRDefault="004F32EE" w:rsidP="004F32EE">
                    <w:pPr>
                      <w:spacing w:after="0" w:line="240" w:lineRule="auto"/>
                      <w:contextualSpacing/>
                      <w:jc w:val="right"/>
                      <w:rPr>
                        <w:rFonts w:ascii="Bodoni MT" w:hAnsi="Bodoni MT"/>
                        <w:b/>
                        <w:sz w:val="28"/>
                        <w:szCs w:val="28"/>
                        <w:lang w:val="id-ID"/>
                      </w:rPr>
                    </w:pPr>
                    <w:r>
                      <w:rPr>
                        <w:rFonts w:ascii="Bodoni MT" w:hAnsi="Bodoni MT"/>
                        <w:b/>
                        <w:sz w:val="24"/>
                        <w:szCs w:val="24"/>
                        <w:lang w:val="id-ID"/>
                      </w:rPr>
                      <w:t>Juli</w:t>
                    </w:r>
                    <w:r w:rsidRPr="00DC1C52">
                      <w:rPr>
                        <w:rFonts w:ascii="Bodoni MT" w:hAnsi="Bodoni MT"/>
                        <w:b/>
                        <w:sz w:val="24"/>
                        <w:szCs w:val="24"/>
                        <w:lang w:val="id-ID"/>
                      </w:rPr>
                      <w:t xml:space="preserve">, </w:t>
                    </w:r>
                    <w:r>
                      <w:rPr>
                        <w:rFonts w:ascii="Bodoni MT" w:hAnsi="Bodoni MT"/>
                        <w:b/>
                        <w:sz w:val="28"/>
                        <w:szCs w:val="28"/>
                        <w:lang w:val="id-ID"/>
                      </w:rPr>
                      <w:t>2020</w:t>
                    </w:r>
                  </w:p>
                </w:txbxContent>
              </v:textbox>
            </v:shape>
          </w:pict>
        </mc:Fallback>
      </mc:AlternateContent>
    </w:r>
    <w:r w:rsidR="00CD6301">
      <w:rPr>
        <w:noProof/>
        <w:lang w:val="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43457" o:spid="_x0000_s2061" type="#_x0000_t75" style="position:absolute;left:0;text-align:left;margin-left:0;margin-top:0;width:5in;height:270pt;z-index:-251646976;mso-position-horizontal:center;mso-position-horizontal-relative:margin;mso-position-vertical:center;mso-position-vertical-relative:margin" o:allowincell="f">
          <v:imagedata r:id="rId1" o:title="Logo LJ New" gain="19661f" blacklevel="22938f"/>
          <w10:wrap anchorx="margin" anchory="margin"/>
        </v:shape>
      </w:pict>
    </w:r>
    <w:r w:rsidR="004F32EE">
      <w:rPr>
        <w:noProof/>
        <w:lang w:eastAsia="en-US"/>
      </w:rPr>
      <w:drawing>
        <wp:anchor distT="0" distB="0" distL="114300" distR="114300" simplePos="0" relativeHeight="251664384" behindDoc="1" locked="0" layoutInCell="0" allowOverlap="1" wp14:anchorId="7E3710E4" wp14:editId="21900419">
          <wp:simplePos x="0" y="0"/>
          <wp:positionH relativeFrom="margin">
            <wp:align>center</wp:align>
          </wp:positionH>
          <wp:positionV relativeFrom="margin">
            <wp:align>center</wp:align>
          </wp:positionV>
          <wp:extent cx="4572000" cy="3429000"/>
          <wp:effectExtent l="0" t="0" r="0" b="0"/>
          <wp:wrapNone/>
          <wp:docPr id="8" name="Picture 8" descr="Logo LJ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292321" descr="Logo LJ New"/>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pic:spPr>
              </pic:pic>
            </a:graphicData>
          </a:graphic>
          <wp14:sizeRelH relativeFrom="page">
            <wp14:pctWidth>0</wp14:pctWidth>
          </wp14:sizeRelH>
          <wp14:sizeRelV relativeFrom="page">
            <wp14:pctHeight>0</wp14:pctHeight>
          </wp14:sizeRelV>
        </wp:anchor>
      </w:drawing>
    </w:r>
    <w:r w:rsidR="00CD630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6" type="#_x0000_t136" style="position:absolute;left:0;text-align:left;margin-left:59.3pt;margin-top:4.3pt;width:147.25pt;height:9.1pt;z-index:-251636736;mso-position-horizontal-relative:text;mso-position-vertical-relative:text" fillcolor="black">
          <v:shadow color="#b2b2b2" opacity="52429f" offset="3pt"/>
          <v:textpath style="font-family:&quot;Times New Roman&quot;;font-size:16pt;v-text-kern:t" trim="t" fitpath="t" string="Jurnal Ilmiah Penelitian"/>
        </v:shape>
      </w:pict>
    </w:r>
    <w:r w:rsidR="004F32EE">
      <w:rPr>
        <w:noProof/>
        <w:lang w:eastAsia="en-US"/>
      </w:rPr>
      <w:drawing>
        <wp:anchor distT="0" distB="0" distL="114300" distR="114300" simplePos="0" relativeHeight="251658240" behindDoc="1" locked="0" layoutInCell="1" allowOverlap="1" wp14:anchorId="2CFA03EE" wp14:editId="0E759AEE">
          <wp:simplePos x="0" y="0"/>
          <wp:positionH relativeFrom="column">
            <wp:posOffset>45720</wp:posOffset>
          </wp:positionH>
          <wp:positionV relativeFrom="paragraph">
            <wp:posOffset>19211</wp:posOffset>
          </wp:positionV>
          <wp:extent cx="593090" cy="654685"/>
          <wp:effectExtent l="114300" t="76200" r="92710" b="735965"/>
          <wp:wrapNone/>
          <wp:docPr id="9" name="Picture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3">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93090" cy="654685"/>
                  </a:xfrm>
                  <a:prstGeom prst="ellipse">
                    <a:avLst/>
                  </a:prstGeom>
                  <a:ln w="63500" cap="rnd">
                    <a:solidFill>
                      <a:srgbClr val="92D050"/>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rsidR="004F32EE" w:rsidRPr="005A60CA" w:rsidRDefault="00CD6301" w:rsidP="004F32EE">
    <w:pPr>
      <w:spacing w:after="0" w:line="240" w:lineRule="auto"/>
      <w:contextualSpacing/>
      <w:jc w:val="center"/>
      <w:rPr>
        <w:rFonts w:ascii="Century Gothic" w:hAnsi="Century Gothic"/>
        <w:b/>
        <w:lang w:val="id-ID"/>
      </w:rPr>
    </w:pPr>
    <w:r>
      <w:rPr>
        <w:noProof/>
        <w:lang w:val="id-ID"/>
      </w:rPr>
      <w:pict>
        <v:shape id="_x0000_s2067" type="#_x0000_t136" style="position:absolute;left:0;text-align:left;margin-left:58.75pt;margin-top:4.2pt;width:210.75pt;height:14.6pt;z-index:-251635712" adj="10803" fillcolor="#92d050">
          <v:shadow color="#b2b2b2" opacity="52429f" offset="3pt"/>
          <v:textpath style="font-family:&quot;Times New Roman&quot;;font-size:20pt;v-text-kern:t" trim="t" fitpath="t" string="LAW_JURNAL&#10;"/>
        </v:shape>
      </w:pict>
    </w:r>
  </w:p>
  <w:p w:rsidR="004F32EE" w:rsidRDefault="00CD6301" w:rsidP="004F32EE">
    <w:pPr>
      <w:pStyle w:val="Header"/>
      <w:tabs>
        <w:tab w:val="clear" w:pos="4513"/>
        <w:tab w:val="clear" w:pos="9026"/>
        <w:tab w:val="left" w:pos="1977"/>
        <w:tab w:val="left" w:pos="4814"/>
      </w:tabs>
    </w:pPr>
    <w:r>
      <w:rPr>
        <w:noProof/>
        <w:lang w:val="id-ID"/>
      </w:rPr>
      <w:pict>
        <v:shape id="_x0000_s2069" type="#_x0000_t136" style="position:absolute;margin-left:56.45pt;margin-top:16.45pt;width:43.9pt;height:7.2pt;z-index:-251630592" fillcolor="black">
          <v:shadow color="#b2b2b2" opacity="52429f" offset="3pt"/>
          <v:textpath style="font-family:&quot;Times New Roman&quot;;font-size:16pt;v-text-kern:t" trim="t" fitpath="t" string="E-ISSN :&#10;"/>
        </v:shape>
      </w:pict>
    </w:r>
    <w:r>
      <w:rPr>
        <w:noProof/>
        <w:lang w:val="id-ID"/>
      </w:rPr>
      <w:pict>
        <v:shape id="_x0000_s2068" type="#_x0000_t136" style="position:absolute;margin-left:59.85pt;margin-top:6pt;width:40.5pt;height:6.45pt;z-index:-251634688" fillcolor="black">
          <v:shadow color="#b2b2b2" opacity="52429f" offset="3pt"/>
          <v:textpath style="font-family:&quot;Times New Roman&quot;;font-size:16pt;v-text-kern:t" trim="t" fitpath="t" string="ISSN :&#10;"/>
        </v:shape>
      </w:pict>
    </w:r>
    <w:r w:rsidR="004F32EE">
      <w:tab/>
    </w:r>
  </w:p>
  <w:p w:rsidR="00946B7F" w:rsidRPr="004F32EE" w:rsidRDefault="00785D12" w:rsidP="004865B0">
    <w:pPr>
      <w:pBdr>
        <w:top w:val="nil"/>
        <w:left w:val="nil"/>
        <w:bottom w:val="nil"/>
        <w:right w:val="nil"/>
        <w:between w:val="nil"/>
      </w:pBdr>
      <w:tabs>
        <w:tab w:val="left" w:pos="843"/>
      </w:tabs>
      <w:spacing w:after="0" w:line="240" w:lineRule="auto"/>
      <w:rPr>
        <w:color w:val="000000"/>
        <w:lang w:val="id-ID"/>
      </w:rPr>
    </w:pPr>
    <w:r>
      <w:rPr>
        <w:noProof/>
        <w:lang w:eastAsia="en-US"/>
      </w:rPr>
      <mc:AlternateContent>
        <mc:Choice Requires="wps">
          <w:drawing>
            <wp:anchor distT="0" distB="0" distL="114300" distR="114300" simplePos="0" relativeHeight="251667456" behindDoc="0" locked="0" layoutInCell="1" allowOverlap="1" wp14:anchorId="50C54B4A" wp14:editId="3BE643E1">
              <wp:simplePos x="0" y="0"/>
              <wp:positionH relativeFrom="column">
                <wp:posOffset>-10092</wp:posOffset>
              </wp:positionH>
              <wp:positionV relativeFrom="paragraph">
                <wp:posOffset>236585</wp:posOffset>
              </wp:positionV>
              <wp:extent cx="5593404" cy="6824"/>
              <wp:effectExtent l="38100" t="38100" r="64770" b="88900"/>
              <wp:wrapNone/>
              <wp:docPr id="3" name="Straight Connector 3"/>
              <wp:cNvGraphicFramePr/>
              <a:graphic xmlns:a="http://schemas.openxmlformats.org/drawingml/2006/main">
                <a:graphicData uri="http://schemas.microsoft.com/office/word/2010/wordprocessingShape">
                  <wps:wsp>
                    <wps:cNvCnPr/>
                    <wps:spPr>
                      <a:xfrm>
                        <a:off x="0" y="0"/>
                        <a:ext cx="5593404" cy="6824"/>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5BB955C5" id="Straight Connector 3"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pt,18.65pt" to="439.6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" strokecolor="black [3200]" strokeweight="2pt">
              <v:shadow on="t" color="black" opacity="24903f" origin=",.5" offset="0,.55556mm"/>
            </v:line>
          </w:pict>
        </mc:Fallback>
      </mc:AlternateContent>
    </w:r>
    <w:r w:rsidR="004865B0">
      <w:rPr>
        <w:color w:val="000000"/>
        <w:lang w:val="id-ID"/>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2EE" w:rsidRDefault="00080E2E" w:rsidP="004F32EE">
    <w:pPr>
      <w:spacing w:after="0" w:line="240" w:lineRule="auto"/>
      <w:contextualSpacing/>
      <w:jc w:val="center"/>
      <w:rPr>
        <w:b/>
        <w:lang w:val="id-ID"/>
      </w:rPr>
    </w:pPr>
    <w:r>
      <w:rPr>
        <w:noProof/>
        <w:lang w:eastAsia="en-US"/>
      </w:rPr>
      <mc:AlternateContent>
        <mc:Choice Requires="wps">
          <w:drawing>
            <wp:anchor distT="0" distB="0" distL="114300" distR="114300" simplePos="0" relativeHeight="251651072" behindDoc="0" locked="0" layoutInCell="1" allowOverlap="1" wp14:anchorId="0BC6DB18" wp14:editId="66CFDEB7">
              <wp:simplePos x="0" y="0"/>
              <wp:positionH relativeFrom="column">
                <wp:posOffset>3628052</wp:posOffset>
              </wp:positionH>
              <wp:positionV relativeFrom="paragraph">
                <wp:posOffset>-29183</wp:posOffset>
              </wp:positionV>
              <wp:extent cx="1923564" cy="545465"/>
              <wp:effectExtent l="76200" t="57150" r="76835" b="1022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3564" cy="545465"/>
                      </a:xfrm>
                      <a:prstGeom prst="rect">
                        <a:avLst/>
                      </a:prstGeom>
                      <a:ln/>
                    </wps:spPr>
                    <wps:style>
                      <a:lnRef idx="3">
                        <a:schemeClr val="lt1"/>
                      </a:lnRef>
                      <a:fillRef idx="1">
                        <a:schemeClr val="accent3"/>
                      </a:fillRef>
                      <a:effectRef idx="1">
                        <a:schemeClr val="accent3"/>
                      </a:effectRef>
                      <a:fontRef idx="minor">
                        <a:schemeClr val="lt1"/>
                      </a:fontRef>
                    </wps:style>
                    <wps:txbx>
                      <w:txbxContent>
                        <w:p w:rsidR="004F32EE" w:rsidRPr="00DC1C52" w:rsidRDefault="004F32EE"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Volume , Nomor ,</w:t>
                          </w:r>
                        </w:p>
                        <w:p w:rsidR="004F32EE" w:rsidRPr="00DC1C52" w:rsidRDefault="00AA30DD" w:rsidP="004F32EE">
                          <w:pPr>
                            <w:spacing w:after="0" w:line="240" w:lineRule="auto"/>
                            <w:contextualSpacing/>
                            <w:jc w:val="right"/>
                            <w:rPr>
                              <w:rFonts w:ascii="Bodoni MT" w:hAnsi="Bodoni MT"/>
                              <w:b/>
                              <w:sz w:val="28"/>
                              <w:szCs w:val="28"/>
                              <w:lang w:val="id-ID"/>
                            </w:rPr>
                          </w:pPr>
                          <w:r>
                            <w:rPr>
                              <w:rFonts w:ascii="Bodoni MT" w:hAnsi="Bodoni MT"/>
                              <w:b/>
                              <w:sz w:val="24"/>
                              <w:szCs w:val="24"/>
                              <w:lang w:val="id-ID"/>
                            </w:rPr>
                            <w:t>Bulan</w:t>
                          </w:r>
                          <w:r w:rsidR="004F32EE" w:rsidRPr="00DC1C52">
                            <w:rPr>
                              <w:rFonts w:ascii="Bodoni MT" w:hAnsi="Bodoni MT"/>
                              <w:b/>
                              <w:sz w:val="24"/>
                              <w:szCs w:val="24"/>
                              <w:lang w:val="id-ID"/>
                            </w:rPr>
                            <w:t xml:space="preserve">, </w:t>
                          </w:r>
                          <w:r>
                            <w:rPr>
                              <w:rFonts w:ascii="Bodoni MT" w:hAnsi="Bodoni MT"/>
                              <w:b/>
                              <w:sz w:val="24"/>
                              <w:szCs w:val="24"/>
                              <w:lang w:val="id-ID"/>
                            </w:rPr>
                            <w:t>Thn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C6DB18" id="_x0000_t202" coordsize="21600,21600" o:spt="202" path="m,l,21600r21600,l21600,xe">
              <v:stroke joinstyle="miter"/>
              <v:path gradientshapeok="t" o:connecttype="rect"/>
            </v:shapetype>
            <v:shape id="Text Box 7" o:spid="_x0000_s1027" type="#_x0000_t202" style="position:absolute;left:0;text-align:left;margin-left:285.65pt;margin-top:-2.3pt;width:151.45pt;height:42.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" fillcolor="#9bbb59 [3206]" strokecolor="white [3201]" strokeweight="3pt">
              <v:shadow on="t" color="black" opacity="24903f" origin=",.5" offset="0,.55556mm"/>
              <v:path arrowok="t"/>
              <v:textbox>
                <w:txbxContent>
                  <w:p w:rsidR="004F32EE" w:rsidRPr="00DC1C52" w:rsidRDefault="004F32EE"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Volume , Nomor ,</w:t>
                    </w:r>
                  </w:p>
                  <w:p w:rsidR="004F32EE" w:rsidRPr="00DC1C52" w:rsidRDefault="00AA30DD" w:rsidP="004F32EE">
                    <w:pPr>
                      <w:spacing w:after="0" w:line="240" w:lineRule="auto"/>
                      <w:contextualSpacing/>
                      <w:jc w:val="right"/>
                      <w:rPr>
                        <w:rFonts w:ascii="Bodoni MT" w:hAnsi="Bodoni MT"/>
                        <w:b/>
                        <w:sz w:val="28"/>
                        <w:szCs w:val="28"/>
                        <w:lang w:val="id-ID"/>
                      </w:rPr>
                    </w:pPr>
                    <w:r>
                      <w:rPr>
                        <w:rFonts w:ascii="Bodoni MT" w:hAnsi="Bodoni MT"/>
                        <w:b/>
                        <w:sz w:val="24"/>
                        <w:szCs w:val="24"/>
                        <w:lang w:val="id-ID"/>
                      </w:rPr>
                      <w:t>Bulan</w:t>
                    </w:r>
                    <w:r w:rsidR="004F32EE" w:rsidRPr="00DC1C52">
                      <w:rPr>
                        <w:rFonts w:ascii="Bodoni MT" w:hAnsi="Bodoni MT"/>
                        <w:b/>
                        <w:sz w:val="24"/>
                        <w:szCs w:val="24"/>
                        <w:lang w:val="id-ID"/>
                      </w:rPr>
                      <w:t xml:space="preserve">, </w:t>
                    </w:r>
                    <w:r>
                      <w:rPr>
                        <w:rFonts w:ascii="Bodoni MT" w:hAnsi="Bodoni MT"/>
                        <w:b/>
                        <w:sz w:val="24"/>
                        <w:szCs w:val="24"/>
                        <w:lang w:val="id-ID"/>
                      </w:rPr>
                      <w:t>Thn</w:t>
                    </w:r>
                  </w:p>
                </w:txbxContent>
              </v:textbox>
            </v:shape>
          </w:pict>
        </mc:Fallback>
      </mc:AlternateContent>
    </w:r>
    <w:r w:rsidR="004F32EE">
      <w:rPr>
        <w:noProof/>
        <w:lang w:eastAsia="en-US"/>
      </w:rPr>
      <w:drawing>
        <wp:anchor distT="0" distB="0" distL="114300" distR="114300" simplePos="0" relativeHeight="251653120" behindDoc="1" locked="0" layoutInCell="0" allowOverlap="1" wp14:anchorId="4F9FF8C2" wp14:editId="471701FE">
          <wp:simplePos x="0" y="0"/>
          <wp:positionH relativeFrom="margin">
            <wp:align>center</wp:align>
          </wp:positionH>
          <wp:positionV relativeFrom="margin">
            <wp:align>center</wp:align>
          </wp:positionV>
          <wp:extent cx="4572000" cy="3429000"/>
          <wp:effectExtent l="0" t="0" r="0" b="0"/>
          <wp:wrapNone/>
          <wp:docPr id="10" name="Picture 10" descr="Logo LJ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292321" descr="Logo LJ N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pic:spPr>
              </pic:pic>
            </a:graphicData>
          </a:graphic>
          <wp14:sizeRelH relativeFrom="page">
            <wp14:pctWidth>0</wp14:pctWidth>
          </wp14:sizeRelH>
          <wp14:sizeRelV relativeFrom="page">
            <wp14:pctHeight>0</wp14:pctHeight>
          </wp14:sizeRelV>
        </wp:anchor>
      </w:drawing>
    </w:r>
    <w:r w:rsidR="00CD630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left:0;text-align:left;margin-left:59.3pt;margin-top:4.3pt;width:147.25pt;height:9.1pt;z-index:-251644928;mso-position-horizontal-relative:text;mso-position-vertical-relative:text" fillcolor="black">
          <v:shadow color="#b2b2b2" opacity="52429f" offset="3pt"/>
          <v:textpath style="font-family:&quot;Times New Roman&quot;;font-size:16pt;v-text-kern:t" trim="t" fitpath="t" string="Jurnal Ilmiah Penelitian"/>
        </v:shape>
      </w:pict>
    </w:r>
    <w:r w:rsidR="004F32EE">
      <w:rPr>
        <w:noProof/>
        <w:lang w:eastAsia="en-US"/>
      </w:rPr>
      <w:drawing>
        <wp:anchor distT="0" distB="0" distL="114300" distR="114300" simplePos="0" relativeHeight="251649024" behindDoc="1" locked="0" layoutInCell="1" allowOverlap="1" wp14:anchorId="58B44D1B" wp14:editId="17FEEADD">
          <wp:simplePos x="0" y="0"/>
          <wp:positionH relativeFrom="column">
            <wp:posOffset>45720</wp:posOffset>
          </wp:positionH>
          <wp:positionV relativeFrom="paragraph">
            <wp:posOffset>19211</wp:posOffset>
          </wp:positionV>
          <wp:extent cx="593090" cy="654685"/>
          <wp:effectExtent l="114300" t="76200" r="92710" b="735965"/>
          <wp:wrapNone/>
          <wp:docPr id="11" name="Picture 1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93090" cy="654685"/>
                  </a:xfrm>
                  <a:prstGeom prst="ellipse">
                    <a:avLst/>
                  </a:prstGeom>
                  <a:ln w="63500" cap="rnd">
                    <a:solidFill>
                      <a:srgbClr val="92D050"/>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rsidR="004F32EE" w:rsidRPr="005A60CA" w:rsidRDefault="00CD6301" w:rsidP="004F32EE">
    <w:pPr>
      <w:spacing w:after="0" w:line="240" w:lineRule="auto"/>
      <w:contextualSpacing/>
      <w:jc w:val="center"/>
      <w:rPr>
        <w:rFonts w:ascii="Century Gothic" w:hAnsi="Century Gothic"/>
        <w:b/>
        <w:lang w:val="id-ID"/>
      </w:rPr>
    </w:pPr>
    <w:r>
      <w:rPr>
        <w:noProof/>
        <w:lang w:val="id-ID"/>
      </w:rPr>
      <w:pict>
        <v:shape id="_x0000_s2063" type="#_x0000_t136" style="position:absolute;left:0;text-align:left;margin-left:58.75pt;margin-top:4.2pt;width:210.75pt;height:14.6pt;z-index:-251643904" adj="10803" fillcolor="#92d050">
          <v:shadow color="#b2b2b2" opacity="52429f" offset="3pt"/>
          <v:textpath style="font-family:&quot;Times New Roman&quot;;font-size:20pt;v-text-kern:t" trim="t" fitpath="t" string="LAW_JURNAL&#10;"/>
        </v:shape>
      </w:pict>
    </w:r>
  </w:p>
  <w:p w:rsidR="004F32EE" w:rsidRDefault="00CD6301" w:rsidP="004F32EE">
    <w:pPr>
      <w:pStyle w:val="Header"/>
      <w:tabs>
        <w:tab w:val="clear" w:pos="4513"/>
        <w:tab w:val="clear" w:pos="9026"/>
        <w:tab w:val="left" w:pos="1977"/>
        <w:tab w:val="left" w:pos="4814"/>
      </w:tabs>
    </w:pPr>
    <w:r>
      <w:rPr>
        <w:noProof/>
        <w:lang w:val="id-ID"/>
      </w:rPr>
      <w:pict>
        <v:shape id="_x0000_s2065" type="#_x0000_t136" style="position:absolute;margin-left:56.45pt;margin-top:16.45pt;width:43.9pt;height:7.2pt;z-index:-251638784" fillcolor="black">
          <v:shadow color="#b2b2b2" opacity="52429f" offset="3pt"/>
          <v:textpath style="font-family:&quot;Times New Roman&quot;;font-size:16pt;v-text-kern:t" trim="t" fitpath="t" string="E-ISSN :&#10;"/>
        </v:shape>
      </w:pict>
    </w:r>
    <w:r>
      <w:rPr>
        <w:noProof/>
        <w:lang w:val="id-ID"/>
      </w:rPr>
      <w:pict>
        <v:shape id="_x0000_s2064" type="#_x0000_t136" style="position:absolute;margin-left:59.85pt;margin-top:6pt;width:40.5pt;height:6.45pt;z-index:-251642880" fillcolor="black">
          <v:shadow color="#b2b2b2" opacity="52429f" offset="3pt"/>
          <v:textpath style="font-family:&quot;Times New Roman&quot;;font-size:16pt;v-text-kern:t" trim="t" fitpath="t" string="ISSN :&#10;"/>
        </v:shape>
      </w:pict>
    </w:r>
    <w:r w:rsidR="004F32EE">
      <w:tab/>
    </w:r>
  </w:p>
  <w:p w:rsidR="009F2384" w:rsidRPr="004F32EE" w:rsidRDefault="00785D12" w:rsidP="009C0B64">
    <w:pPr>
      <w:pStyle w:val="Header"/>
      <w:tabs>
        <w:tab w:val="clear" w:pos="4513"/>
        <w:tab w:val="clear" w:pos="9026"/>
        <w:tab w:val="left" w:pos="5889"/>
      </w:tabs>
      <w:rPr>
        <w:lang w:val="id-ID"/>
      </w:rPr>
    </w:pPr>
    <w:r>
      <w:rPr>
        <w:noProof/>
        <w:lang w:eastAsia="en-US"/>
      </w:rPr>
      <mc:AlternateContent>
        <mc:Choice Requires="wps">
          <w:drawing>
            <wp:anchor distT="0" distB="0" distL="114300" distR="114300" simplePos="0" relativeHeight="251655168" behindDoc="0" locked="0" layoutInCell="1" allowOverlap="1" wp14:anchorId="2984E2E6" wp14:editId="6A015763">
              <wp:simplePos x="0" y="0"/>
              <wp:positionH relativeFrom="column">
                <wp:posOffset>40640</wp:posOffset>
              </wp:positionH>
              <wp:positionV relativeFrom="paragraph">
                <wp:posOffset>241503</wp:posOffset>
              </wp:positionV>
              <wp:extent cx="5513696" cy="6824"/>
              <wp:effectExtent l="38100" t="38100" r="68580" b="88900"/>
              <wp:wrapNone/>
              <wp:docPr id="2" name="Straight Connector 2"/>
              <wp:cNvGraphicFramePr/>
              <a:graphic xmlns:a="http://schemas.openxmlformats.org/drawingml/2006/main">
                <a:graphicData uri="http://schemas.microsoft.com/office/word/2010/wordprocessingShape">
                  <wps:wsp>
                    <wps:cNvCnPr/>
                    <wps:spPr>
                      <a:xfrm>
                        <a:off x="0" y="0"/>
                        <a:ext cx="5513696" cy="6824"/>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885AF16" id="Straight Connector 2"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3.2pt,19pt" to="437.3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" strokecolor="black [3200]" strokeweight="2pt">
              <v:shadow on="t" color="black" opacity="24903f" origin=",.5" offset="0,.55556mm"/>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643C986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6633487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32267B0"/>
    <w:multiLevelType w:val="hybridMultilevel"/>
    <w:tmpl w:val="1B7A9D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491C6A"/>
    <w:multiLevelType w:val="multilevel"/>
    <w:tmpl w:val="673A7A1C"/>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07D40E58"/>
    <w:multiLevelType w:val="hybridMultilevel"/>
    <w:tmpl w:val="381288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86C4428"/>
    <w:multiLevelType w:val="hybridMultilevel"/>
    <w:tmpl w:val="B27CD5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8EA1957"/>
    <w:multiLevelType w:val="hybridMultilevel"/>
    <w:tmpl w:val="26FE2E7C"/>
    <w:lvl w:ilvl="0" w:tplc="3C88AE9C">
      <w:start w:val="1"/>
      <w:numFmt w:val="decimal"/>
      <w:lvlText w:val="%1."/>
      <w:lvlJc w:val="left"/>
      <w:pPr>
        <w:ind w:left="1431" w:hanging="825"/>
      </w:pPr>
      <w:rPr>
        <w:rFonts w:hint="default"/>
      </w:rPr>
    </w:lvl>
    <w:lvl w:ilvl="1" w:tplc="04210019" w:tentative="1">
      <w:start w:val="1"/>
      <w:numFmt w:val="lowerLetter"/>
      <w:lvlText w:val="%2."/>
      <w:lvlJc w:val="left"/>
      <w:pPr>
        <w:ind w:left="1686" w:hanging="360"/>
      </w:pPr>
    </w:lvl>
    <w:lvl w:ilvl="2" w:tplc="0421001B" w:tentative="1">
      <w:start w:val="1"/>
      <w:numFmt w:val="lowerRoman"/>
      <w:lvlText w:val="%3."/>
      <w:lvlJc w:val="right"/>
      <w:pPr>
        <w:ind w:left="2406" w:hanging="180"/>
      </w:pPr>
    </w:lvl>
    <w:lvl w:ilvl="3" w:tplc="0421000F" w:tentative="1">
      <w:start w:val="1"/>
      <w:numFmt w:val="decimal"/>
      <w:lvlText w:val="%4."/>
      <w:lvlJc w:val="left"/>
      <w:pPr>
        <w:ind w:left="3126" w:hanging="360"/>
      </w:pPr>
    </w:lvl>
    <w:lvl w:ilvl="4" w:tplc="04210019" w:tentative="1">
      <w:start w:val="1"/>
      <w:numFmt w:val="lowerLetter"/>
      <w:lvlText w:val="%5."/>
      <w:lvlJc w:val="left"/>
      <w:pPr>
        <w:ind w:left="3846" w:hanging="360"/>
      </w:pPr>
    </w:lvl>
    <w:lvl w:ilvl="5" w:tplc="0421001B" w:tentative="1">
      <w:start w:val="1"/>
      <w:numFmt w:val="lowerRoman"/>
      <w:lvlText w:val="%6."/>
      <w:lvlJc w:val="right"/>
      <w:pPr>
        <w:ind w:left="4566" w:hanging="180"/>
      </w:pPr>
    </w:lvl>
    <w:lvl w:ilvl="6" w:tplc="0421000F" w:tentative="1">
      <w:start w:val="1"/>
      <w:numFmt w:val="decimal"/>
      <w:lvlText w:val="%7."/>
      <w:lvlJc w:val="left"/>
      <w:pPr>
        <w:ind w:left="5286" w:hanging="360"/>
      </w:pPr>
    </w:lvl>
    <w:lvl w:ilvl="7" w:tplc="04210019" w:tentative="1">
      <w:start w:val="1"/>
      <w:numFmt w:val="lowerLetter"/>
      <w:lvlText w:val="%8."/>
      <w:lvlJc w:val="left"/>
      <w:pPr>
        <w:ind w:left="6006" w:hanging="360"/>
      </w:pPr>
    </w:lvl>
    <w:lvl w:ilvl="8" w:tplc="0421001B" w:tentative="1">
      <w:start w:val="1"/>
      <w:numFmt w:val="lowerRoman"/>
      <w:lvlText w:val="%9."/>
      <w:lvlJc w:val="right"/>
      <w:pPr>
        <w:ind w:left="6726" w:hanging="180"/>
      </w:pPr>
    </w:lvl>
  </w:abstractNum>
  <w:abstractNum w:abstractNumId="7">
    <w:nsid w:val="118959C4"/>
    <w:multiLevelType w:val="hybridMultilevel"/>
    <w:tmpl w:val="1B7A9D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D77D90"/>
    <w:multiLevelType w:val="hybridMultilevel"/>
    <w:tmpl w:val="E0BE5F5C"/>
    <w:lvl w:ilvl="0" w:tplc="C9704A6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460D7D"/>
    <w:multiLevelType w:val="hybridMultilevel"/>
    <w:tmpl w:val="52CCE7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7A3F38"/>
    <w:multiLevelType w:val="hybridMultilevel"/>
    <w:tmpl w:val="13FC1352"/>
    <w:lvl w:ilvl="0" w:tplc="2B1411D2">
      <w:start w:val="1"/>
      <w:numFmt w:val="decimal"/>
      <w:lvlText w:val="%1."/>
      <w:lvlJc w:val="left"/>
      <w:pPr>
        <w:ind w:left="720" w:hanging="360"/>
      </w:pPr>
      <w:rPr>
        <w:rFonts w:ascii="TimesNewRomanPSMT" w:hAnsi="TimesNewRomanPSMT" w:cstheme="minorBidi" w:hint="default"/>
        <w:color w:val="00000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DF25285"/>
    <w:multiLevelType w:val="hybridMultilevel"/>
    <w:tmpl w:val="0E4E19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0D64E3B"/>
    <w:multiLevelType w:val="hybridMultilevel"/>
    <w:tmpl w:val="B9186916"/>
    <w:lvl w:ilvl="0" w:tplc="58E49752">
      <w:start w:val="1"/>
      <w:numFmt w:val="decimal"/>
      <w:lvlText w:val="%1."/>
      <w:lvlJc w:val="left"/>
      <w:pPr>
        <w:ind w:left="720" w:hanging="360"/>
      </w:pPr>
      <w:rPr>
        <w:rFonts w:ascii="Book Antiqua" w:hAnsi="Book Antiqua"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0E45458"/>
    <w:multiLevelType w:val="hybridMultilevel"/>
    <w:tmpl w:val="512EC8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5E41831"/>
    <w:multiLevelType w:val="hybridMultilevel"/>
    <w:tmpl w:val="767017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7D0856"/>
    <w:multiLevelType w:val="hybridMultilevel"/>
    <w:tmpl w:val="477E23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F915750"/>
    <w:multiLevelType w:val="hybridMultilevel"/>
    <w:tmpl w:val="26FE2E7C"/>
    <w:lvl w:ilvl="0" w:tplc="3C88AE9C">
      <w:start w:val="1"/>
      <w:numFmt w:val="decimal"/>
      <w:lvlText w:val="%1."/>
      <w:lvlJc w:val="left"/>
      <w:pPr>
        <w:ind w:left="1431" w:hanging="825"/>
      </w:pPr>
      <w:rPr>
        <w:rFonts w:hint="default"/>
      </w:rPr>
    </w:lvl>
    <w:lvl w:ilvl="1" w:tplc="04210019" w:tentative="1">
      <w:start w:val="1"/>
      <w:numFmt w:val="lowerLetter"/>
      <w:lvlText w:val="%2."/>
      <w:lvlJc w:val="left"/>
      <w:pPr>
        <w:ind w:left="1686" w:hanging="360"/>
      </w:pPr>
    </w:lvl>
    <w:lvl w:ilvl="2" w:tplc="0421001B" w:tentative="1">
      <w:start w:val="1"/>
      <w:numFmt w:val="lowerRoman"/>
      <w:lvlText w:val="%3."/>
      <w:lvlJc w:val="right"/>
      <w:pPr>
        <w:ind w:left="2406" w:hanging="180"/>
      </w:pPr>
    </w:lvl>
    <w:lvl w:ilvl="3" w:tplc="0421000F" w:tentative="1">
      <w:start w:val="1"/>
      <w:numFmt w:val="decimal"/>
      <w:lvlText w:val="%4."/>
      <w:lvlJc w:val="left"/>
      <w:pPr>
        <w:ind w:left="3126" w:hanging="360"/>
      </w:pPr>
    </w:lvl>
    <w:lvl w:ilvl="4" w:tplc="04210019" w:tentative="1">
      <w:start w:val="1"/>
      <w:numFmt w:val="lowerLetter"/>
      <w:lvlText w:val="%5."/>
      <w:lvlJc w:val="left"/>
      <w:pPr>
        <w:ind w:left="3846" w:hanging="360"/>
      </w:pPr>
    </w:lvl>
    <w:lvl w:ilvl="5" w:tplc="0421001B" w:tentative="1">
      <w:start w:val="1"/>
      <w:numFmt w:val="lowerRoman"/>
      <w:lvlText w:val="%6."/>
      <w:lvlJc w:val="right"/>
      <w:pPr>
        <w:ind w:left="4566" w:hanging="180"/>
      </w:pPr>
    </w:lvl>
    <w:lvl w:ilvl="6" w:tplc="0421000F" w:tentative="1">
      <w:start w:val="1"/>
      <w:numFmt w:val="decimal"/>
      <w:lvlText w:val="%7."/>
      <w:lvlJc w:val="left"/>
      <w:pPr>
        <w:ind w:left="5286" w:hanging="360"/>
      </w:pPr>
    </w:lvl>
    <w:lvl w:ilvl="7" w:tplc="04210019" w:tentative="1">
      <w:start w:val="1"/>
      <w:numFmt w:val="lowerLetter"/>
      <w:lvlText w:val="%8."/>
      <w:lvlJc w:val="left"/>
      <w:pPr>
        <w:ind w:left="6006" w:hanging="360"/>
      </w:pPr>
    </w:lvl>
    <w:lvl w:ilvl="8" w:tplc="0421001B" w:tentative="1">
      <w:start w:val="1"/>
      <w:numFmt w:val="lowerRoman"/>
      <w:lvlText w:val="%9."/>
      <w:lvlJc w:val="right"/>
      <w:pPr>
        <w:ind w:left="6726" w:hanging="180"/>
      </w:pPr>
    </w:lvl>
  </w:abstractNum>
  <w:abstractNum w:abstractNumId="17">
    <w:nsid w:val="3FBE283A"/>
    <w:multiLevelType w:val="hybridMultilevel"/>
    <w:tmpl w:val="0A3AC93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8">
    <w:nsid w:val="426C78AC"/>
    <w:multiLevelType w:val="multilevel"/>
    <w:tmpl w:val="6A803FF6"/>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9">
    <w:nsid w:val="44483DCA"/>
    <w:multiLevelType w:val="multilevel"/>
    <w:tmpl w:val="625E2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7DB6F27"/>
    <w:multiLevelType w:val="hybridMultilevel"/>
    <w:tmpl w:val="DAB868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B92FB6"/>
    <w:multiLevelType w:val="hybridMultilevel"/>
    <w:tmpl w:val="1304E6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0D18AF"/>
    <w:multiLevelType w:val="multilevel"/>
    <w:tmpl w:val="3FA2B0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B4C45AC"/>
    <w:multiLevelType w:val="multilevel"/>
    <w:tmpl w:val="44FCE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B92362A"/>
    <w:multiLevelType w:val="hybridMultilevel"/>
    <w:tmpl w:val="685627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BB0499A"/>
    <w:multiLevelType w:val="multilevel"/>
    <w:tmpl w:val="D3329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0724BFF"/>
    <w:multiLevelType w:val="multilevel"/>
    <w:tmpl w:val="7C541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8740680"/>
    <w:multiLevelType w:val="multilevel"/>
    <w:tmpl w:val="1E6C8F0C"/>
    <w:lvl w:ilvl="0">
      <w:start w:val="3"/>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nsid w:val="6E417C06"/>
    <w:multiLevelType w:val="hybridMultilevel"/>
    <w:tmpl w:val="1B7A9D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0B771EB"/>
    <w:multiLevelType w:val="multilevel"/>
    <w:tmpl w:val="1D5EF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2765955"/>
    <w:multiLevelType w:val="hybridMultilevel"/>
    <w:tmpl w:val="9D6492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98537C9"/>
    <w:multiLevelType w:val="hybridMultilevel"/>
    <w:tmpl w:val="8CE6E3DE"/>
    <w:lvl w:ilvl="0" w:tplc="1780F192">
      <w:start w:val="3"/>
      <w:numFmt w:val="decimal"/>
      <w:lvlText w:val="%1."/>
      <w:lvlJc w:val="left"/>
      <w:pPr>
        <w:ind w:left="720" w:hanging="360"/>
      </w:pPr>
      <w:rPr>
        <w:rFonts w:ascii="Book Antiqua" w:hAnsi="Book Antiqua"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B094A64"/>
    <w:multiLevelType w:val="multilevel"/>
    <w:tmpl w:val="53ECF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D6F5CAE"/>
    <w:multiLevelType w:val="hybridMultilevel"/>
    <w:tmpl w:val="1B7A9D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8"/>
  </w:num>
  <w:num w:numId="3">
    <w:abstractNumId w:val="0"/>
  </w:num>
  <w:num w:numId="4">
    <w:abstractNumId w:val="6"/>
  </w:num>
  <w:num w:numId="5">
    <w:abstractNumId w:val="1"/>
  </w:num>
  <w:num w:numId="6">
    <w:abstractNumId w:val="16"/>
  </w:num>
  <w:num w:numId="7">
    <w:abstractNumId w:val="4"/>
  </w:num>
  <w:num w:numId="8">
    <w:abstractNumId w:val="19"/>
  </w:num>
  <w:num w:numId="9">
    <w:abstractNumId w:val="13"/>
  </w:num>
  <w:num w:numId="10">
    <w:abstractNumId w:val="11"/>
  </w:num>
  <w:num w:numId="11">
    <w:abstractNumId w:val="10"/>
  </w:num>
  <w:num w:numId="12">
    <w:abstractNumId w:val="24"/>
  </w:num>
  <w:num w:numId="13">
    <w:abstractNumId w:val="12"/>
  </w:num>
  <w:num w:numId="14">
    <w:abstractNumId w:val="3"/>
  </w:num>
  <w:num w:numId="15">
    <w:abstractNumId w:val="15"/>
  </w:num>
  <w:num w:numId="16">
    <w:abstractNumId w:val="5"/>
  </w:num>
  <w:num w:numId="17">
    <w:abstractNumId w:val="31"/>
  </w:num>
  <w:num w:numId="18">
    <w:abstractNumId w:val="27"/>
  </w:num>
  <w:num w:numId="19">
    <w:abstractNumId w:val="26"/>
  </w:num>
  <w:num w:numId="20">
    <w:abstractNumId w:val="32"/>
  </w:num>
  <w:num w:numId="21">
    <w:abstractNumId w:val="8"/>
  </w:num>
  <w:num w:numId="22">
    <w:abstractNumId w:val="23"/>
  </w:num>
  <w:num w:numId="23">
    <w:abstractNumId w:val="29"/>
  </w:num>
  <w:num w:numId="24">
    <w:abstractNumId w:val="9"/>
  </w:num>
  <w:num w:numId="25">
    <w:abstractNumId w:val="21"/>
  </w:num>
  <w:num w:numId="26">
    <w:abstractNumId w:val="17"/>
  </w:num>
  <w:num w:numId="27">
    <w:abstractNumId w:val="7"/>
  </w:num>
  <w:num w:numId="28">
    <w:abstractNumId w:val="28"/>
  </w:num>
  <w:num w:numId="29">
    <w:abstractNumId w:val="2"/>
  </w:num>
  <w:num w:numId="30">
    <w:abstractNumId w:val="33"/>
  </w:num>
  <w:num w:numId="31">
    <w:abstractNumId w:val="20"/>
  </w:num>
  <w:num w:numId="32">
    <w:abstractNumId w:val="30"/>
  </w:num>
  <w:num w:numId="33">
    <w:abstractNumId w:val="14"/>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67B"/>
    <w:rsid w:val="00000A7F"/>
    <w:rsid w:val="00000B3E"/>
    <w:rsid w:val="0000134A"/>
    <w:rsid w:val="000020CA"/>
    <w:rsid w:val="00002A1F"/>
    <w:rsid w:val="00002F43"/>
    <w:rsid w:val="0000305C"/>
    <w:rsid w:val="000036B3"/>
    <w:rsid w:val="00004B02"/>
    <w:rsid w:val="000056FC"/>
    <w:rsid w:val="00005738"/>
    <w:rsid w:val="0000617F"/>
    <w:rsid w:val="00006703"/>
    <w:rsid w:val="00006B0D"/>
    <w:rsid w:val="00006ED6"/>
    <w:rsid w:val="00007723"/>
    <w:rsid w:val="000078C9"/>
    <w:rsid w:val="0001034D"/>
    <w:rsid w:val="000105C1"/>
    <w:rsid w:val="000113DA"/>
    <w:rsid w:val="00012B9F"/>
    <w:rsid w:val="00014590"/>
    <w:rsid w:val="000203D2"/>
    <w:rsid w:val="00021F3A"/>
    <w:rsid w:val="000224E3"/>
    <w:rsid w:val="00022E43"/>
    <w:rsid w:val="000234E2"/>
    <w:rsid w:val="00023769"/>
    <w:rsid w:val="00024C32"/>
    <w:rsid w:val="00026788"/>
    <w:rsid w:val="000269A8"/>
    <w:rsid w:val="000278D2"/>
    <w:rsid w:val="0002798F"/>
    <w:rsid w:val="00030CF7"/>
    <w:rsid w:val="00030F4C"/>
    <w:rsid w:val="000311D7"/>
    <w:rsid w:val="00031544"/>
    <w:rsid w:val="00031B81"/>
    <w:rsid w:val="000322AD"/>
    <w:rsid w:val="00032958"/>
    <w:rsid w:val="000342B2"/>
    <w:rsid w:val="00035084"/>
    <w:rsid w:val="00035636"/>
    <w:rsid w:val="00036225"/>
    <w:rsid w:val="00037657"/>
    <w:rsid w:val="00037FFA"/>
    <w:rsid w:val="00040854"/>
    <w:rsid w:val="00040C6C"/>
    <w:rsid w:val="00041140"/>
    <w:rsid w:val="00044054"/>
    <w:rsid w:val="00045DD9"/>
    <w:rsid w:val="00047951"/>
    <w:rsid w:val="00047A64"/>
    <w:rsid w:val="00047C7B"/>
    <w:rsid w:val="000506F5"/>
    <w:rsid w:val="000509D2"/>
    <w:rsid w:val="00050D68"/>
    <w:rsid w:val="000510A8"/>
    <w:rsid w:val="000514A1"/>
    <w:rsid w:val="00051BC9"/>
    <w:rsid w:val="00052ECB"/>
    <w:rsid w:val="00053472"/>
    <w:rsid w:val="0005365A"/>
    <w:rsid w:val="00053BA4"/>
    <w:rsid w:val="000543BC"/>
    <w:rsid w:val="00054458"/>
    <w:rsid w:val="0005501C"/>
    <w:rsid w:val="00056371"/>
    <w:rsid w:val="0006019F"/>
    <w:rsid w:val="00060DC2"/>
    <w:rsid w:val="000638C1"/>
    <w:rsid w:val="00063977"/>
    <w:rsid w:val="00064D7A"/>
    <w:rsid w:val="000657D5"/>
    <w:rsid w:val="00065830"/>
    <w:rsid w:val="000662AC"/>
    <w:rsid w:val="00066CB4"/>
    <w:rsid w:val="00066E5E"/>
    <w:rsid w:val="00067D38"/>
    <w:rsid w:val="00070D60"/>
    <w:rsid w:val="00071B80"/>
    <w:rsid w:val="00071BF5"/>
    <w:rsid w:val="00072402"/>
    <w:rsid w:val="0007276E"/>
    <w:rsid w:val="00073F81"/>
    <w:rsid w:val="00074A0B"/>
    <w:rsid w:val="00075594"/>
    <w:rsid w:val="00075D97"/>
    <w:rsid w:val="00075FF2"/>
    <w:rsid w:val="00076F89"/>
    <w:rsid w:val="00077131"/>
    <w:rsid w:val="00077A1D"/>
    <w:rsid w:val="00077C7E"/>
    <w:rsid w:val="00077E35"/>
    <w:rsid w:val="00077EFA"/>
    <w:rsid w:val="00080E2E"/>
    <w:rsid w:val="00080F35"/>
    <w:rsid w:val="0008159A"/>
    <w:rsid w:val="00081A63"/>
    <w:rsid w:val="000832C6"/>
    <w:rsid w:val="000835B8"/>
    <w:rsid w:val="0008496A"/>
    <w:rsid w:val="00091403"/>
    <w:rsid w:val="0009397C"/>
    <w:rsid w:val="00093F6B"/>
    <w:rsid w:val="00094108"/>
    <w:rsid w:val="00094B5E"/>
    <w:rsid w:val="000960CB"/>
    <w:rsid w:val="000969BF"/>
    <w:rsid w:val="00097452"/>
    <w:rsid w:val="000A0E28"/>
    <w:rsid w:val="000A0E53"/>
    <w:rsid w:val="000A158A"/>
    <w:rsid w:val="000A1728"/>
    <w:rsid w:val="000A1B08"/>
    <w:rsid w:val="000A3451"/>
    <w:rsid w:val="000A379B"/>
    <w:rsid w:val="000A4D20"/>
    <w:rsid w:val="000A5705"/>
    <w:rsid w:val="000A5F6D"/>
    <w:rsid w:val="000B018C"/>
    <w:rsid w:val="000B0667"/>
    <w:rsid w:val="000B0B2F"/>
    <w:rsid w:val="000B445B"/>
    <w:rsid w:val="000B525D"/>
    <w:rsid w:val="000B53D9"/>
    <w:rsid w:val="000B62A6"/>
    <w:rsid w:val="000B653B"/>
    <w:rsid w:val="000B66EF"/>
    <w:rsid w:val="000C02E4"/>
    <w:rsid w:val="000C26CA"/>
    <w:rsid w:val="000C2917"/>
    <w:rsid w:val="000C2936"/>
    <w:rsid w:val="000C2EC1"/>
    <w:rsid w:val="000C42BE"/>
    <w:rsid w:val="000C4630"/>
    <w:rsid w:val="000C5479"/>
    <w:rsid w:val="000C54A5"/>
    <w:rsid w:val="000C5697"/>
    <w:rsid w:val="000C72BB"/>
    <w:rsid w:val="000D0B05"/>
    <w:rsid w:val="000D141F"/>
    <w:rsid w:val="000D3381"/>
    <w:rsid w:val="000D3C0F"/>
    <w:rsid w:val="000D3EC6"/>
    <w:rsid w:val="000D42FA"/>
    <w:rsid w:val="000D5472"/>
    <w:rsid w:val="000D5B77"/>
    <w:rsid w:val="000D6298"/>
    <w:rsid w:val="000D62B6"/>
    <w:rsid w:val="000D70D0"/>
    <w:rsid w:val="000E00D1"/>
    <w:rsid w:val="000E04D5"/>
    <w:rsid w:val="000E1BEA"/>
    <w:rsid w:val="000E28C9"/>
    <w:rsid w:val="000E2B61"/>
    <w:rsid w:val="000E4594"/>
    <w:rsid w:val="000E6735"/>
    <w:rsid w:val="000F0483"/>
    <w:rsid w:val="000F0C51"/>
    <w:rsid w:val="000F0F19"/>
    <w:rsid w:val="000F16EB"/>
    <w:rsid w:val="000F2B4E"/>
    <w:rsid w:val="000F4D45"/>
    <w:rsid w:val="000F56F8"/>
    <w:rsid w:val="000F5F45"/>
    <w:rsid w:val="000F68C5"/>
    <w:rsid w:val="000F6E61"/>
    <w:rsid w:val="000F7EDD"/>
    <w:rsid w:val="00100EFF"/>
    <w:rsid w:val="00101879"/>
    <w:rsid w:val="00101C75"/>
    <w:rsid w:val="00103595"/>
    <w:rsid w:val="001045AC"/>
    <w:rsid w:val="001060AB"/>
    <w:rsid w:val="00106256"/>
    <w:rsid w:val="00106594"/>
    <w:rsid w:val="0010693C"/>
    <w:rsid w:val="00107F7D"/>
    <w:rsid w:val="00112E49"/>
    <w:rsid w:val="001160E6"/>
    <w:rsid w:val="0011616F"/>
    <w:rsid w:val="00116FD1"/>
    <w:rsid w:val="001171A3"/>
    <w:rsid w:val="00117372"/>
    <w:rsid w:val="00117745"/>
    <w:rsid w:val="001178AC"/>
    <w:rsid w:val="001209AE"/>
    <w:rsid w:val="00121041"/>
    <w:rsid w:val="001211D0"/>
    <w:rsid w:val="00121EEF"/>
    <w:rsid w:val="00122470"/>
    <w:rsid w:val="00123736"/>
    <w:rsid w:val="00123CA4"/>
    <w:rsid w:val="001242D7"/>
    <w:rsid w:val="00124366"/>
    <w:rsid w:val="0012476C"/>
    <w:rsid w:val="001257BE"/>
    <w:rsid w:val="00126064"/>
    <w:rsid w:val="00126295"/>
    <w:rsid w:val="00126A09"/>
    <w:rsid w:val="00127070"/>
    <w:rsid w:val="001276B2"/>
    <w:rsid w:val="00127E2D"/>
    <w:rsid w:val="001311AB"/>
    <w:rsid w:val="001319A1"/>
    <w:rsid w:val="00131D63"/>
    <w:rsid w:val="00132326"/>
    <w:rsid w:val="00132BE4"/>
    <w:rsid w:val="00133128"/>
    <w:rsid w:val="00133BA8"/>
    <w:rsid w:val="00134796"/>
    <w:rsid w:val="00136E97"/>
    <w:rsid w:val="00137C77"/>
    <w:rsid w:val="00140F2E"/>
    <w:rsid w:val="0014160F"/>
    <w:rsid w:val="001426BE"/>
    <w:rsid w:val="001427CC"/>
    <w:rsid w:val="00142B66"/>
    <w:rsid w:val="00142F24"/>
    <w:rsid w:val="00143AD4"/>
    <w:rsid w:val="00144253"/>
    <w:rsid w:val="00144A43"/>
    <w:rsid w:val="00144F54"/>
    <w:rsid w:val="00145727"/>
    <w:rsid w:val="001462D7"/>
    <w:rsid w:val="00146BD4"/>
    <w:rsid w:val="00147432"/>
    <w:rsid w:val="00147D0B"/>
    <w:rsid w:val="00151847"/>
    <w:rsid w:val="001544BC"/>
    <w:rsid w:val="00154800"/>
    <w:rsid w:val="00155DAA"/>
    <w:rsid w:val="001563CC"/>
    <w:rsid w:val="00156CE9"/>
    <w:rsid w:val="00160419"/>
    <w:rsid w:val="00161396"/>
    <w:rsid w:val="00162CA0"/>
    <w:rsid w:val="0016377B"/>
    <w:rsid w:val="00163C27"/>
    <w:rsid w:val="0016454B"/>
    <w:rsid w:val="00164A4D"/>
    <w:rsid w:val="00164EC5"/>
    <w:rsid w:val="00167550"/>
    <w:rsid w:val="00170B7B"/>
    <w:rsid w:val="001713C4"/>
    <w:rsid w:val="00172811"/>
    <w:rsid w:val="00172898"/>
    <w:rsid w:val="00173D8F"/>
    <w:rsid w:val="00174ED1"/>
    <w:rsid w:val="00175302"/>
    <w:rsid w:val="00175477"/>
    <w:rsid w:val="00176F48"/>
    <w:rsid w:val="00181440"/>
    <w:rsid w:val="001814B9"/>
    <w:rsid w:val="00181E28"/>
    <w:rsid w:val="00182E30"/>
    <w:rsid w:val="00183B91"/>
    <w:rsid w:val="00184C88"/>
    <w:rsid w:val="00184DCC"/>
    <w:rsid w:val="0018510F"/>
    <w:rsid w:val="001917F5"/>
    <w:rsid w:val="00191B5D"/>
    <w:rsid w:val="001931A2"/>
    <w:rsid w:val="00193B34"/>
    <w:rsid w:val="00193BB9"/>
    <w:rsid w:val="001944DD"/>
    <w:rsid w:val="0019603B"/>
    <w:rsid w:val="00196C5E"/>
    <w:rsid w:val="001A0BE6"/>
    <w:rsid w:val="001A0C58"/>
    <w:rsid w:val="001A13DF"/>
    <w:rsid w:val="001A2F50"/>
    <w:rsid w:val="001A40A9"/>
    <w:rsid w:val="001A40EB"/>
    <w:rsid w:val="001A4394"/>
    <w:rsid w:val="001A5A60"/>
    <w:rsid w:val="001A68EA"/>
    <w:rsid w:val="001A7070"/>
    <w:rsid w:val="001A7F03"/>
    <w:rsid w:val="001B0DB7"/>
    <w:rsid w:val="001B1518"/>
    <w:rsid w:val="001B20F4"/>
    <w:rsid w:val="001B2110"/>
    <w:rsid w:val="001B2C54"/>
    <w:rsid w:val="001B658E"/>
    <w:rsid w:val="001B76B7"/>
    <w:rsid w:val="001C02E2"/>
    <w:rsid w:val="001C1B78"/>
    <w:rsid w:val="001C1BD7"/>
    <w:rsid w:val="001C1E63"/>
    <w:rsid w:val="001C2807"/>
    <w:rsid w:val="001C3200"/>
    <w:rsid w:val="001C3334"/>
    <w:rsid w:val="001C5CD7"/>
    <w:rsid w:val="001C61B1"/>
    <w:rsid w:val="001C6490"/>
    <w:rsid w:val="001C6CD2"/>
    <w:rsid w:val="001C7EA1"/>
    <w:rsid w:val="001D0557"/>
    <w:rsid w:val="001D07BC"/>
    <w:rsid w:val="001D142D"/>
    <w:rsid w:val="001D465D"/>
    <w:rsid w:val="001D46A4"/>
    <w:rsid w:val="001D4758"/>
    <w:rsid w:val="001D75C0"/>
    <w:rsid w:val="001E0868"/>
    <w:rsid w:val="001E0A18"/>
    <w:rsid w:val="001E12FD"/>
    <w:rsid w:val="001E174E"/>
    <w:rsid w:val="001E1EE3"/>
    <w:rsid w:val="001E2C99"/>
    <w:rsid w:val="001E32CD"/>
    <w:rsid w:val="001E36F1"/>
    <w:rsid w:val="001E3C8A"/>
    <w:rsid w:val="001E5FDF"/>
    <w:rsid w:val="001F060C"/>
    <w:rsid w:val="001F0821"/>
    <w:rsid w:val="001F0A06"/>
    <w:rsid w:val="001F28B7"/>
    <w:rsid w:val="001F2E7E"/>
    <w:rsid w:val="001F30EB"/>
    <w:rsid w:val="001F36A6"/>
    <w:rsid w:val="001F43CF"/>
    <w:rsid w:val="001F44FF"/>
    <w:rsid w:val="001F533D"/>
    <w:rsid w:val="001F545D"/>
    <w:rsid w:val="001F6A8C"/>
    <w:rsid w:val="001F6B45"/>
    <w:rsid w:val="001F712D"/>
    <w:rsid w:val="001F79D9"/>
    <w:rsid w:val="00201555"/>
    <w:rsid w:val="002017AF"/>
    <w:rsid w:val="0020264F"/>
    <w:rsid w:val="00202BAA"/>
    <w:rsid w:val="00203147"/>
    <w:rsid w:val="002048E3"/>
    <w:rsid w:val="00205FCC"/>
    <w:rsid w:val="00206AFE"/>
    <w:rsid w:val="00206F67"/>
    <w:rsid w:val="002071A2"/>
    <w:rsid w:val="002071CD"/>
    <w:rsid w:val="00207C6A"/>
    <w:rsid w:val="00207E27"/>
    <w:rsid w:val="0021010F"/>
    <w:rsid w:val="002101CC"/>
    <w:rsid w:val="00210FCB"/>
    <w:rsid w:val="002117D5"/>
    <w:rsid w:val="00212DA3"/>
    <w:rsid w:val="00213EEA"/>
    <w:rsid w:val="00215568"/>
    <w:rsid w:val="002162BD"/>
    <w:rsid w:val="002164EC"/>
    <w:rsid w:val="00217ECE"/>
    <w:rsid w:val="002205C4"/>
    <w:rsid w:val="00221FCE"/>
    <w:rsid w:val="002223BE"/>
    <w:rsid w:val="00223A08"/>
    <w:rsid w:val="00223C31"/>
    <w:rsid w:val="00224F8F"/>
    <w:rsid w:val="0022544F"/>
    <w:rsid w:val="00227BF8"/>
    <w:rsid w:val="00227C66"/>
    <w:rsid w:val="00230872"/>
    <w:rsid w:val="00230FB4"/>
    <w:rsid w:val="00231A08"/>
    <w:rsid w:val="00231BDC"/>
    <w:rsid w:val="00231E27"/>
    <w:rsid w:val="002329DA"/>
    <w:rsid w:val="00233455"/>
    <w:rsid w:val="00234056"/>
    <w:rsid w:val="00234FBA"/>
    <w:rsid w:val="00235D91"/>
    <w:rsid w:val="00235FA2"/>
    <w:rsid w:val="0023681B"/>
    <w:rsid w:val="002370AC"/>
    <w:rsid w:val="002407B6"/>
    <w:rsid w:val="002421A7"/>
    <w:rsid w:val="002425F3"/>
    <w:rsid w:val="0024299A"/>
    <w:rsid w:val="00242BF2"/>
    <w:rsid w:val="00243408"/>
    <w:rsid w:val="00244006"/>
    <w:rsid w:val="002453E2"/>
    <w:rsid w:val="00245997"/>
    <w:rsid w:val="00245A55"/>
    <w:rsid w:val="00245ABA"/>
    <w:rsid w:val="00250DF2"/>
    <w:rsid w:val="00251BD4"/>
    <w:rsid w:val="0025206D"/>
    <w:rsid w:val="00253AA3"/>
    <w:rsid w:val="00255E27"/>
    <w:rsid w:val="00256993"/>
    <w:rsid w:val="00260E2A"/>
    <w:rsid w:val="00260F51"/>
    <w:rsid w:val="00261100"/>
    <w:rsid w:val="0026155B"/>
    <w:rsid w:val="00261E0A"/>
    <w:rsid w:val="002621CE"/>
    <w:rsid w:val="00262792"/>
    <w:rsid w:val="00262CCA"/>
    <w:rsid w:val="00263377"/>
    <w:rsid w:val="00263BB3"/>
    <w:rsid w:val="00264327"/>
    <w:rsid w:val="0026486D"/>
    <w:rsid w:val="00264E6C"/>
    <w:rsid w:val="00264F02"/>
    <w:rsid w:val="00265E54"/>
    <w:rsid w:val="00266D93"/>
    <w:rsid w:val="0026765C"/>
    <w:rsid w:val="00267C68"/>
    <w:rsid w:val="00270F30"/>
    <w:rsid w:val="00271487"/>
    <w:rsid w:val="00272418"/>
    <w:rsid w:val="002725EB"/>
    <w:rsid w:val="0027268F"/>
    <w:rsid w:val="00272929"/>
    <w:rsid w:val="00272AD3"/>
    <w:rsid w:val="0027331F"/>
    <w:rsid w:val="00273C15"/>
    <w:rsid w:val="00273F55"/>
    <w:rsid w:val="00276777"/>
    <w:rsid w:val="002767AA"/>
    <w:rsid w:val="00276E52"/>
    <w:rsid w:val="00277890"/>
    <w:rsid w:val="0028003E"/>
    <w:rsid w:val="0028024F"/>
    <w:rsid w:val="00280C89"/>
    <w:rsid w:val="0028126B"/>
    <w:rsid w:val="00284182"/>
    <w:rsid w:val="0028571F"/>
    <w:rsid w:val="00286DDF"/>
    <w:rsid w:val="00287749"/>
    <w:rsid w:val="002878D2"/>
    <w:rsid w:val="002879B3"/>
    <w:rsid w:val="00287C68"/>
    <w:rsid w:val="002905AE"/>
    <w:rsid w:val="0029217B"/>
    <w:rsid w:val="00292CE6"/>
    <w:rsid w:val="002935BD"/>
    <w:rsid w:val="00294518"/>
    <w:rsid w:val="00294B48"/>
    <w:rsid w:val="00295609"/>
    <w:rsid w:val="00297ED8"/>
    <w:rsid w:val="002A0632"/>
    <w:rsid w:val="002A1882"/>
    <w:rsid w:val="002A2016"/>
    <w:rsid w:val="002A232F"/>
    <w:rsid w:val="002A2C74"/>
    <w:rsid w:val="002A2EBB"/>
    <w:rsid w:val="002A32FF"/>
    <w:rsid w:val="002A3E01"/>
    <w:rsid w:val="002A4A84"/>
    <w:rsid w:val="002A4F54"/>
    <w:rsid w:val="002A55C2"/>
    <w:rsid w:val="002A5C5B"/>
    <w:rsid w:val="002A6879"/>
    <w:rsid w:val="002A7C59"/>
    <w:rsid w:val="002B0E8C"/>
    <w:rsid w:val="002B130F"/>
    <w:rsid w:val="002B25B8"/>
    <w:rsid w:val="002B2E09"/>
    <w:rsid w:val="002B3D89"/>
    <w:rsid w:val="002B3E6F"/>
    <w:rsid w:val="002B4045"/>
    <w:rsid w:val="002B4701"/>
    <w:rsid w:val="002B4891"/>
    <w:rsid w:val="002B4E53"/>
    <w:rsid w:val="002B5526"/>
    <w:rsid w:val="002B68AC"/>
    <w:rsid w:val="002B7B91"/>
    <w:rsid w:val="002C073A"/>
    <w:rsid w:val="002C164E"/>
    <w:rsid w:val="002C1CD2"/>
    <w:rsid w:val="002C411D"/>
    <w:rsid w:val="002C42FB"/>
    <w:rsid w:val="002C434D"/>
    <w:rsid w:val="002C67E2"/>
    <w:rsid w:val="002D069D"/>
    <w:rsid w:val="002D07F1"/>
    <w:rsid w:val="002D0BF3"/>
    <w:rsid w:val="002D0F04"/>
    <w:rsid w:val="002D1926"/>
    <w:rsid w:val="002D1C65"/>
    <w:rsid w:val="002D2E2C"/>
    <w:rsid w:val="002D399F"/>
    <w:rsid w:val="002D3EBB"/>
    <w:rsid w:val="002D3F3E"/>
    <w:rsid w:val="002D43C4"/>
    <w:rsid w:val="002D59F6"/>
    <w:rsid w:val="002D6F73"/>
    <w:rsid w:val="002D75A9"/>
    <w:rsid w:val="002D7BA4"/>
    <w:rsid w:val="002E0202"/>
    <w:rsid w:val="002E42F0"/>
    <w:rsid w:val="002E4A3C"/>
    <w:rsid w:val="002E4DDF"/>
    <w:rsid w:val="002E505A"/>
    <w:rsid w:val="002E79E8"/>
    <w:rsid w:val="002F0599"/>
    <w:rsid w:val="002F39CC"/>
    <w:rsid w:val="002F40AB"/>
    <w:rsid w:val="002F44C4"/>
    <w:rsid w:val="002F6D4E"/>
    <w:rsid w:val="0030095B"/>
    <w:rsid w:val="00300AFB"/>
    <w:rsid w:val="00300F30"/>
    <w:rsid w:val="0030168C"/>
    <w:rsid w:val="00301B76"/>
    <w:rsid w:val="00304082"/>
    <w:rsid w:val="00304B04"/>
    <w:rsid w:val="003058ED"/>
    <w:rsid w:val="00305A7F"/>
    <w:rsid w:val="003075E3"/>
    <w:rsid w:val="003105A9"/>
    <w:rsid w:val="003114EA"/>
    <w:rsid w:val="00314396"/>
    <w:rsid w:val="00314B15"/>
    <w:rsid w:val="00316B8D"/>
    <w:rsid w:val="00316D5D"/>
    <w:rsid w:val="00316DA2"/>
    <w:rsid w:val="0031722D"/>
    <w:rsid w:val="00317795"/>
    <w:rsid w:val="0032213C"/>
    <w:rsid w:val="003245F0"/>
    <w:rsid w:val="0032571D"/>
    <w:rsid w:val="00326165"/>
    <w:rsid w:val="003262ED"/>
    <w:rsid w:val="00327928"/>
    <w:rsid w:val="003279B4"/>
    <w:rsid w:val="003279CB"/>
    <w:rsid w:val="00327C3F"/>
    <w:rsid w:val="00330CB3"/>
    <w:rsid w:val="0033251D"/>
    <w:rsid w:val="00333CFA"/>
    <w:rsid w:val="00337759"/>
    <w:rsid w:val="0034067D"/>
    <w:rsid w:val="003409C3"/>
    <w:rsid w:val="003442AD"/>
    <w:rsid w:val="0034558E"/>
    <w:rsid w:val="00347C47"/>
    <w:rsid w:val="003508FA"/>
    <w:rsid w:val="00351EB6"/>
    <w:rsid w:val="003529FC"/>
    <w:rsid w:val="0035345D"/>
    <w:rsid w:val="00353C6F"/>
    <w:rsid w:val="00357270"/>
    <w:rsid w:val="00357409"/>
    <w:rsid w:val="003578BE"/>
    <w:rsid w:val="00357F90"/>
    <w:rsid w:val="00360736"/>
    <w:rsid w:val="003623A5"/>
    <w:rsid w:val="0036245C"/>
    <w:rsid w:val="00362E02"/>
    <w:rsid w:val="00363220"/>
    <w:rsid w:val="003634BA"/>
    <w:rsid w:val="0036392A"/>
    <w:rsid w:val="00364736"/>
    <w:rsid w:val="0036498C"/>
    <w:rsid w:val="003652EC"/>
    <w:rsid w:val="003656F2"/>
    <w:rsid w:val="00367D85"/>
    <w:rsid w:val="00370DA2"/>
    <w:rsid w:val="00371A39"/>
    <w:rsid w:val="00371A42"/>
    <w:rsid w:val="00371E99"/>
    <w:rsid w:val="003720F7"/>
    <w:rsid w:val="003731BE"/>
    <w:rsid w:val="003750CA"/>
    <w:rsid w:val="00375AF5"/>
    <w:rsid w:val="003778FA"/>
    <w:rsid w:val="003803EA"/>
    <w:rsid w:val="00380F23"/>
    <w:rsid w:val="0038111A"/>
    <w:rsid w:val="0038150B"/>
    <w:rsid w:val="00381BBD"/>
    <w:rsid w:val="00382465"/>
    <w:rsid w:val="00382C49"/>
    <w:rsid w:val="0038359E"/>
    <w:rsid w:val="00383673"/>
    <w:rsid w:val="00383B11"/>
    <w:rsid w:val="00384C29"/>
    <w:rsid w:val="00385460"/>
    <w:rsid w:val="003857D8"/>
    <w:rsid w:val="00386E2B"/>
    <w:rsid w:val="00387485"/>
    <w:rsid w:val="00387911"/>
    <w:rsid w:val="003900D0"/>
    <w:rsid w:val="00391829"/>
    <w:rsid w:val="00391EAB"/>
    <w:rsid w:val="00392293"/>
    <w:rsid w:val="00392694"/>
    <w:rsid w:val="003934CC"/>
    <w:rsid w:val="0039443E"/>
    <w:rsid w:val="00396922"/>
    <w:rsid w:val="00396FEF"/>
    <w:rsid w:val="00397560"/>
    <w:rsid w:val="0039766F"/>
    <w:rsid w:val="00397E2A"/>
    <w:rsid w:val="003A0DF5"/>
    <w:rsid w:val="003A0F4A"/>
    <w:rsid w:val="003A2069"/>
    <w:rsid w:val="003A23FE"/>
    <w:rsid w:val="003A3CE6"/>
    <w:rsid w:val="003A59DA"/>
    <w:rsid w:val="003A7380"/>
    <w:rsid w:val="003A7F3D"/>
    <w:rsid w:val="003B0D0A"/>
    <w:rsid w:val="003B2E87"/>
    <w:rsid w:val="003B3488"/>
    <w:rsid w:val="003B360B"/>
    <w:rsid w:val="003B3A8E"/>
    <w:rsid w:val="003B3B86"/>
    <w:rsid w:val="003B4963"/>
    <w:rsid w:val="003B5143"/>
    <w:rsid w:val="003B54BF"/>
    <w:rsid w:val="003B7AF3"/>
    <w:rsid w:val="003C037C"/>
    <w:rsid w:val="003C1165"/>
    <w:rsid w:val="003C1A07"/>
    <w:rsid w:val="003C1ECA"/>
    <w:rsid w:val="003C227E"/>
    <w:rsid w:val="003C2802"/>
    <w:rsid w:val="003C34A7"/>
    <w:rsid w:val="003C41A7"/>
    <w:rsid w:val="003C461F"/>
    <w:rsid w:val="003C4C12"/>
    <w:rsid w:val="003C51D5"/>
    <w:rsid w:val="003C685B"/>
    <w:rsid w:val="003C74ED"/>
    <w:rsid w:val="003C7BBB"/>
    <w:rsid w:val="003C7D7E"/>
    <w:rsid w:val="003D04A3"/>
    <w:rsid w:val="003D11EA"/>
    <w:rsid w:val="003D2A5F"/>
    <w:rsid w:val="003D2CDA"/>
    <w:rsid w:val="003D405E"/>
    <w:rsid w:val="003D41F8"/>
    <w:rsid w:val="003D74E1"/>
    <w:rsid w:val="003D754F"/>
    <w:rsid w:val="003D78F7"/>
    <w:rsid w:val="003D7FBD"/>
    <w:rsid w:val="003E0692"/>
    <w:rsid w:val="003E1263"/>
    <w:rsid w:val="003E2179"/>
    <w:rsid w:val="003E49A8"/>
    <w:rsid w:val="003E5367"/>
    <w:rsid w:val="003E69C1"/>
    <w:rsid w:val="003E7586"/>
    <w:rsid w:val="003F0BF2"/>
    <w:rsid w:val="003F0F4C"/>
    <w:rsid w:val="003F17AF"/>
    <w:rsid w:val="003F30F0"/>
    <w:rsid w:val="003F452B"/>
    <w:rsid w:val="003F4D3C"/>
    <w:rsid w:val="003F6C8B"/>
    <w:rsid w:val="00400DB5"/>
    <w:rsid w:val="00403718"/>
    <w:rsid w:val="00406A24"/>
    <w:rsid w:val="0040721D"/>
    <w:rsid w:val="004079FB"/>
    <w:rsid w:val="00407CD8"/>
    <w:rsid w:val="004102AA"/>
    <w:rsid w:val="00410717"/>
    <w:rsid w:val="004118C9"/>
    <w:rsid w:val="00411DD0"/>
    <w:rsid w:val="00413B43"/>
    <w:rsid w:val="00414A56"/>
    <w:rsid w:val="0041517C"/>
    <w:rsid w:val="004151D9"/>
    <w:rsid w:val="004151FF"/>
    <w:rsid w:val="00415A5E"/>
    <w:rsid w:val="0041620A"/>
    <w:rsid w:val="0041697D"/>
    <w:rsid w:val="0041770A"/>
    <w:rsid w:val="00417FBB"/>
    <w:rsid w:val="0042135F"/>
    <w:rsid w:val="00422370"/>
    <w:rsid w:val="004226CD"/>
    <w:rsid w:val="004241DD"/>
    <w:rsid w:val="004250F2"/>
    <w:rsid w:val="004253AC"/>
    <w:rsid w:val="00426087"/>
    <w:rsid w:val="00426784"/>
    <w:rsid w:val="00426CFF"/>
    <w:rsid w:val="00426E25"/>
    <w:rsid w:val="00426F0B"/>
    <w:rsid w:val="004278D9"/>
    <w:rsid w:val="00427D55"/>
    <w:rsid w:val="00432330"/>
    <w:rsid w:val="004325B3"/>
    <w:rsid w:val="00434E1A"/>
    <w:rsid w:val="004367F7"/>
    <w:rsid w:val="00436D37"/>
    <w:rsid w:val="004412C7"/>
    <w:rsid w:val="004414B9"/>
    <w:rsid w:val="00442CE3"/>
    <w:rsid w:val="0044357E"/>
    <w:rsid w:val="00443B0F"/>
    <w:rsid w:val="004442F0"/>
    <w:rsid w:val="00445487"/>
    <w:rsid w:val="00445DBF"/>
    <w:rsid w:val="00445FF2"/>
    <w:rsid w:val="0044624F"/>
    <w:rsid w:val="0044656E"/>
    <w:rsid w:val="00450870"/>
    <w:rsid w:val="0045192A"/>
    <w:rsid w:val="0045233A"/>
    <w:rsid w:val="004526A8"/>
    <w:rsid w:val="00452757"/>
    <w:rsid w:val="00452882"/>
    <w:rsid w:val="00452B07"/>
    <w:rsid w:val="00453E6C"/>
    <w:rsid w:val="004560C8"/>
    <w:rsid w:val="0045643E"/>
    <w:rsid w:val="0045726E"/>
    <w:rsid w:val="00457305"/>
    <w:rsid w:val="00462514"/>
    <w:rsid w:val="00462BCB"/>
    <w:rsid w:val="00462E53"/>
    <w:rsid w:val="004635E2"/>
    <w:rsid w:val="00463623"/>
    <w:rsid w:val="004647C8"/>
    <w:rsid w:val="00465955"/>
    <w:rsid w:val="00466213"/>
    <w:rsid w:val="00467B7C"/>
    <w:rsid w:val="004703A9"/>
    <w:rsid w:val="00470553"/>
    <w:rsid w:val="00470B2D"/>
    <w:rsid w:val="00470B6E"/>
    <w:rsid w:val="00470CB2"/>
    <w:rsid w:val="00471B94"/>
    <w:rsid w:val="004727D0"/>
    <w:rsid w:val="004734FD"/>
    <w:rsid w:val="00474F04"/>
    <w:rsid w:val="00475E71"/>
    <w:rsid w:val="00476139"/>
    <w:rsid w:val="0047691D"/>
    <w:rsid w:val="00476C47"/>
    <w:rsid w:val="0047717E"/>
    <w:rsid w:val="004778C4"/>
    <w:rsid w:val="00477C6C"/>
    <w:rsid w:val="004805C5"/>
    <w:rsid w:val="004817A6"/>
    <w:rsid w:val="004827A6"/>
    <w:rsid w:val="004851FF"/>
    <w:rsid w:val="004861EB"/>
    <w:rsid w:val="004865B0"/>
    <w:rsid w:val="00487E88"/>
    <w:rsid w:val="00490863"/>
    <w:rsid w:val="00490E34"/>
    <w:rsid w:val="00493319"/>
    <w:rsid w:val="00493346"/>
    <w:rsid w:val="00494D54"/>
    <w:rsid w:val="004956E1"/>
    <w:rsid w:val="00496E61"/>
    <w:rsid w:val="004A19B5"/>
    <w:rsid w:val="004A282A"/>
    <w:rsid w:val="004A2BB1"/>
    <w:rsid w:val="004A2C1A"/>
    <w:rsid w:val="004A43A4"/>
    <w:rsid w:val="004A4C30"/>
    <w:rsid w:val="004A55CB"/>
    <w:rsid w:val="004A5F4F"/>
    <w:rsid w:val="004A68E1"/>
    <w:rsid w:val="004A7DFB"/>
    <w:rsid w:val="004B02FD"/>
    <w:rsid w:val="004B1F8A"/>
    <w:rsid w:val="004B332A"/>
    <w:rsid w:val="004B4557"/>
    <w:rsid w:val="004B737D"/>
    <w:rsid w:val="004B764C"/>
    <w:rsid w:val="004C29FB"/>
    <w:rsid w:val="004C4486"/>
    <w:rsid w:val="004C465C"/>
    <w:rsid w:val="004C5616"/>
    <w:rsid w:val="004C61AF"/>
    <w:rsid w:val="004C720F"/>
    <w:rsid w:val="004D1D4F"/>
    <w:rsid w:val="004D52D3"/>
    <w:rsid w:val="004D5529"/>
    <w:rsid w:val="004E079F"/>
    <w:rsid w:val="004E11EB"/>
    <w:rsid w:val="004E187F"/>
    <w:rsid w:val="004E1D07"/>
    <w:rsid w:val="004E47A8"/>
    <w:rsid w:val="004E47EA"/>
    <w:rsid w:val="004E64CD"/>
    <w:rsid w:val="004E67BB"/>
    <w:rsid w:val="004E6D5A"/>
    <w:rsid w:val="004E6F9A"/>
    <w:rsid w:val="004E7417"/>
    <w:rsid w:val="004E7CC4"/>
    <w:rsid w:val="004F00E7"/>
    <w:rsid w:val="004F15C6"/>
    <w:rsid w:val="004F32EE"/>
    <w:rsid w:val="004F6D45"/>
    <w:rsid w:val="0050021C"/>
    <w:rsid w:val="005003F3"/>
    <w:rsid w:val="005043A2"/>
    <w:rsid w:val="00504B89"/>
    <w:rsid w:val="005056F0"/>
    <w:rsid w:val="00505D34"/>
    <w:rsid w:val="00505E04"/>
    <w:rsid w:val="00510354"/>
    <w:rsid w:val="00510DD9"/>
    <w:rsid w:val="00510ED4"/>
    <w:rsid w:val="005112AE"/>
    <w:rsid w:val="005120EF"/>
    <w:rsid w:val="005133FB"/>
    <w:rsid w:val="00514A20"/>
    <w:rsid w:val="00514AF8"/>
    <w:rsid w:val="0051575A"/>
    <w:rsid w:val="005159A0"/>
    <w:rsid w:val="0052057B"/>
    <w:rsid w:val="00520785"/>
    <w:rsid w:val="0052282A"/>
    <w:rsid w:val="00522C0B"/>
    <w:rsid w:val="0052391E"/>
    <w:rsid w:val="00523E07"/>
    <w:rsid w:val="00524A64"/>
    <w:rsid w:val="00525E45"/>
    <w:rsid w:val="005261EA"/>
    <w:rsid w:val="005272BE"/>
    <w:rsid w:val="005310A3"/>
    <w:rsid w:val="0053121F"/>
    <w:rsid w:val="005315A7"/>
    <w:rsid w:val="00531C15"/>
    <w:rsid w:val="00532103"/>
    <w:rsid w:val="005324DC"/>
    <w:rsid w:val="0053295D"/>
    <w:rsid w:val="0053295E"/>
    <w:rsid w:val="00533989"/>
    <w:rsid w:val="00534C4A"/>
    <w:rsid w:val="00535840"/>
    <w:rsid w:val="00535CA6"/>
    <w:rsid w:val="005368AE"/>
    <w:rsid w:val="0053724B"/>
    <w:rsid w:val="00537CD0"/>
    <w:rsid w:val="00540601"/>
    <w:rsid w:val="00540665"/>
    <w:rsid w:val="005409CD"/>
    <w:rsid w:val="0054102B"/>
    <w:rsid w:val="00541213"/>
    <w:rsid w:val="005424E7"/>
    <w:rsid w:val="005440E0"/>
    <w:rsid w:val="005443BD"/>
    <w:rsid w:val="00544B61"/>
    <w:rsid w:val="00544C0A"/>
    <w:rsid w:val="005457E3"/>
    <w:rsid w:val="00547E67"/>
    <w:rsid w:val="005510D5"/>
    <w:rsid w:val="005518EC"/>
    <w:rsid w:val="005526FA"/>
    <w:rsid w:val="005528F9"/>
    <w:rsid w:val="00552DB0"/>
    <w:rsid w:val="00553396"/>
    <w:rsid w:val="00555304"/>
    <w:rsid w:val="00555E21"/>
    <w:rsid w:val="0055695B"/>
    <w:rsid w:val="005571F6"/>
    <w:rsid w:val="00557CC1"/>
    <w:rsid w:val="005610E0"/>
    <w:rsid w:val="0056125B"/>
    <w:rsid w:val="005613BF"/>
    <w:rsid w:val="005614D6"/>
    <w:rsid w:val="00561594"/>
    <w:rsid w:val="00561B41"/>
    <w:rsid w:val="00563FF7"/>
    <w:rsid w:val="005643C7"/>
    <w:rsid w:val="00564B7B"/>
    <w:rsid w:val="00564D4A"/>
    <w:rsid w:val="00565570"/>
    <w:rsid w:val="0056601D"/>
    <w:rsid w:val="00567BCE"/>
    <w:rsid w:val="005708B9"/>
    <w:rsid w:val="0057099A"/>
    <w:rsid w:val="00570C75"/>
    <w:rsid w:val="005717D9"/>
    <w:rsid w:val="00572641"/>
    <w:rsid w:val="00574D22"/>
    <w:rsid w:val="00575374"/>
    <w:rsid w:val="0057586D"/>
    <w:rsid w:val="00577DB4"/>
    <w:rsid w:val="00580495"/>
    <w:rsid w:val="00580A47"/>
    <w:rsid w:val="005850B7"/>
    <w:rsid w:val="005873FA"/>
    <w:rsid w:val="00587A45"/>
    <w:rsid w:val="00590062"/>
    <w:rsid w:val="00590B62"/>
    <w:rsid w:val="00590CDF"/>
    <w:rsid w:val="00590CE2"/>
    <w:rsid w:val="00591735"/>
    <w:rsid w:val="005919B3"/>
    <w:rsid w:val="0059275C"/>
    <w:rsid w:val="0059297A"/>
    <w:rsid w:val="00592C05"/>
    <w:rsid w:val="005940B9"/>
    <w:rsid w:val="00594E58"/>
    <w:rsid w:val="005A03F2"/>
    <w:rsid w:val="005A07B8"/>
    <w:rsid w:val="005A0EB6"/>
    <w:rsid w:val="005A18B3"/>
    <w:rsid w:val="005A1E56"/>
    <w:rsid w:val="005A1F16"/>
    <w:rsid w:val="005A4420"/>
    <w:rsid w:val="005A6658"/>
    <w:rsid w:val="005A78F7"/>
    <w:rsid w:val="005A7D8C"/>
    <w:rsid w:val="005B0E05"/>
    <w:rsid w:val="005B286C"/>
    <w:rsid w:val="005B2AAB"/>
    <w:rsid w:val="005B2AB7"/>
    <w:rsid w:val="005B30E8"/>
    <w:rsid w:val="005B553A"/>
    <w:rsid w:val="005B635B"/>
    <w:rsid w:val="005B6746"/>
    <w:rsid w:val="005B6838"/>
    <w:rsid w:val="005B7587"/>
    <w:rsid w:val="005B7E69"/>
    <w:rsid w:val="005C05DF"/>
    <w:rsid w:val="005C1334"/>
    <w:rsid w:val="005C1AAC"/>
    <w:rsid w:val="005C2D28"/>
    <w:rsid w:val="005C426B"/>
    <w:rsid w:val="005C530E"/>
    <w:rsid w:val="005C539C"/>
    <w:rsid w:val="005C6788"/>
    <w:rsid w:val="005C75B1"/>
    <w:rsid w:val="005C7756"/>
    <w:rsid w:val="005C7974"/>
    <w:rsid w:val="005D0054"/>
    <w:rsid w:val="005D1967"/>
    <w:rsid w:val="005D2A07"/>
    <w:rsid w:val="005D2BB4"/>
    <w:rsid w:val="005D360B"/>
    <w:rsid w:val="005D36D8"/>
    <w:rsid w:val="005D3A67"/>
    <w:rsid w:val="005D4426"/>
    <w:rsid w:val="005D6BD7"/>
    <w:rsid w:val="005D6C80"/>
    <w:rsid w:val="005D7641"/>
    <w:rsid w:val="005E2B94"/>
    <w:rsid w:val="005E31F1"/>
    <w:rsid w:val="005E33CB"/>
    <w:rsid w:val="005E426A"/>
    <w:rsid w:val="005E46AF"/>
    <w:rsid w:val="005E4F33"/>
    <w:rsid w:val="005E53B9"/>
    <w:rsid w:val="005E54F8"/>
    <w:rsid w:val="005E6C08"/>
    <w:rsid w:val="005E6C21"/>
    <w:rsid w:val="005E7C73"/>
    <w:rsid w:val="005F0789"/>
    <w:rsid w:val="005F0C09"/>
    <w:rsid w:val="005F10C0"/>
    <w:rsid w:val="005F12CA"/>
    <w:rsid w:val="005F15EC"/>
    <w:rsid w:val="005F1640"/>
    <w:rsid w:val="005F202C"/>
    <w:rsid w:val="005F2E11"/>
    <w:rsid w:val="005F3BD8"/>
    <w:rsid w:val="005F3F1F"/>
    <w:rsid w:val="005F43B5"/>
    <w:rsid w:val="005F4406"/>
    <w:rsid w:val="005F48F1"/>
    <w:rsid w:val="005F4A40"/>
    <w:rsid w:val="005F4E52"/>
    <w:rsid w:val="005F4FD2"/>
    <w:rsid w:val="005F665F"/>
    <w:rsid w:val="005F6B3B"/>
    <w:rsid w:val="005F7631"/>
    <w:rsid w:val="005F79F4"/>
    <w:rsid w:val="00600BE9"/>
    <w:rsid w:val="00600FE1"/>
    <w:rsid w:val="006018DF"/>
    <w:rsid w:val="0060417C"/>
    <w:rsid w:val="00604E4E"/>
    <w:rsid w:val="006059FE"/>
    <w:rsid w:val="00605AFD"/>
    <w:rsid w:val="00607630"/>
    <w:rsid w:val="00607732"/>
    <w:rsid w:val="006102BE"/>
    <w:rsid w:val="006103C4"/>
    <w:rsid w:val="00611CA0"/>
    <w:rsid w:val="00612668"/>
    <w:rsid w:val="00612749"/>
    <w:rsid w:val="00613579"/>
    <w:rsid w:val="0061760C"/>
    <w:rsid w:val="00617B27"/>
    <w:rsid w:val="006202C9"/>
    <w:rsid w:val="00620E2A"/>
    <w:rsid w:val="00622370"/>
    <w:rsid w:val="0062451E"/>
    <w:rsid w:val="006247CC"/>
    <w:rsid w:val="006250E1"/>
    <w:rsid w:val="00625CB9"/>
    <w:rsid w:val="00627008"/>
    <w:rsid w:val="006277A6"/>
    <w:rsid w:val="0063027D"/>
    <w:rsid w:val="00632DEC"/>
    <w:rsid w:val="00635048"/>
    <w:rsid w:val="0063765E"/>
    <w:rsid w:val="006376D2"/>
    <w:rsid w:val="00640C26"/>
    <w:rsid w:val="00640F3A"/>
    <w:rsid w:val="00641830"/>
    <w:rsid w:val="00642B79"/>
    <w:rsid w:val="00643086"/>
    <w:rsid w:val="0064374B"/>
    <w:rsid w:val="00644F8B"/>
    <w:rsid w:val="0064510E"/>
    <w:rsid w:val="0064649A"/>
    <w:rsid w:val="0064693E"/>
    <w:rsid w:val="00646B9D"/>
    <w:rsid w:val="00647256"/>
    <w:rsid w:val="00650B63"/>
    <w:rsid w:val="00650B7E"/>
    <w:rsid w:val="00651AE0"/>
    <w:rsid w:val="006520B0"/>
    <w:rsid w:val="006522D4"/>
    <w:rsid w:val="00652734"/>
    <w:rsid w:val="00652CD9"/>
    <w:rsid w:val="00653F43"/>
    <w:rsid w:val="006544FC"/>
    <w:rsid w:val="00654806"/>
    <w:rsid w:val="00656B89"/>
    <w:rsid w:val="00657669"/>
    <w:rsid w:val="006608AC"/>
    <w:rsid w:val="006625AB"/>
    <w:rsid w:val="00662912"/>
    <w:rsid w:val="00663CDC"/>
    <w:rsid w:val="006658EB"/>
    <w:rsid w:val="00665E43"/>
    <w:rsid w:val="00665E48"/>
    <w:rsid w:val="006679FC"/>
    <w:rsid w:val="00667D3E"/>
    <w:rsid w:val="006722A6"/>
    <w:rsid w:val="0067383A"/>
    <w:rsid w:val="00673890"/>
    <w:rsid w:val="00674933"/>
    <w:rsid w:val="00674D58"/>
    <w:rsid w:val="00675589"/>
    <w:rsid w:val="0067618D"/>
    <w:rsid w:val="006766C7"/>
    <w:rsid w:val="00676DFC"/>
    <w:rsid w:val="006771D1"/>
    <w:rsid w:val="00680927"/>
    <w:rsid w:val="006813A3"/>
    <w:rsid w:val="00681555"/>
    <w:rsid w:val="00681882"/>
    <w:rsid w:val="00681BDE"/>
    <w:rsid w:val="00682FA3"/>
    <w:rsid w:val="00683730"/>
    <w:rsid w:val="006839CA"/>
    <w:rsid w:val="00684B69"/>
    <w:rsid w:val="00684BDE"/>
    <w:rsid w:val="00684F84"/>
    <w:rsid w:val="006856CA"/>
    <w:rsid w:val="00687337"/>
    <w:rsid w:val="00687A3E"/>
    <w:rsid w:val="00687AC9"/>
    <w:rsid w:val="0069006D"/>
    <w:rsid w:val="00691E80"/>
    <w:rsid w:val="00691FDD"/>
    <w:rsid w:val="0069245C"/>
    <w:rsid w:val="0069463C"/>
    <w:rsid w:val="00694666"/>
    <w:rsid w:val="00695BDC"/>
    <w:rsid w:val="0069791A"/>
    <w:rsid w:val="006A1E81"/>
    <w:rsid w:val="006A27B7"/>
    <w:rsid w:val="006A32BF"/>
    <w:rsid w:val="006A3FD6"/>
    <w:rsid w:val="006A4081"/>
    <w:rsid w:val="006A62FE"/>
    <w:rsid w:val="006A7AD1"/>
    <w:rsid w:val="006A7F69"/>
    <w:rsid w:val="006B0B06"/>
    <w:rsid w:val="006B0B39"/>
    <w:rsid w:val="006B11FE"/>
    <w:rsid w:val="006B14B9"/>
    <w:rsid w:val="006B1D34"/>
    <w:rsid w:val="006B1EE6"/>
    <w:rsid w:val="006B22F5"/>
    <w:rsid w:val="006B3B35"/>
    <w:rsid w:val="006B714A"/>
    <w:rsid w:val="006B7892"/>
    <w:rsid w:val="006C0999"/>
    <w:rsid w:val="006C09DD"/>
    <w:rsid w:val="006C0C57"/>
    <w:rsid w:val="006C11CC"/>
    <w:rsid w:val="006C160F"/>
    <w:rsid w:val="006C34B5"/>
    <w:rsid w:val="006C418E"/>
    <w:rsid w:val="006C503F"/>
    <w:rsid w:val="006C5C31"/>
    <w:rsid w:val="006C5F8F"/>
    <w:rsid w:val="006C6E01"/>
    <w:rsid w:val="006D0B3B"/>
    <w:rsid w:val="006D14EA"/>
    <w:rsid w:val="006D2927"/>
    <w:rsid w:val="006D33DF"/>
    <w:rsid w:val="006D3975"/>
    <w:rsid w:val="006D3B87"/>
    <w:rsid w:val="006D5DD0"/>
    <w:rsid w:val="006D6F98"/>
    <w:rsid w:val="006D7CB1"/>
    <w:rsid w:val="006E0475"/>
    <w:rsid w:val="006E049A"/>
    <w:rsid w:val="006E0ED8"/>
    <w:rsid w:val="006E0F70"/>
    <w:rsid w:val="006E2309"/>
    <w:rsid w:val="006E4F99"/>
    <w:rsid w:val="006E54CB"/>
    <w:rsid w:val="006E61CC"/>
    <w:rsid w:val="006E65BB"/>
    <w:rsid w:val="006E7137"/>
    <w:rsid w:val="006F01AD"/>
    <w:rsid w:val="006F0ECB"/>
    <w:rsid w:val="006F3D16"/>
    <w:rsid w:val="006F424F"/>
    <w:rsid w:val="006F4327"/>
    <w:rsid w:val="006F55FD"/>
    <w:rsid w:val="006F622A"/>
    <w:rsid w:val="0070014D"/>
    <w:rsid w:val="00701754"/>
    <w:rsid w:val="00701E7B"/>
    <w:rsid w:val="00703221"/>
    <w:rsid w:val="007036B1"/>
    <w:rsid w:val="00703C14"/>
    <w:rsid w:val="00704833"/>
    <w:rsid w:val="00704FE5"/>
    <w:rsid w:val="00710B54"/>
    <w:rsid w:val="00711E78"/>
    <w:rsid w:val="00712A49"/>
    <w:rsid w:val="0071390B"/>
    <w:rsid w:val="00713B92"/>
    <w:rsid w:val="00714000"/>
    <w:rsid w:val="0071415C"/>
    <w:rsid w:val="00714C65"/>
    <w:rsid w:val="00715626"/>
    <w:rsid w:val="00717ED5"/>
    <w:rsid w:val="00721249"/>
    <w:rsid w:val="007225D6"/>
    <w:rsid w:val="00722828"/>
    <w:rsid w:val="00724909"/>
    <w:rsid w:val="00727F94"/>
    <w:rsid w:val="0073097E"/>
    <w:rsid w:val="00733807"/>
    <w:rsid w:val="00733B23"/>
    <w:rsid w:val="00733FD0"/>
    <w:rsid w:val="00735337"/>
    <w:rsid w:val="00735F77"/>
    <w:rsid w:val="007364D5"/>
    <w:rsid w:val="00736916"/>
    <w:rsid w:val="007369F2"/>
    <w:rsid w:val="00736C7B"/>
    <w:rsid w:val="00737260"/>
    <w:rsid w:val="007374C5"/>
    <w:rsid w:val="007379A5"/>
    <w:rsid w:val="00737C6D"/>
    <w:rsid w:val="007429E3"/>
    <w:rsid w:val="00742EC7"/>
    <w:rsid w:val="007438BD"/>
    <w:rsid w:val="007440E5"/>
    <w:rsid w:val="007441B4"/>
    <w:rsid w:val="0074507D"/>
    <w:rsid w:val="0074649D"/>
    <w:rsid w:val="007468A6"/>
    <w:rsid w:val="00746F7D"/>
    <w:rsid w:val="00746FF2"/>
    <w:rsid w:val="007472DE"/>
    <w:rsid w:val="00747467"/>
    <w:rsid w:val="00747575"/>
    <w:rsid w:val="00747F25"/>
    <w:rsid w:val="00750020"/>
    <w:rsid w:val="00750111"/>
    <w:rsid w:val="00754EB8"/>
    <w:rsid w:val="0075517A"/>
    <w:rsid w:val="007554E4"/>
    <w:rsid w:val="007565E3"/>
    <w:rsid w:val="007568DA"/>
    <w:rsid w:val="00756CB1"/>
    <w:rsid w:val="007570B6"/>
    <w:rsid w:val="00757261"/>
    <w:rsid w:val="00760507"/>
    <w:rsid w:val="00760CD5"/>
    <w:rsid w:val="00761309"/>
    <w:rsid w:val="00761BEA"/>
    <w:rsid w:val="007621C4"/>
    <w:rsid w:val="007625C8"/>
    <w:rsid w:val="00763225"/>
    <w:rsid w:val="007667B6"/>
    <w:rsid w:val="00770EA8"/>
    <w:rsid w:val="00771E7E"/>
    <w:rsid w:val="0077218C"/>
    <w:rsid w:val="007724D4"/>
    <w:rsid w:val="00774367"/>
    <w:rsid w:val="00774EDC"/>
    <w:rsid w:val="007765D1"/>
    <w:rsid w:val="00776C80"/>
    <w:rsid w:val="00780185"/>
    <w:rsid w:val="0078035D"/>
    <w:rsid w:val="00780466"/>
    <w:rsid w:val="00781233"/>
    <w:rsid w:val="007819DA"/>
    <w:rsid w:val="0078212C"/>
    <w:rsid w:val="00782CBA"/>
    <w:rsid w:val="007850B2"/>
    <w:rsid w:val="00785400"/>
    <w:rsid w:val="00785959"/>
    <w:rsid w:val="00785B79"/>
    <w:rsid w:val="00785D12"/>
    <w:rsid w:val="00790DC9"/>
    <w:rsid w:val="00791329"/>
    <w:rsid w:val="0079157A"/>
    <w:rsid w:val="007919F3"/>
    <w:rsid w:val="007952DE"/>
    <w:rsid w:val="007954C2"/>
    <w:rsid w:val="00795F38"/>
    <w:rsid w:val="00796B26"/>
    <w:rsid w:val="0079745C"/>
    <w:rsid w:val="00797605"/>
    <w:rsid w:val="00797D89"/>
    <w:rsid w:val="007A22BD"/>
    <w:rsid w:val="007A2A38"/>
    <w:rsid w:val="007A4000"/>
    <w:rsid w:val="007A40B5"/>
    <w:rsid w:val="007A42EA"/>
    <w:rsid w:val="007A4A16"/>
    <w:rsid w:val="007A4AC8"/>
    <w:rsid w:val="007A4D2C"/>
    <w:rsid w:val="007A563A"/>
    <w:rsid w:val="007B005A"/>
    <w:rsid w:val="007B0682"/>
    <w:rsid w:val="007B0725"/>
    <w:rsid w:val="007B1842"/>
    <w:rsid w:val="007B28DC"/>
    <w:rsid w:val="007B41B5"/>
    <w:rsid w:val="007B4A3E"/>
    <w:rsid w:val="007B4FB5"/>
    <w:rsid w:val="007B5987"/>
    <w:rsid w:val="007B59B5"/>
    <w:rsid w:val="007B76BE"/>
    <w:rsid w:val="007C05F4"/>
    <w:rsid w:val="007C09FE"/>
    <w:rsid w:val="007C2402"/>
    <w:rsid w:val="007C4161"/>
    <w:rsid w:val="007C44D2"/>
    <w:rsid w:val="007C5017"/>
    <w:rsid w:val="007C5879"/>
    <w:rsid w:val="007C5FDD"/>
    <w:rsid w:val="007C6FE9"/>
    <w:rsid w:val="007C70BB"/>
    <w:rsid w:val="007D0268"/>
    <w:rsid w:val="007D0DC2"/>
    <w:rsid w:val="007D1C65"/>
    <w:rsid w:val="007D231F"/>
    <w:rsid w:val="007D26C7"/>
    <w:rsid w:val="007D2793"/>
    <w:rsid w:val="007D335A"/>
    <w:rsid w:val="007D416C"/>
    <w:rsid w:val="007D4269"/>
    <w:rsid w:val="007D45A0"/>
    <w:rsid w:val="007D46A6"/>
    <w:rsid w:val="007D5E57"/>
    <w:rsid w:val="007D65A5"/>
    <w:rsid w:val="007D742E"/>
    <w:rsid w:val="007D7B06"/>
    <w:rsid w:val="007E0D38"/>
    <w:rsid w:val="007E0ED6"/>
    <w:rsid w:val="007E1930"/>
    <w:rsid w:val="007E1C86"/>
    <w:rsid w:val="007E28A5"/>
    <w:rsid w:val="007E44D0"/>
    <w:rsid w:val="007E46EE"/>
    <w:rsid w:val="007E6638"/>
    <w:rsid w:val="007F0B65"/>
    <w:rsid w:val="007F25CC"/>
    <w:rsid w:val="007F3ABA"/>
    <w:rsid w:val="007F3B6E"/>
    <w:rsid w:val="007F3C5B"/>
    <w:rsid w:val="007F3D49"/>
    <w:rsid w:val="007F5226"/>
    <w:rsid w:val="007F6872"/>
    <w:rsid w:val="00800270"/>
    <w:rsid w:val="00800EEC"/>
    <w:rsid w:val="0080172B"/>
    <w:rsid w:val="00803FA7"/>
    <w:rsid w:val="00806137"/>
    <w:rsid w:val="00806E6C"/>
    <w:rsid w:val="008101B3"/>
    <w:rsid w:val="0081038E"/>
    <w:rsid w:val="00810C30"/>
    <w:rsid w:val="00811D86"/>
    <w:rsid w:val="0081248D"/>
    <w:rsid w:val="008132F8"/>
    <w:rsid w:val="00813FE2"/>
    <w:rsid w:val="0081524E"/>
    <w:rsid w:val="008153BA"/>
    <w:rsid w:val="00815888"/>
    <w:rsid w:val="00815C1A"/>
    <w:rsid w:val="0081760C"/>
    <w:rsid w:val="00817FC1"/>
    <w:rsid w:val="0082151C"/>
    <w:rsid w:val="00822142"/>
    <w:rsid w:val="00822262"/>
    <w:rsid w:val="0082237B"/>
    <w:rsid w:val="00824089"/>
    <w:rsid w:val="0082531E"/>
    <w:rsid w:val="008253A1"/>
    <w:rsid w:val="00826C59"/>
    <w:rsid w:val="00827442"/>
    <w:rsid w:val="0083080A"/>
    <w:rsid w:val="008348AC"/>
    <w:rsid w:val="00837D77"/>
    <w:rsid w:val="00840B64"/>
    <w:rsid w:val="00840F2A"/>
    <w:rsid w:val="008417DC"/>
    <w:rsid w:val="008421AE"/>
    <w:rsid w:val="0084366A"/>
    <w:rsid w:val="00843A53"/>
    <w:rsid w:val="00845977"/>
    <w:rsid w:val="00846F7D"/>
    <w:rsid w:val="008470F4"/>
    <w:rsid w:val="008507ED"/>
    <w:rsid w:val="0085238D"/>
    <w:rsid w:val="00853576"/>
    <w:rsid w:val="00853D55"/>
    <w:rsid w:val="00853E7A"/>
    <w:rsid w:val="0085537B"/>
    <w:rsid w:val="008562B6"/>
    <w:rsid w:val="00856C89"/>
    <w:rsid w:val="008576C6"/>
    <w:rsid w:val="008602EC"/>
    <w:rsid w:val="00861090"/>
    <w:rsid w:val="008617E0"/>
    <w:rsid w:val="00861ACF"/>
    <w:rsid w:val="00861C09"/>
    <w:rsid w:val="00861C90"/>
    <w:rsid w:val="00861EE8"/>
    <w:rsid w:val="00862A1C"/>
    <w:rsid w:val="00862DA1"/>
    <w:rsid w:val="008660FF"/>
    <w:rsid w:val="00866A3D"/>
    <w:rsid w:val="00866CB5"/>
    <w:rsid w:val="00867BF7"/>
    <w:rsid w:val="00867E7C"/>
    <w:rsid w:val="0087028D"/>
    <w:rsid w:val="00871536"/>
    <w:rsid w:val="008717E8"/>
    <w:rsid w:val="00871ADD"/>
    <w:rsid w:val="0087315F"/>
    <w:rsid w:val="00876CBA"/>
    <w:rsid w:val="00876E50"/>
    <w:rsid w:val="0087761B"/>
    <w:rsid w:val="008819C4"/>
    <w:rsid w:val="00883334"/>
    <w:rsid w:val="00883786"/>
    <w:rsid w:val="0088386B"/>
    <w:rsid w:val="00885645"/>
    <w:rsid w:val="00885F0A"/>
    <w:rsid w:val="00890595"/>
    <w:rsid w:val="00890E2C"/>
    <w:rsid w:val="00891304"/>
    <w:rsid w:val="00891E57"/>
    <w:rsid w:val="0089253C"/>
    <w:rsid w:val="0089311A"/>
    <w:rsid w:val="008931FD"/>
    <w:rsid w:val="00893624"/>
    <w:rsid w:val="00893939"/>
    <w:rsid w:val="0089448E"/>
    <w:rsid w:val="00897F01"/>
    <w:rsid w:val="008A25B6"/>
    <w:rsid w:val="008A28AB"/>
    <w:rsid w:val="008A471D"/>
    <w:rsid w:val="008A52B2"/>
    <w:rsid w:val="008A57C5"/>
    <w:rsid w:val="008A5EF8"/>
    <w:rsid w:val="008A6C72"/>
    <w:rsid w:val="008A7A7B"/>
    <w:rsid w:val="008B1372"/>
    <w:rsid w:val="008B1430"/>
    <w:rsid w:val="008B1765"/>
    <w:rsid w:val="008B1BA2"/>
    <w:rsid w:val="008B3C53"/>
    <w:rsid w:val="008B3CA9"/>
    <w:rsid w:val="008B59A8"/>
    <w:rsid w:val="008C0440"/>
    <w:rsid w:val="008C1296"/>
    <w:rsid w:val="008C1A5E"/>
    <w:rsid w:val="008C2B90"/>
    <w:rsid w:val="008C4549"/>
    <w:rsid w:val="008C4CBA"/>
    <w:rsid w:val="008C4F79"/>
    <w:rsid w:val="008C5388"/>
    <w:rsid w:val="008C6DFD"/>
    <w:rsid w:val="008C738F"/>
    <w:rsid w:val="008D1569"/>
    <w:rsid w:val="008D18DB"/>
    <w:rsid w:val="008D4665"/>
    <w:rsid w:val="008D5448"/>
    <w:rsid w:val="008D7005"/>
    <w:rsid w:val="008D79B8"/>
    <w:rsid w:val="008D7A60"/>
    <w:rsid w:val="008D7B7C"/>
    <w:rsid w:val="008E112C"/>
    <w:rsid w:val="008E2083"/>
    <w:rsid w:val="008E225B"/>
    <w:rsid w:val="008E55D1"/>
    <w:rsid w:val="008F0608"/>
    <w:rsid w:val="008F0957"/>
    <w:rsid w:val="008F0B28"/>
    <w:rsid w:val="008F116A"/>
    <w:rsid w:val="008F133F"/>
    <w:rsid w:val="008F308E"/>
    <w:rsid w:val="008F333D"/>
    <w:rsid w:val="008F3953"/>
    <w:rsid w:val="008F467A"/>
    <w:rsid w:val="008F6AAE"/>
    <w:rsid w:val="008F72E9"/>
    <w:rsid w:val="008F7E61"/>
    <w:rsid w:val="0090089F"/>
    <w:rsid w:val="00901483"/>
    <w:rsid w:val="00901545"/>
    <w:rsid w:val="00902157"/>
    <w:rsid w:val="009037F9"/>
    <w:rsid w:val="00904AAB"/>
    <w:rsid w:val="00905801"/>
    <w:rsid w:val="009064D5"/>
    <w:rsid w:val="009107E8"/>
    <w:rsid w:val="00911459"/>
    <w:rsid w:val="00914490"/>
    <w:rsid w:val="00914D08"/>
    <w:rsid w:val="00915E13"/>
    <w:rsid w:val="009168F0"/>
    <w:rsid w:val="00916A51"/>
    <w:rsid w:val="00917065"/>
    <w:rsid w:val="00920143"/>
    <w:rsid w:val="009205A4"/>
    <w:rsid w:val="00922B5C"/>
    <w:rsid w:val="009231F2"/>
    <w:rsid w:val="009234E3"/>
    <w:rsid w:val="009234F5"/>
    <w:rsid w:val="00923FF5"/>
    <w:rsid w:val="009248DF"/>
    <w:rsid w:val="0092610F"/>
    <w:rsid w:val="009265FA"/>
    <w:rsid w:val="00926D13"/>
    <w:rsid w:val="009318EC"/>
    <w:rsid w:val="00933040"/>
    <w:rsid w:val="009337F1"/>
    <w:rsid w:val="00934BC6"/>
    <w:rsid w:val="00934CFD"/>
    <w:rsid w:val="00935E5B"/>
    <w:rsid w:val="00936576"/>
    <w:rsid w:val="009370C2"/>
    <w:rsid w:val="00937895"/>
    <w:rsid w:val="0094086F"/>
    <w:rsid w:val="00941A22"/>
    <w:rsid w:val="00942E81"/>
    <w:rsid w:val="00943332"/>
    <w:rsid w:val="009448ED"/>
    <w:rsid w:val="0094499B"/>
    <w:rsid w:val="009465CF"/>
    <w:rsid w:val="00946C37"/>
    <w:rsid w:val="00946CC1"/>
    <w:rsid w:val="00947A75"/>
    <w:rsid w:val="009505E3"/>
    <w:rsid w:val="009509ED"/>
    <w:rsid w:val="00952980"/>
    <w:rsid w:val="00952AE8"/>
    <w:rsid w:val="00953856"/>
    <w:rsid w:val="00954394"/>
    <w:rsid w:val="00954486"/>
    <w:rsid w:val="00954B14"/>
    <w:rsid w:val="0095739C"/>
    <w:rsid w:val="0096088D"/>
    <w:rsid w:val="009616DE"/>
    <w:rsid w:val="00961920"/>
    <w:rsid w:val="00962697"/>
    <w:rsid w:val="009628E7"/>
    <w:rsid w:val="00963A53"/>
    <w:rsid w:val="00965378"/>
    <w:rsid w:val="009665DE"/>
    <w:rsid w:val="00966B2A"/>
    <w:rsid w:val="00967B3C"/>
    <w:rsid w:val="00967EE0"/>
    <w:rsid w:val="00970102"/>
    <w:rsid w:val="00972629"/>
    <w:rsid w:val="00972952"/>
    <w:rsid w:val="009735CD"/>
    <w:rsid w:val="00974AD5"/>
    <w:rsid w:val="0097576F"/>
    <w:rsid w:val="0098053F"/>
    <w:rsid w:val="00980A55"/>
    <w:rsid w:val="009826EE"/>
    <w:rsid w:val="00983FB6"/>
    <w:rsid w:val="00984725"/>
    <w:rsid w:val="0098498A"/>
    <w:rsid w:val="00984B99"/>
    <w:rsid w:val="00991104"/>
    <w:rsid w:val="00991A2C"/>
    <w:rsid w:val="00992167"/>
    <w:rsid w:val="00992554"/>
    <w:rsid w:val="009926EC"/>
    <w:rsid w:val="00994AC8"/>
    <w:rsid w:val="00994F96"/>
    <w:rsid w:val="0099578E"/>
    <w:rsid w:val="0099584A"/>
    <w:rsid w:val="00995DBE"/>
    <w:rsid w:val="00995FB4"/>
    <w:rsid w:val="00997FBC"/>
    <w:rsid w:val="009A012A"/>
    <w:rsid w:val="009A2EB0"/>
    <w:rsid w:val="009A2EB5"/>
    <w:rsid w:val="009A41CF"/>
    <w:rsid w:val="009A441A"/>
    <w:rsid w:val="009A66CD"/>
    <w:rsid w:val="009A6F97"/>
    <w:rsid w:val="009B0684"/>
    <w:rsid w:val="009B069E"/>
    <w:rsid w:val="009B172B"/>
    <w:rsid w:val="009B181A"/>
    <w:rsid w:val="009B2557"/>
    <w:rsid w:val="009B3B0B"/>
    <w:rsid w:val="009B3C62"/>
    <w:rsid w:val="009B5916"/>
    <w:rsid w:val="009B5AB0"/>
    <w:rsid w:val="009B677C"/>
    <w:rsid w:val="009B69DC"/>
    <w:rsid w:val="009B79C1"/>
    <w:rsid w:val="009C096A"/>
    <w:rsid w:val="009C0B64"/>
    <w:rsid w:val="009C169A"/>
    <w:rsid w:val="009C2EC4"/>
    <w:rsid w:val="009C3AEA"/>
    <w:rsid w:val="009C475C"/>
    <w:rsid w:val="009C582A"/>
    <w:rsid w:val="009C64EF"/>
    <w:rsid w:val="009C7623"/>
    <w:rsid w:val="009C79EF"/>
    <w:rsid w:val="009D0915"/>
    <w:rsid w:val="009D0E51"/>
    <w:rsid w:val="009D497A"/>
    <w:rsid w:val="009D55D1"/>
    <w:rsid w:val="009D5B3F"/>
    <w:rsid w:val="009D5C47"/>
    <w:rsid w:val="009D670A"/>
    <w:rsid w:val="009D75C1"/>
    <w:rsid w:val="009D7F66"/>
    <w:rsid w:val="009E0106"/>
    <w:rsid w:val="009E0835"/>
    <w:rsid w:val="009E0C7A"/>
    <w:rsid w:val="009E164D"/>
    <w:rsid w:val="009E1A55"/>
    <w:rsid w:val="009E277B"/>
    <w:rsid w:val="009E4373"/>
    <w:rsid w:val="009E4C8F"/>
    <w:rsid w:val="009E5DC5"/>
    <w:rsid w:val="009E5EDC"/>
    <w:rsid w:val="009E6A68"/>
    <w:rsid w:val="009E7650"/>
    <w:rsid w:val="009E7CF2"/>
    <w:rsid w:val="009F0F92"/>
    <w:rsid w:val="009F1A92"/>
    <w:rsid w:val="009F2384"/>
    <w:rsid w:val="009F2616"/>
    <w:rsid w:val="009F33C0"/>
    <w:rsid w:val="009F45AC"/>
    <w:rsid w:val="009F47FB"/>
    <w:rsid w:val="009F4920"/>
    <w:rsid w:val="009F6656"/>
    <w:rsid w:val="009F75EC"/>
    <w:rsid w:val="009F780F"/>
    <w:rsid w:val="00A01491"/>
    <w:rsid w:val="00A01539"/>
    <w:rsid w:val="00A024E1"/>
    <w:rsid w:val="00A02961"/>
    <w:rsid w:val="00A02E21"/>
    <w:rsid w:val="00A03BFD"/>
    <w:rsid w:val="00A03DF3"/>
    <w:rsid w:val="00A06108"/>
    <w:rsid w:val="00A101D3"/>
    <w:rsid w:val="00A11AF7"/>
    <w:rsid w:val="00A120D3"/>
    <w:rsid w:val="00A126FF"/>
    <w:rsid w:val="00A13E3B"/>
    <w:rsid w:val="00A141A8"/>
    <w:rsid w:val="00A15EC3"/>
    <w:rsid w:val="00A16E88"/>
    <w:rsid w:val="00A170AE"/>
    <w:rsid w:val="00A176B5"/>
    <w:rsid w:val="00A203BE"/>
    <w:rsid w:val="00A22742"/>
    <w:rsid w:val="00A22834"/>
    <w:rsid w:val="00A24786"/>
    <w:rsid w:val="00A263F5"/>
    <w:rsid w:val="00A26EC9"/>
    <w:rsid w:val="00A31F8E"/>
    <w:rsid w:val="00A3446C"/>
    <w:rsid w:val="00A34E68"/>
    <w:rsid w:val="00A34E6D"/>
    <w:rsid w:val="00A37138"/>
    <w:rsid w:val="00A373C3"/>
    <w:rsid w:val="00A3743F"/>
    <w:rsid w:val="00A402BC"/>
    <w:rsid w:val="00A40889"/>
    <w:rsid w:val="00A425E9"/>
    <w:rsid w:val="00A4274B"/>
    <w:rsid w:val="00A440AB"/>
    <w:rsid w:val="00A44563"/>
    <w:rsid w:val="00A448DF"/>
    <w:rsid w:val="00A44CCB"/>
    <w:rsid w:val="00A4529F"/>
    <w:rsid w:val="00A45A13"/>
    <w:rsid w:val="00A47057"/>
    <w:rsid w:val="00A473B9"/>
    <w:rsid w:val="00A47B28"/>
    <w:rsid w:val="00A50062"/>
    <w:rsid w:val="00A5200C"/>
    <w:rsid w:val="00A534E2"/>
    <w:rsid w:val="00A537E8"/>
    <w:rsid w:val="00A549B5"/>
    <w:rsid w:val="00A54E48"/>
    <w:rsid w:val="00A556BD"/>
    <w:rsid w:val="00A569FE"/>
    <w:rsid w:val="00A56F0A"/>
    <w:rsid w:val="00A577A3"/>
    <w:rsid w:val="00A607F3"/>
    <w:rsid w:val="00A6289D"/>
    <w:rsid w:val="00A62B34"/>
    <w:rsid w:val="00A63045"/>
    <w:rsid w:val="00A63623"/>
    <w:rsid w:val="00A65BD8"/>
    <w:rsid w:val="00A66292"/>
    <w:rsid w:val="00A66562"/>
    <w:rsid w:val="00A67596"/>
    <w:rsid w:val="00A67685"/>
    <w:rsid w:val="00A67BED"/>
    <w:rsid w:val="00A70881"/>
    <w:rsid w:val="00A70F7A"/>
    <w:rsid w:val="00A72F89"/>
    <w:rsid w:val="00A740A0"/>
    <w:rsid w:val="00A743A4"/>
    <w:rsid w:val="00A74D89"/>
    <w:rsid w:val="00A75511"/>
    <w:rsid w:val="00A75792"/>
    <w:rsid w:val="00A76BD7"/>
    <w:rsid w:val="00A819A4"/>
    <w:rsid w:val="00A8246A"/>
    <w:rsid w:val="00A82E62"/>
    <w:rsid w:val="00A85D7E"/>
    <w:rsid w:val="00A8660E"/>
    <w:rsid w:val="00A87F9E"/>
    <w:rsid w:val="00A9067E"/>
    <w:rsid w:val="00A928F7"/>
    <w:rsid w:val="00A92D62"/>
    <w:rsid w:val="00A93744"/>
    <w:rsid w:val="00A94432"/>
    <w:rsid w:val="00A951F9"/>
    <w:rsid w:val="00A96077"/>
    <w:rsid w:val="00A96BBA"/>
    <w:rsid w:val="00A970C6"/>
    <w:rsid w:val="00A97880"/>
    <w:rsid w:val="00A97A58"/>
    <w:rsid w:val="00AA09C3"/>
    <w:rsid w:val="00AA0C4C"/>
    <w:rsid w:val="00AA0CBE"/>
    <w:rsid w:val="00AA0CE6"/>
    <w:rsid w:val="00AA0DA7"/>
    <w:rsid w:val="00AA22DC"/>
    <w:rsid w:val="00AA30DD"/>
    <w:rsid w:val="00AA330C"/>
    <w:rsid w:val="00AA38A8"/>
    <w:rsid w:val="00AA467B"/>
    <w:rsid w:val="00AA47ED"/>
    <w:rsid w:val="00AA4A65"/>
    <w:rsid w:val="00AA526D"/>
    <w:rsid w:val="00AA7574"/>
    <w:rsid w:val="00AA75E2"/>
    <w:rsid w:val="00AA7820"/>
    <w:rsid w:val="00AB04D5"/>
    <w:rsid w:val="00AB1920"/>
    <w:rsid w:val="00AB3676"/>
    <w:rsid w:val="00AB3AF4"/>
    <w:rsid w:val="00AB3B02"/>
    <w:rsid w:val="00AB4826"/>
    <w:rsid w:val="00AB4A80"/>
    <w:rsid w:val="00AB63EC"/>
    <w:rsid w:val="00AB6A78"/>
    <w:rsid w:val="00AB7546"/>
    <w:rsid w:val="00AC0CF6"/>
    <w:rsid w:val="00AC14B6"/>
    <w:rsid w:val="00AC260E"/>
    <w:rsid w:val="00AC3186"/>
    <w:rsid w:val="00AC34EF"/>
    <w:rsid w:val="00AC3C60"/>
    <w:rsid w:val="00AC5255"/>
    <w:rsid w:val="00AC5EB3"/>
    <w:rsid w:val="00AC61D9"/>
    <w:rsid w:val="00AC657B"/>
    <w:rsid w:val="00AC6941"/>
    <w:rsid w:val="00AD053D"/>
    <w:rsid w:val="00AD067A"/>
    <w:rsid w:val="00AD2996"/>
    <w:rsid w:val="00AD32D7"/>
    <w:rsid w:val="00AD4C4B"/>
    <w:rsid w:val="00AD6633"/>
    <w:rsid w:val="00AE09B7"/>
    <w:rsid w:val="00AE1A8A"/>
    <w:rsid w:val="00AE1B06"/>
    <w:rsid w:val="00AE1F39"/>
    <w:rsid w:val="00AE1FB6"/>
    <w:rsid w:val="00AE23CB"/>
    <w:rsid w:val="00AE2456"/>
    <w:rsid w:val="00AE25BD"/>
    <w:rsid w:val="00AE3CF3"/>
    <w:rsid w:val="00AE45E5"/>
    <w:rsid w:val="00AE6786"/>
    <w:rsid w:val="00AE71B9"/>
    <w:rsid w:val="00AF01C7"/>
    <w:rsid w:val="00AF0792"/>
    <w:rsid w:val="00AF17BC"/>
    <w:rsid w:val="00AF23E2"/>
    <w:rsid w:val="00AF4B29"/>
    <w:rsid w:val="00AF527C"/>
    <w:rsid w:val="00AF6E2B"/>
    <w:rsid w:val="00AF74A2"/>
    <w:rsid w:val="00B00879"/>
    <w:rsid w:val="00B01200"/>
    <w:rsid w:val="00B0146C"/>
    <w:rsid w:val="00B021CD"/>
    <w:rsid w:val="00B04BAC"/>
    <w:rsid w:val="00B04E30"/>
    <w:rsid w:val="00B05402"/>
    <w:rsid w:val="00B05C8D"/>
    <w:rsid w:val="00B0666C"/>
    <w:rsid w:val="00B078B7"/>
    <w:rsid w:val="00B07DA6"/>
    <w:rsid w:val="00B10795"/>
    <w:rsid w:val="00B122C1"/>
    <w:rsid w:val="00B124DA"/>
    <w:rsid w:val="00B12C04"/>
    <w:rsid w:val="00B1371E"/>
    <w:rsid w:val="00B14013"/>
    <w:rsid w:val="00B15797"/>
    <w:rsid w:val="00B15B54"/>
    <w:rsid w:val="00B17479"/>
    <w:rsid w:val="00B201AB"/>
    <w:rsid w:val="00B2036E"/>
    <w:rsid w:val="00B20AB0"/>
    <w:rsid w:val="00B20B7B"/>
    <w:rsid w:val="00B213B4"/>
    <w:rsid w:val="00B252B9"/>
    <w:rsid w:val="00B25E32"/>
    <w:rsid w:val="00B26861"/>
    <w:rsid w:val="00B27694"/>
    <w:rsid w:val="00B277F5"/>
    <w:rsid w:val="00B30B48"/>
    <w:rsid w:val="00B317C6"/>
    <w:rsid w:val="00B324CA"/>
    <w:rsid w:val="00B33790"/>
    <w:rsid w:val="00B3383F"/>
    <w:rsid w:val="00B33BE9"/>
    <w:rsid w:val="00B33E88"/>
    <w:rsid w:val="00B348F6"/>
    <w:rsid w:val="00B3503A"/>
    <w:rsid w:val="00B359AF"/>
    <w:rsid w:val="00B368CD"/>
    <w:rsid w:val="00B4035F"/>
    <w:rsid w:val="00B403C9"/>
    <w:rsid w:val="00B4064B"/>
    <w:rsid w:val="00B40C7B"/>
    <w:rsid w:val="00B40E36"/>
    <w:rsid w:val="00B40FCD"/>
    <w:rsid w:val="00B4140B"/>
    <w:rsid w:val="00B4164C"/>
    <w:rsid w:val="00B41E69"/>
    <w:rsid w:val="00B41E6F"/>
    <w:rsid w:val="00B42DFD"/>
    <w:rsid w:val="00B462AB"/>
    <w:rsid w:val="00B46337"/>
    <w:rsid w:val="00B463B4"/>
    <w:rsid w:val="00B47284"/>
    <w:rsid w:val="00B51A5F"/>
    <w:rsid w:val="00B51B29"/>
    <w:rsid w:val="00B5386E"/>
    <w:rsid w:val="00B54058"/>
    <w:rsid w:val="00B54E1B"/>
    <w:rsid w:val="00B55167"/>
    <w:rsid w:val="00B563F3"/>
    <w:rsid w:val="00B56A24"/>
    <w:rsid w:val="00B56DAF"/>
    <w:rsid w:val="00B6239D"/>
    <w:rsid w:val="00B623FA"/>
    <w:rsid w:val="00B62B11"/>
    <w:rsid w:val="00B62FA6"/>
    <w:rsid w:val="00B63A84"/>
    <w:rsid w:val="00B64E22"/>
    <w:rsid w:val="00B657E9"/>
    <w:rsid w:val="00B65D62"/>
    <w:rsid w:val="00B669E2"/>
    <w:rsid w:val="00B7038E"/>
    <w:rsid w:val="00B70505"/>
    <w:rsid w:val="00B70DE6"/>
    <w:rsid w:val="00B7116B"/>
    <w:rsid w:val="00B71A3B"/>
    <w:rsid w:val="00B72364"/>
    <w:rsid w:val="00B72558"/>
    <w:rsid w:val="00B74AE8"/>
    <w:rsid w:val="00B74B07"/>
    <w:rsid w:val="00B75588"/>
    <w:rsid w:val="00B758AF"/>
    <w:rsid w:val="00B802A2"/>
    <w:rsid w:val="00B84A3C"/>
    <w:rsid w:val="00B84FA1"/>
    <w:rsid w:val="00B85928"/>
    <w:rsid w:val="00B85F17"/>
    <w:rsid w:val="00B86D31"/>
    <w:rsid w:val="00B876C7"/>
    <w:rsid w:val="00B9082C"/>
    <w:rsid w:val="00B90D46"/>
    <w:rsid w:val="00B94159"/>
    <w:rsid w:val="00B942C4"/>
    <w:rsid w:val="00B946DE"/>
    <w:rsid w:val="00B94B65"/>
    <w:rsid w:val="00B9699D"/>
    <w:rsid w:val="00B979BE"/>
    <w:rsid w:val="00BA18DF"/>
    <w:rsid w:val="00BA20A0"/>
    <w:rsid w:val="00BA2503"/>
    <w:rsid w:val="00BA29C9"/>
    <w:rsid w:val="00BA2C3A"/>
    <w:rsid w:val="00BA398E"/>
    <w:rsid w:val="00BA4616"/>
    <w:rsid w:val="00BA4E4B"/>
    <w:rsid w:val="00BA57DE"/>
    <w:rsid w:val="00BA7D35"/>
    <w:rsid w:val="00BB2DBD"/>
    <w:rsid w:val="00BB506D"/>
    <w:rsid w:val="00BB5FEE"/>
    <w:rsid w:val="00BB7118"/>
    <w:rsid w:val="00BB744C"/>
    <w:rsid w:val="00BB7855"/>
    <w:rsid w:val="00BC02E3"/>
    <w:rsid w:val="00BC2D69"/>
    <w:rsid w:val="00BC3CD8"/>
    <w:rsid w:val="00BC473C"/>
    <w:rsid w:val="00BC49AF"/>
    <w:rsid w:val="00BC54E3"/>
    <w:rsid w:val="00BC5B21"/>
    <w:rsid w:val="00BC6084"/>
    <w:rsid w:val="00BD03AE"/>
    <w:rsid w:val="00BD532B"/>
    <w:rsid w:val="00BD7840"/>
    <w:rsid w:val="00BD7E52"/>
    <w:rsid w:val="00BE055B"/>
    <w:rsid w:val="00BE24EB"/>
    <w:rsid w:val="00BE257F"/>
    <w:rsid w:val="00BE2E44"/>
    <w:rsid w:val="00BE3314"/>
    <w:rsid w:val="00BE605D"/>
    <w:rsid w:val="00BE6261"/>
    <w:rsid w:val="00BE7405"/>
    <w:rsid w:val="00BF0368"/>
    <w:rsid w:val="00BF180C"/>
    <w:rsid w:val="00BF2BF3"/>
    <w:rsid w:val="00BF33E9"/>
    <w:rsid w:val="00BF34F1"/>
    <w:rsid w:val="00BF4175"/>
    <w:rsid w:val="00BF5575"/>
    <w:rsid w:val="00BF6557"/>
    <w:rsid w:val="00BF68B0"/>
    <w:rsid w:val="00BF6948"/>
    <w:rsid w:val="00BF7286"/>
    <w:rsid w:val="00C01345"/>
    <w:rsid w:val="00C01F03"/>
    <w:rsid w:val="00C02EA9"/>
    <w:rsid w:val="00C031F7"/>
    <w:rsid w:val="00C04B03"/>
    <w:rsid w:val="00C0565E"/>
    <w:rsid w:val="00C06A3F"/>
    <w:rsid w:val="00C07F24"/>
    <w:rsid w:val="00C114C1"/>
    <w:rsid w:val="00C1225F"/>
    <w:rsid w:val="00C124AE"/>
    <w:rsid w:val="00C125D5"/>
    <w:rsid w:val="00C1392D"/>
    <w:rsid w:val="00C1452D"/>
    <w:rsid w:val="00C145C9"/>
    <w:rsid w:val="00C14B4D"/>
    <w:rsid w:val="00C15BF4"/>
    <w:rsid w:val="00C177FC"/>
    <w:rsid w:val="00C202FB"/>
    <w:rsid w:val="00C20314"/>
    <w:rsid w:val="00C20BD2"/>
    <w:rsid w:val="00C20C90"/>
    <w:rsid w:val="00C21F72"/>
    <w:rsid w:val="00C223FE"/>
    <w:rsid w:val="00C22C41"/>
    <w:rsid w:val="00C22F38"/>
    <w:rsid w:val="00C23ABE"/>
    <w:rsid w:val="00C24D09"/>
    <w:rsid w:val="00C2673D"/>
    <w:rsid w:val="00C26822"/>
    <w:rsid w:val="00C277A9"/>
    <w:rsid w:val="00C30ABB"/>
    <w:rsid w:val="00C3196E"/>
    <w:rsid w:val="00C32A02"/>
    <w:rsid w:val="00C32F56"/>
    <w:rsid w:val="00C33358"/>
    <w:rsid w:val="00C3375C"/>
    <w:rsid w:val="00C34DD3"/>
    <w:rsid w:val="00C351F7"/>
    <w:rsid w:val="00C3680F"/>
    <w:rsid w:val="00C415E2"/>
    <w:rsid w:val="00C419EC"/>
    <w:rsid w:val="00C44DED"/>
    <w:rsid w:val="00C45777"/>
    <w:rsid w:val="00C46A7B"/>
    <w:rsid w:val="00C47B87"/>
    <w:rsid w:val="00C50D42"/>
    <w:rsid w:val="00C51581"/>
    <w:rsid w:val="00C51E1E"/>
    <w:rsid w:val="00C521C2"/>
    <w:rsid w:val="00C5439B"/>
    <w:rsid w:val="00C55817"/>
    <w:rsid w:val="00C567D3"/>
    <w:rsid w:val="00C569BE"/>
    <w:rsid w:val="00C56CC3"/>
    <w:rsid w:val="00C57A6C"/>
    <w:rsid w:val="00C617A4"/>
    <w:rsid w:val="00C61AB8"/>
    <w:rsid w:val="00C62CCF"/>
    <w:rsid w:val="00C636E1"/>
    <w:rsid w:val="00C637B7"/>
    <w:rsid w:val="00C6407A"/>
    <w:rsid w:val="00C65CD5"/>
    <w:rsid w:val="00C671E9"/>
    <w:rsid w:val="00C700B9"/>
    <w:rsid w:val="00C70B42"/>
    <w:rsid w:val="00C70CD2"/>
    <w:rsid w:val="00C70F67"/>
    <w:rsid w:val="00C711BF"/>
    <w:rsid w:val="00C73577"/>
    <w:rsid w:val="00C738F4"/>
    <w:rsid w:val="00C75BF4"/>
    <w:rsid w:val="00C75C4A"/>
    <w:rsid w:val="00C75CE4"/>
    <w:rsid w:val="00C7711E"/>
    <w:rsid w:val="00C77288"/>
    <w:rsid w:val="00C77D48"/>
    <w:rsid w:val="00C813F6"/>
    <w:rsid w:val="00C82A7E"/>
    <w:rsid w:val="00C843FD"/>
    <w:rsid w:val="00C84517"/>
    <w:rsid w:val="00C85695"/>
    <w:rsid w:val="00C85E3D"/>
    <w:rsid w:val="00C860D5"/>
    <w:rsid w:val="00C8659F"/>
    <w:rsid w:val="00C866A7"/>
    <w:rsid w:val="00C92CD1"/>
    <w:rsid w:val="00C93FCD"/>
    <w:rsid w:val="00C94360"/>
    <w:rsid w:val="00C94FB0"/>
    <w:rsid w:val="00C951DF"/>
    <w:rsid w:val="00C96DA1"/>
    <w:rsid w:val="00C971BB"/>
    <w:rsid w:val="00CA1557"/>
    <w:rsid w:val="00CA1766"/>
    <w:rsid w:val="00CA2DBE"/>
    <w:rsid w:val="00CA3550"/>
    <w:rsid w:val="00CA44FD"/>
    <w:rsid w:val="00CA4FCF"/>
    <w:rsid w:val="00CA60BC"/>
    <w:rsid w:val="00CA664D"/>
    <w:rsid w:val="00CA6F53"/>
    <w:rsid w:val="00CA7832"/>
    <w:rsid w:val="00CB1A57"/>
    <w:rsid w:val="00CB1D77"/>
    <w:rsid w:val="00CB25CE"/>
    <w:rsid w:val="00CB2847"/>
    <w:rsid w:val="00CB3C44"/>
    <w:rsid w:val="00CB465D"/>
    <w:rsid w:val="00CB51B5"/>
    <w:rsid w:val="00CC019E"/>
    <w:rsid w:val="00CC5713"/>
    <w:rsid w:val="00CC5794"/>
    <w:rsid w:val="00CC635F"/>
    <w:rsid w:val="00CC662D"/>
    <w:rsid w:val="00CC6ABA"/>
    <w:rsid w:val="00CC756B"/>
    <w:rsid w:val="00CD0320"/>
    <w:rsid w:val="00CD032A"/>
    <w:rsid w:val="00CD226D"/>
    <w:rsid w:val="00CD241C"/>
    <w:rsid w:val="00CD2819"/>
    <w:rsid w:val="00CD2EE2"/>
    <w:rsid w:val="00CD35B8"/>
    <w:rsid w:val="00CD4490"/>
    <w:rsid w:val="00CD524E"/>
    <w:rsid w:val="00CD6301"/>
    <w:rsid w:val="00CD7CC0"/>
    <w:rsid w:val="00CE30E9"/>
    <w:rsid w:val="00CE358F"/>
    <w:rsid w:val="00CE4686"/>
    <w:rsid w:val="00CE4991"/>
    <w:rsid w:val="00CE5191"/>
    <w:rsid w:val="00CE66D1"/>
    <w:rsid w:val="00CE6D3A"/>
    <w:rsid w:val="00CE7374"/>
    <w:rsid w:val="00CE79B6"/>
    <w:rsid w:val="00CF1EB9"/>
    <w:rsid w:val="00CF2413"/>
    <w:rsid w:val="00CF49C5"/>
    <w:rsid w:val="00CF540F"/>
    <w:rsid w:val="00CF547D"/>
    <w:rsid w:val="00CF5783"/>
    <w:rsid w:val="00CF6964"/>
    <w:rsid w:val="00CF6CEB"/>
    <w:rsid w:val="00CF7FDC"/>
    <w:rsid w:val="00D000C9"/>
    <w:rsid w:val="00D00CD3"/>
    <w:rsid w:val="00D01CB7"/>
    <w:rsid w:val="00D02576"/>
    <w:rsid w:val="00D029DC"/>
    <w:rsid w:val="00D03C9A"/>
    <w:rsid w:val="00D043C8"/>
    <w:rsid w:val="00D06DC4"/>
    <w:rsid w:val="00D1001C"/>
    <w:rsid w:val="00D10D56"/>
    <w:rsid w:val="00D11D8E"/>
    <w:rsid w:val="00D12568"/>
    <w:rsid w:val="00D13106"/>
    <w:rsid w:val="00D13695"/>
    <w:rsid w:val="00D13817"/>
    <w:rsid w:val="00D143CC"/>
    <w:rsid w:val="00D14820"/>
    <w:rsid w:val="00D148AF"/>
    <w:rsid w:val="00D148F3"/>
    <w:rsid w:val="00D1649D"/>
    <w:rsid w:val="00D24EFC"/>
    <w:rsid w:val="00D25B44"/>
    <w:rsid w:val="00D25D0D"/>
    <w:rsid w:val="00D263D1"/>
    <w:rsid w:val="00D306DA"/>
    <w:rsid w:val="00D30706"/>
    <w:rsid w:val="00D30E86"/>
    <w:rsid w:val="00D328A4"/>
    <w:rsid w:val="00D33908"/>
    <w:rsid w:val="00D33EE5"/>
    <w:rsid w:val="00D34234"/>
    <w:rsid w:val="00D35269"/>
    <w:rsid w:val="00D36412"/>
    <w:rsid w:val="00D370CF"/>
    <w:rsid w:val="00D42678"/>
    <w:rsid w:val="00D44DF9"/>
    <w:rsid w:val="00D47499"/>
    <w:rsid w:val="00D474E9"/>
    <w:rsid w:val="00D47E9A"/>
    <w:rsid w:val="00D51F6F"/>
    <w:rsid w:val="00D544E4"/>
    <w:rsid w:val="00D55144"/>
    <w:rsid w:val="00D553E0"/>
    <w:rsid w:val="00D556D5"/>
    <w:rsid w:val="00D562BF"/>
    <w:rsid w:val="00D565E0"/>
    <w:rsid w:val="00D57AD4"/>
    <w:rsid w:val="00D60E29"/>
    <w:rsid w:val="00D61CFD"/>
    <w:rsid w:val="00D627F1"/>
    <w:rsid w:val="00D62B0C"/>
    <w:rsid w:val="00D62C6B"/>
    <w:rsid w:val="00D65B32"/>
    <w:rsid w:val="00D65E44"/>
    <w:rsid w:val="00D6620C"/>
    <w:rsid w:val="00D7097B"/>
    <w:rsid w:val="00D733DE"/>
    <w:rsid w:val="00D73A7E"/>
    <w:rsid w:val="00D73CC8"/>
    <w:rsid w:val="00D740A0"/>
    <w:rsid w:val="00D7590E"/>
    <w:rsid w:val="00D75BEB"/>
    <w:rsid w:val="00D76B0A"/>
    <w:rsid w:val="00D76E28"/>
    <w:rsid w:val="00D77645"/>
    <w:rsid w:val="00D77A79"/>
    <w:rsid w:val="00D802F3"/>
    <w:rsid w:val="00D80C40"/>
    <w:rsid w:val="00D81642"/>
    <w:rsid w:val="00D81F01"/>
    <w:rsid w:val="00D82FAD"/>
    <w:rsid w:val="00D83D13"/>
    <w:rsid w:val="00D84012"/>
    <w:rsid w:val="00D8588C"/>
    <w:rsid w:val="00D85ED9"/>
    <w:rsid w:val="00D872E9"/>
    <w:rsid w:val="00D90DB8"/>
    <w:rsid w:val="00D91F46"/>
    <w:rsid w:val="00D923A3"/>
    <w:rsid w:val="00D92CE5"/>
    <w:rsid w:val="00D93667"/>
    <w:rsid w:val="00D93DF3"/>
    <w:rsid w:val="00D94388"/>
    <w:rsid w:val="00D9479D"/>
    <w:rsid w:val="00D96283"/>
    <w:rsid w:val="00D96495"/>
    <w:rsid w:val="00D969F1"/>
    <w:rsid w:val="00D974A1"/>
    <w:rsid w:val="00D97D7B"/>
    <w:rsid w:val="00DA08A4"/>
    <w:rsid w:val="00DA105D"/>
    <w:rsid w:val="00DA11B7"/>
    <w:rsid w:val="00DA1BC4"/>
    <w:rsid w:val="00DA358D"/>
    <w:rsid w:val="00DA3CB6"/>
    <w:rsid w:val="00DA443A"/>
    <w:rsid w:val="00DA4781"/>
    <w:rsid w:val="00DA4884"/>
    <w:rsid w:val="00DA60A1"/>
    <w:rsid w:val="00DB13A3"/>
    <w:rsid w:val="00DB16A6"/>
    <w:rsid w:val="00DB2D2B"/>
    <w:rsid w:val="00DB3877"/>
    <w:rsid w:val="00DB4457"/>
    <w:rsid w:val="00DB4F7C"/>
    <w:rsid w:val="00DB54AC"/>
    <w:rsid w:val="00DB5BE9"/>
    <w:rsid w:val="00DB612F"/>
    <w:rsid w:val="00DB680F"/>
    <w:rsid w:val="00DB7115"/>
    <w:rsid w:val="00DB75DB"/>
    <w:rsid w:val="00DB7A17"/>
    <w:rsid w:val="00DC0647"/>
    <w:rsid w:val="00DC20AA"/>
    <w:rsid w:val="00DC2AD3"/>
    <w:rsid w:val="00DC4F69"/>
    <w:rsid w:val="00DC5BE3"/>
    <w:rsid w:val="00DC78F7"/>
    <w:rsid w:val="00DC7924"/>
    <w:rsid w:val="00DD0A86"/>
    <w:rsid w:val="00DD1E08"/>
    <w:rsid w:val="00DD3283"/>
    <w:rsid w:val="00DD3FE2"/>
    <w:rsid w:val="00DD45F2"/>
    <w:rsid w:val="00DD59D7"/>
    <w:rsid w:val="00DD5D33"/>
    <w:rsid w:val="00DD6B99"/>
    <w:rsid w:val="00DE1158"/>
    <w:rsid w:val="00DE28F2"/>
    <w:rsid w:val="00DE3024"/>
    <w:rsid w:val="00DE3CDC"/>
    <w:rsid w:val="00DF1675"/>
    <w:rsid w:val="00DF1709"/>
    <w:rsid w:val="00DF194B"/>
    <w:rsid w:val="00DF1D5F"/>
    <w:rsid w:val="00DF3471"/>
    <w:rsid w:val="00DF3A43"/>
    <w:rsid w:val="00DF3BA8"/>
    <w:rsid w:val="00DF5062"/>
    <w:rsid w:val="00DF5303"/>
    <w:rsid w:val="00DF5B8A"/>
    <w:rsid w:val="00DF7437"/>
    <w:rsid w:val="00DF759A"/>
    <w:rsid w:val="00DF7718"/>
    <w:rsid w:val="00DF7FF3"/>
    <w:rsid w:val="00E01ACE"/>
    <w:rsid w:val="00E01FED"/>
    <w:rsid w:val="00E03770"/>
    <w:rsid w:val="00E037AE"/>
    <w:rsid w:val="00E03C23"/>
    <w:rsid w:val="00E03F1F"/>
    <w:rsid w:val="00E04FAA"/>
    <w:rsid w:val="00E05656"/>
    <w:rsid w:val="00E058B3"/>
    <w:rsid w:val="00E06886"/>
    <w:rsid w:val="00E06A7D"/>
    <w:rsid w:val="00E06CC2"/>
    <w:rsid w:val="00E073E0"/>
    <w:rsid w:val="00E1084E"/>
    <w:rsid w:val="00E108B7"/>
    <w:rsid w:val="00E108FC"/>
    <w:rsid w:val="00E14B04"/>
    <w:rsid w:val="00E15C8C"/>
    <w:rsid w:val="00E15D9E"/>
    <w:rsid w:val="00E16601"/>
    <w:rsid w:val="00E16BCD"/>
    <w:rsid w:val="00E171D3"/>
    <w:rsid w:val="00E17C68"/>
    <w:rsid w:val="00E204D1"/>
    <w:rsid w:val="00E210E8"/>
    <w:rsid w:val="00E21678"/>
    <w:rsid w:val="00E21848"/>
    <w:rsid w:val="00E2186B"/>
    <w:rsid w:val="00E22321"/>
    <w:rsid w:val="00E26023"/>
    <w:rsid w:val="00E264AE"/>
    <w:rsid w:val="00E26651"/>
    <w:rsid w:val="00E26CEA"/>
    <w:rsid w:val="00E27030"/>
    <w:rsid w:val="00E30152"/>
    <w:rsid w:val="00E308D2"/>
    <w:rsid w:val="00E30EF7"/>
    <w:rsid w:val="00E3327A"/>
    <w:rsid w:val="00E36438"/>
    <w:rsid w:val="00E36F0D"/>
    <w:rsid w:val="00E37633"/>
    <w:rsid w:val="00E41F6A"/>
    <w:rsid w:val="00E41FC7"/>
    <w:rsid w:val="00E42705"/>
    <w:rsid w:val="00E43A0F"/>
    <w:rsid w:val="00E43DEB"/>
    <w:rsid w:val="00E44047"/>
    <w:rsid w:val="00E445DA"/>
    <w:rsid w:val="00E4465C"/>
    <w:rsid w:val="00E46368"/>
    <w:rsid w:val="00E4693C"/>
    <w:rsid w:val="00E475B9"/>
    <w:rsid w:val="00E4775E"/>
    <w:rsid w:val="00E50102"/>
    <w:rsid w:val="00E50450"/>
    <w:rsid w:val="00E51179"/>
    <w:rsid w:val="00E51380"/>
    <w:rsid w:val="00E51407"/>
    <w:rsid w:val="00E51858"/>
    <w:rsid w:val="00E51A79"/>
    <w:rsid w:val="00E51E4A"/>
    <w:rsid w:val="00E527E7"/>
    <w:rsid w:val="00E52A99"/>
    <w:rsid w:val="00E52D8C"/>
    <w:rsid w:val="00E53AC4"/>
    <w:rsid w:val="00E54474"/>
    <w:rsid w:val="00E54751"/>
    <w:rsid w:val="00E54F9D"/>
    <w:rsid w:val="00E55669"/>
    <w:rsid w:val="00E55D3B"/>
    <w:rsid w:val="00E560D6"/>
    <w:rsid w:val="00E57507"/>
    <w:rsid w:val="00E62B54"/>
    <w:rsid w:val="00E6497E"/>
    <w:rsid w:val="00E64EA5"/>
    <w:rsid w:val="00E65CB9"/>
    <w:rsid w:val="00E672B0"/>
    <w:rsid w:val="00E67B86"/>
    <w:rsid w:val="00E7058E"/>
    <w:rsid w:val="00E70B92"/>
    <w:rsid w:val="00E7240F"/>
    <w:rsid w:val="00E72561"/>
    <w:rsid w:val="00E72575"/>
    <w:rsid w:val="00E725CC"/>
    <w:rsid w:val="00E72C37"/>
    <w:rsid w:val="00E73666"/>
    <w:rsid w:val="00E73F55"/>
    <w:rsid w:val="00E759CC"/>
    <w:rsid w:val="00E76433"/>
    <w:rsid w:val="00E76A46"/>
    <w:rsid w:val="00E76B63"/>
    <w:rsid w:val="00E7773A"/>
    <w:rsid w:val="00E80DD2"/>
    <w:rsid w:val="00E815D3"/>
    <w:rsid w:val="00E81A54"/>
    <w:rsid w:val="00E833D7"/>
    <w:rsid w:val="00E8457D"/>
    <w:rsid w:val="00E85413"/>
    <w:rsid w:val="00E870DF"/>
    <w:rsid w:val="00E90842"/>
    <w:rsid w:val="00E9096A"/>
    <w:rsid w:val="00E90C10"/>
    <w:rsid w:val="00E92487"/>
    <w:rsid w:val="00E92E14"/>
    <w:rsid w:val="00E930C7"/>
    <w:rsid w:val="00E943C4"/>
    <w:rsid w:val="00E949FB"/>
    <w:rsid w:val="00E949FF"/>
    <w:rsid w:val="00E95356"/>
    <w:rsid w:val="00E95693"/>
    <w:rsid w:val="00E9597E"/>
    <w:rsid w:val="00E965A8"/>
    <w:rsid w:val="00E96CDA"/>
    <w:rsid w:val="00E96E56"/>
    <w:rsid w:val="00E97B25"/>
    <w:rsid w:val="00EA15EB"/>
    <w:rsid w:val="00EA1AFA"/>
    <w:rsid w:val="00EA226E"/>
    <w:rsid w:val="00EA24AA"/>
    <w:rsid w:val="00EA2BAC"/>
    <w:rsid w:val="00EA32B7"/>
    <w:rsid w:val="00EA55E9"/>
    <w:rsid w:val="00EA5881"/>
    <w:rsid w:val="00EA5C8F"/>
    <w:rsid w:val="00EB0A6B"/>
    <w:rsid w:val="00EB1EAD"/>
    <w:rsid w:val="00EB37E2"/>
    <w:rsid w:val="00EB3955"/>
    <w:rsid w:val="00EB5128"/>
    <w:rsid w:val="00EB763B"/>
    <w:rsid w:val="00EC2CD4"/>
    <w:rsid w:val="00EC4245"/>
    <w:rsid w:val="00EC4474"/>
    <w:rsid w:val="00EC61D4"/>
    <w:rsid w:val="00EC682C"/>
    <w:rsid w:val="00EC6B69"/>
    <w:rsid w:val="00EC6CCF"/>
    <w:rsid w:val="00EC7877"/>
    <w:rsid w:val="00EC7CE2"/>
    <w:rsid w:val="00ED0D12"/>
    <w:rsid w:val="00ED2D20"/>
    <w:rsid w:val="00ED456C"/>
    <w:rsid w:val="00ED4590"/>
    <w:rsid w:val="00ED53AC"/>
    <w:rsid w:val="00ED541E"/>
    <w:rsid w:val="00ED5440"/>
    <w:rsid w:val="00ED5B60"/>
    <w:rsid w:val="00ED5D20"/>
    <w:rsid w:val="00ED5FF9"/>
    <w:rsid w:val="00ED6064"/>
    <w:rsid w:val="00ED6DDE"/>
    <w:rsid w:val="00EE138D"/>
    <w:rsid w:val="00EE2035"/>
    <w:rsid w:val="00EE27CD"/>
    <w:rsid w:val="00EE2D0F"/>
    <w:rsid w:val="00EE34B4"/>
    <w:rsid w:val="00EE4795"/>
    <w:rsid w:val="00EE4A47"/>
    <w:rsid w:val="00EE5159"/>
    <w:rsid w:val="00EE5341"/>
    <w:rsid w:val="00EE54A6"/>
    <w:rsid w:val="00EE67A7"/>
    <w:rsid w:val="00EF09C5"/>
    <w:rsid w:val="00EF0C3C"/>
    <w:rsid w:val="00EF1CCC"/>
    <w:rsid w:val="00EF21B3"/>
    <w:rsid w:val="00EF2796"/>
    <w:rsid w:val="00EF3947"/>
    <w:rsid w:val="00EF3D3D"/>
    <w:rsid w:val="00EF4274"/>
    <w:rsid w:val="00EF520F"/>
    <w:rsid w:val="00EF537D"/>
    <w:rsid w:val="00EF5CE2"/>
    <w:rsid w:val="00EF5F88"/>
    <w:rsid w:val="00EF6988"/>
    <w:rsid w:val="00EF6BE7"/>
    <w:rsid w:val="00EF6F9F"/>
    <w:rsid w:val="00EF783C"/>
    <w:rsid w:val="00F004BA"/>
    <w:rsid w:val="00F00B9A"/>
    <w:rsid w:val="00F0240D"/>
    <w:rsid w:val="00F02DBB"/>
    <w:rsid w:val="00F0334A"/>
    <w:rsid w:val="00F04046"/>
    <w:rsid w:val="00F0471A"/>
    <w:rsid w:val="00F05D71"/>
    <w:rsid w:val="00F065BB"/>
    <w:rsid w:val="00F068FC"/>
    <w:rsid w:val="00F06AE2"/>
    <w:rsid w:val="00F06B21"/>
    <w:rsid w:val="00F0754C"/>
    <w:rsid w:val="00F07803"/>
    <w:rsid w:val="00F07812"/>
    <w:rsid w:val="00F10BCA"/>
    <w:rsid w:val="00F10C64"/>
    <w:rsid w:val="00F123B7"/>
    <w:rsid w:val="00F13251"/>
    <w:rsid w:val="00F13642"/>
    <w:rsid w:val="00F13911"/>
    <w:rsid w:val="00F13CE9"/>
    <w:rsid w:val="00F143EB"/>
    <w:rsid w:val="00F1549D"/>
    <w:rsid w:val="00F17172"/>
    <w:rsid w:val="00F17571"/>
    <w:rsid w:val="00F17E7A"/>
    <w:rsid w:val="00F203DE"/>
    <w:rsid w:val="00F2131B"/>
    <w:rsid w:val="00F214B7"/>
    <w:rsid w:val="00F22F79"/>
    <w:rsid w:val="00F24691"/>
    <w:rsid w:val="00F2584A"/>
    <w:rsid w:val="00F25A82"/>
    <w:rsid w:val="00F264F0"/>
    <w:rsid w:val="00F26735"/>
    <w:rsid w:val="00F27F99"/>
    <w:rsid w:val="00F307CC"/>
    <w:rsid w:val="00F319E8"/>
    <w:rsid w:val="00F31FBF"/>
    <w:rsid w:val="00F32309"/>
    <w:rsid w:val="00F32EFC"/>
    <w:rsid w:val="00F34365"/>
    <w:rsid w:val="00F345DE"/>
    <w:rsid w:val="00F34BFA"/>
    <w:rsid w:val="00F35838"/>
    <w:rsid w:val="00F36740"/>
    <w:rsid w:val="00F37618"/>
    <w:rsid w:val="00F37B42"/>
    <w:rsid w:val="00F413F9"/>
    <w:rsid w:val="00F4179D"/>
    <w:rsid w:val="00F42F09"/>
    <w:rsid w:val="00F43044"/>
    <w:rsid w:val="00F43B69"/>
    <w:rsid w:val="00F44204"/>
    <w:rsid w:val="00F44DDE"/>
    <w:rsid w:val="00F45693"/>
    <w:rsid w:val="00F459CA"/>
    <w:rsid w:val="00F4608D"/>
    <w:rsid w:val="00F463A0"/>
    <w:rsid w:val="00F4665C"/>
    <w:rsid w:val="00F46B81"/>
    <w:rsid w:val="00F516A2"/>
    <w:rsid w:val="00F52AB3"/>
    <w:rsid w:val="00F5466A"/>
    <w:rsid w:val="00F55B3D"/>
    <w:rsid w:val="00F55BB2"/>
    <w:rsid w:val="00F56FC7"/>
    <w:rsid w:val="00F57478"/>
    <w:rsid w:val="00F619E3"/>
    <w:rsid w:val="00F622DC"/>
    <w:rsid w:val="00F62CEB"/>
    <w:rsid w:val="00F6389A"/>
    <w:rsid w:val="00F640D8"/>
    <w:rsid w:val="00F64A01"/>
    <w:rsid w:val="00F6562A"/>
    <w:rsid w:val="00F67147"/>
    <w:rsid w:val="00F67313"/>
    <w:rsid w:val="00F676BE"/>
    <w:rsid w:val="00F7011E"/>
    <w:rsid w:val="00F70B90"/>
    <w:rsid w:val="00F70F2C"/>
    <w:rsid w:val="00F7224E"/>
    <w:rsid w:val="00F736B5"/>
    <w:rsid w:val="00F7511F"/>
    <w:rsid w:val="00F75642"/>
    <w:rsid w:val="00F76CE6"/>
    <w:rsid w:val="00F777C3"/>
    <w:rsid w:val="00F800F5"/>
    <w:rsid w:val="00F8068D"/>
    <w:rsid w:val="00F81169"/>
    <w:rsid w:val="00F81F81"/>
    <w:rsid w:val="00F82460"/>
    <w:rsid w:val="00F82FB8"/>
    <w:rsid w:val="00F84EC4"/>
    <w:rsid w:val="00F85154"/>
    <w:rsid w:val="00F85437"/>
    <w:rsid w:val="00F86551"/>
    <w:rsid w:val="00F865A5"/>
    <w:rsid w:val="00F86752"/>
    <w:rsid w:val="00F87553"/>
    <w:rsid w:val="00F8757D"/>
    <w:rsid w:val="00F87665"/>
    <w:rsid w:val="00F90407"/>
    <w:rsid w:val="00F90ADD"/>
    <w:rsid w:val="00F90EBA"/>
    <w:rsid w:val="00F912F4"/>
    <w:rsid w:val="00F9236A"/>
    <w:rsid w:val="00F92724"/>
    <w:rsid w:val="00F935F6"/>
    <w:rsid w:val="00F94AED"/>
    <w:rsid w:val="00F95DD0"/>
    <w:rsid w:val="00F96603"/>
    <w:rsid w:val="00F974C1"/>
    <w:rsid w:val="00F97D22"/>
    <w:rsid w:val="00FA0338"/>
    <w:rsid w:val="00FA2959"/>
    <w:rsid w:val="00FA4A71"/>
    <w:rsid w:val="00FA54CB"/>
    <w:rsid w:val="00FA77BE"/>
    <w:rsid w:val="00FB0B8A"/>
    <w:rsid w:val="00FB2431"/>
    <w:rsid w:val="00FB325A"/>
    <w:rsid w:val="00FB34B0"/>
    <w:rsid w:val="00FB4FE9"/>
    <w:rsid w:val="00FB501B"/>
    <w:rsid w:val="00FB5D32"/>
    <w:rsid w:val="00FB65AD"/>
    <w:rsid w:val="00FB6ED1"/>
    <w:rsid w:val="00FB74D7"/>
    <w:rsid w:val="00FC075E"/>
    <w:rsid w:val="00FC095B"/>
    <w:rsid w:val="00FC0BB1"/>
    <w:rsid w:val="00FC1A68"/>
    <w:rsid w:val="00FC24F1"/>
    <w:rsid w:val="00FC3A38"/>
    <w:rsid w:val="00FC4D8D"/>
    <w:rsid w:val="00FC518A"/>
    <w:rsid w:val="00FC6086"/>
    <w:rsid w:val="00FC78E0"/>
    <w:rsid w:val="00FD3584"/>
    <w:rsid w:val="00FD464E"/>
    <w:rsid w:val="00FD5426"/>
    <w:rsid w:val="00FD55AD"/>
    <w:rsid w:val="00FD623A"/>
    <w:rsid w:val="00FD6BCD"/>
    <w:rsid w:val="00FD71C6"/>
    <w:rsid w:val="00FD72FE"/>
    <w:rsid w:val="00FD7679"/>
    <w:rsid w:val="00FD7892"/>
    <w:rsid w:val="00FD791B"/>
    <w:rsid w:val="00FE2454"/>
    <w:rsid w:val="00FE359A"/>
    <w:rsid w:val="00FE42A9"/>
    <w:rsid w:val="00FE43C5"/>
    <w:rsid w:val="00FE60E6"/>
    <w:rsid w:val="00FE661B"/>
    <w:rsid w:val="00FE6668"/>
    <w:rsid w:val="00FE6792"/>
    <w:rsid w:val="00FF0158"/>
    <w:rsid w:val="00FF1A5E"/>
    <w:rsid w:val="00FF1AB8"/>
    <w:rsid w:val="00FF4302"/>
    <w:rsid w:val="00FF4CB9"/>
    <w:rsid w:val="00FF66A1"/>
    <w:rsid w:val="00FF730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1"/>
    </o:shapelayout>
  </w:shapeDefaults>
  <w:decimalSymbol w:val=","/>
  <w:listSeparator w:val=";"/>
  <w15:docId w15:val="{1704E0AF-0343-4C13-9C7C-1726D4866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A467B"/>
    <w:rPr>
      <w:rFonts w:ascii="Calibri" w:eastAsia="Calibri" w:hAnsi="Calibri" w:cs="Calibri"/>
      <w:lang w:val="en-US" w:eastAsia="id-ID"/>
    </w:rPr>
  </w:style>
  <w:style w:type="paragraph" w:styleId="Heading1">
    <w:name w:val="heading 1"/>
    <w:basedOn w:val="Normal"/>
    <w:next w:val="Normal"/>
    <w:link w:val="Heading1Char"/>
    <w:rsid w:val="00AA467B"/>
    <w:pPr>
      <w:keepNext/>
      <w:keepLines/>
      <w:pBdr>
        <w:top w:val="nil"/>
        <w:left w:val="nil"/>
        <w:bottom w:val="nil"/>
        <w:right w:val="nil"/>
        <w:between w:val="nil"/>
      </w:pBdr>
      <w:spacing w:before="240" w:after="120" w:line="360" w:lineRule="auto"/>
      <w:outlineLvl w:val="0"/>
    </w:pPr>
    <w:rPr>
      <w:rFonts w:ascii="Times" w:eastAsia="Times" w:hAnsi="Times" w:cs="Times"/>
      <w:b/>
      <w:color w:val="000000"/>
      <w:sz w:val="28"/>
      <w:szCs w:val="28"/>
    </w:rPr>
  </w:style>
  <w:style w:type="paragraph" w:styleId="Heading3">
    <w:name w:val="heading 3"/>
    <w:basedOn w:val="Normal"/>
    <w:next w:val="Normal"/>
    <w:link w:val="Heading3Char"/>
    <w:rsid w:val="00AA467B"/>
    <w:pPr>
      <w:keepNext/>
      <w:keepLines/>
      <w:pBdr>
        <w:top w:val="nil"/>
        <w:left w:val="nil"/>
        <w:bottom w:val="nil"/>
        <w:right w:val="nil"/>
        <w:between w:val="nil"/>
      </w:pBdr>
      <w:spacing w:before="40" w:after="120" w:line="360" w:lineRule="auto"/>
      <w:outlineLvl w:val="2"/>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467B"/>
    <w:rPr>
      <w:rFonts w:ascii="Times" w:eastAsia="Times" w:hAnsi="Times" w:cs="Times"/>
      <w:b/>
      <w:color w:val="000000"/>
      <w:sz w:val="28"/>
      <w:szCs w:val="28"/>
      <w:lang w:val="en-US" w:eastAsia="id-ID"/>
    </w:rPr>
  </w:style>
  <w:style w:type="character" w:customStyle="1" w:styleId="Heading3Char">
    <w:name w:val="Heading 3 Char"/>
    <w:basedOn w:val="DefaultParagraphFont"/>
    <w:link w:val="Heading3"/>
    <w:rsid w:val="00AA467B"/>
    <w:rPr>
      <w:rFonts w:ascii="Times New Roman" w:eastAsia="Times New Roman" w:hAnsi="Times New Roman" w:cs="Times New Roman"/>
      <w:color w:val="000000"/>
      <w:sz w:val="24"/>
      <w:szCs w:val="24"/>
      <w:lang w:val="en-US" w:eastAsia="id-ID"/>
    </w:rPr>
  </w:style>
  <w:style w:type="character" w:styleId="Hyperlink">
    <w:name w:val="Hyperlink"/>
    <w:basedOn w:val="DefaultParagraphFont"/>
    <w:uiPriority w:val="99"/>
    <w:unhideWhenUsed/>
    <w:rsid w:val="00AA467B"/>
    <w:rPr>
      <w:color w:val="0000FF"/>
      <w:u w:val="single"/>
    </w:rPr>
  </w:style>
  <w:style w:type="paragraph" w:styleId="FootnoteText">
    <w:name w:val="footnote text"/>
    <w:basedOn w:val="Normal"/>
    <w:link w:val="FootnoteTextChar"/>
    <w:uiPriority w:val="99"/>
    <w:semiHidden/>
    <w:unhideWhenUsed/>
    <w:rsid w:val="00AA46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467B"/>
    <w:rPr>
      <w:rFonts w:ascii="Calibri" w:eastAsia="Calibri" w:hAnsi="Calibri" w:cs="Calibri"/>
      <w:sz w:val="20"/>
      <w:szCs w:val="20"/>
      <w:lang w:val="en-US" w:eastAsia="id-ID"/>
    </w:rPr>
  </w:style>
  <w:style w:type="character" w:styleId="FootnoteReference">
    <w:name w:val="footnote reference"/>
    <w:basedOn w:val="DefaultParagraphFont"/>
    <w:uiPriority w:val="99"/>
    <w:semiHidden/>
    <w:unhideWhenUsed/>
    <w:rsid w:val="00AA467B"/>
    <w:rPr>
      <w:vertAlign w:val="superscript"/>
    </w:rPr>
  </w:style>
  <w:style w:type="paragraph" w:styleId="ListParagraph">
    <w:name w:val="List Paragraph"/>
    <w:basedOn w:val="Normal"/>
    <w:uiPriority w:val="34"/>
    <w:qFormat/>
    <w:rsid w:val="00E7058E"/>
    <w:pPr>
      <w:ind w:left="720"/>
      <w:contextualSpacing/>
    </w:pPr>
  </w:style>
  <w:style w:type="paragraph" w:styleId="Header">
    <w:name w:val="header"/>
    <w:basedOn w:val="Normal"/>
    <w:link w:val="HeaderChar"/>
    <w:uiPriority w:val="99"/>
    <w:unhideWhenUsed/>
    <w:rsid w:val="009B79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9C1"/>
    <w:rPr>
      <w:rFonts w:ascii="Calibri" w:eastAsia="Calibri" w:hAnsi="Calibri" w:cs="Calibri"/>
      <w:lang w:val="en-US" w:eastAsia="id-ID"/>
    </w:rPr>
  </w:style>
  <w:style w:type="paragraph" w:styleId="Footer">
    <w:name w:val="footer"/>
    <w:basedOn w:val="Normal"/>
    <w:link w:val="FooterChar"/>
    <w:uiPriority w:val="99"/>
    <w:unhideWhenUsed/>
    <w:rsid w:val="009B79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9C1"/>
    <w:rPr>
      <w:rFonts w:ascii="Calibri" w:eastAsia="Calibri" w:hAnsi="Calibri" w:cs="Calibri"/>
      <w:lang w:val="en-US" w:eastAsia="id-ID"/>
    </w:rPr>
  </w:style>
  <w:style w:type="character" w:customStyle="1" w:styleId="fontstyle01">
    <w:name w:val="fontstyle01"/>
    <w:basedOn w:val="DefaultParagraphFont"/>
    <w:rsid w:val="00D740A0"/>
    <w:rPr>
      <w:rFonts w:ascii="TimesNewRomanPSMT" w:hAnsi="TimesNewRomanPSMT" w:hint="default"/>
      <w:b w:val="0"/>
      <w:bCs w:val="0"/>
      <w:i w:val="0"/>
      <w:iCs w:val="0"/>
      <w:color w:val="000000"/>
      <w:sz w:val="24"/>
      <w:szCs w:val="24"/>
    </w:rPr>
  </w:style>
  <w:style w:type="paragraph" w:customStyle="1" w:styleId="Subsubsection">
    <w:name w:val="Subsubsection"/>
    <w:next w:val="Normal"/>
    <w:rsid w:val="00F17E7A"/>
    <w:pPr>
      <w:numPr>
        <w:ilvl w:val="2"/>
        <w:numId w:val="14"/>
      </w:numPr>
      <w:spacing w:before="240" w:after="0" w:line="240" w:lineRule="auto"/>
      <w:ind w:firstLine="0"/>
    </w:pPr>
    <w:rPr>
      <w:rFonts w:ascii="Times" w:eastAsia="Times New Roman" w:hAnsi="Times" w:cs="Times New Roman"/>
      <w:i/>
      <w:iCs/>
      <w:color w:val="000000"/>
      <w:lang w:val="en-GB"/>
    </w:rPr>
  </w:style>
  <w:style w:type="paragraph" w:customStyle="1" w:styleId="Section">
    <w:name w:val="Section"/>
    <w:next w:val="Normal"/>
    <w:rsid w:val="00F17E7A"/>
    <w:pPr>
      <w:numPr>
        <w:numId w:val="14"/>
      </w:numPr>
      <w:spacing w:before="240" w:after="0" w:line="240" w:lineRule="auto"/>
    </w:pPr>
    <w:rPr>
      <w:rFonts w:ascii="Times" w:eastAsia="Times New Roman" w:hAnsi="Times" w:cs="Times New Roman"/>
      <w:b/>
      <w:iCs/>
      <w:color w:val="000000"/>
      <w:lang w:val="en-GB"/>
    </w:rPr>
  </w:style>
  <w:style w:type="paragraph" w:customStyle="1" w:styleId="Subsection">
    <w:name w:val="Subsection"/>
    <w:next w:val="Normal"/>
    <w:rsid w:val="00F17E7A"/>
    <w:pPr>
      <w:numPr>
        <w:ilvl w:val="1"/>
        <w:numId w:val="14"/>
      </w:numPr>
      <w:spacing w:before="240" w:after="0" w:line="240" w:lineRule="auto"/>
    </w:pPr>
    <w:rPr>
      <w:rFonts w:ascii="Times" w:eastAsia="Times New Roman" w:hAnsi="Times" w:cs="Times New Roman"/>
      <w:iCs/>
      <w:color w:val="000000"/>
      <w:lang w:val="en-GB"/>
    </w:rPr>
  </w:style>
  <w:style w:type="paragraph" w:styleId="BalloonText">
    <w:name w:val="Balloon Text"/>
    <w:basedOn w:val="Normal"/>
    <w:link w:val="BalloonTextChar"/>
    <w:uiPriority w:val="99"/>
    <w:semiHidden/>
    <w:unhideWhenUsed/>
    <w:rsid w:val="002421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1A7"/>
    <w:rPr>
      <w:rFonts w:ascii="Tahoma" w:eastAsia="Calibri" w:hAnsi="Tahoma" w:cs="Tahoma"/>
      <w:sz w:val="16"/>
      <w:szCs w:val="16"/>
      <w:lang w:val="en-US" w:eastAsia="id-ID"/>
    </w:rPr>
  </w:style>
  <w:style w:type="paragraph" w:styleId="NormalWeb">
    <w:name w:val="Normal (Web)"/>
    <w:basedOn w:val="Normal"/>
    <w:uiPriority w:val="99"/>
    <w:semiHidden/>
    <w:unhideWhenUsed/>
    <w:rsid w:val="00126A09"/>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126A09"/>
    <w:rPr>
      <w:b/>
      <w:bCs/>
    </w:rPr>
  </w:style>
  <w:style w:type="character" w:styleId="Emphasis">
    <w:name w:val="Emphasis"/>
    <w:basedOn w:val="DefaultParagraphFont"/>
    <w:uiPriority w:val="20"/>
    <w:qFormat/>
    <w:rsid w:val="00126A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3457">
      <w:bodyDiv w:val="1"/>
      <w:marLeft w:val="0"/>
      <w:marRight w:val="0"/>
      <w:marTop w:val="0"/>
      <w:marBottom w:val="0"/>
      <w:divBdr>
        <w:top w:val="none" w:sz="0" w:space="0" w:color="auto"/>
        <w:left w:val="none" w:sz="0" w:space="0" w:color="auto"/>
        <w:bottom w:val="none" w:sz="0" w:space="0" w:color="auto"/>
        <w:right w:val="none" w:sz="0" w:space="0" w:color="auto"/>
      </w:divBdr>
    </w:div>
    <w:div w:id="507520982">
      <w:bodyDiv w:val="1"/>
      <w:marLeft w:val="0"/>
      <w:marRight w:val="0"/>
      <w:marTop w:val="0"/>
      <w:marBottom w:val="0"/>
      <w:divBdr>
        <w:top w:val="none" w:sz="0" w:space="0" w:color="auto"/>
        <w:left w:val="none" w:sz="0" w:space="0" w:color="auto"/>
        <w:bottom w:val="none" w:sz="0" w:space="0" w:color="auto"/>
        <w:right w:val="none" w:sz="0" w:space="0" w:color="auto"/>
      </w:divBdr>
    </w:div>
    <w:div w:id="682778671">
      <w:bodyDiv w:val="1"/>
      <w:marLeft w:val="0"/>
      <w:marRight w:val="0"/>
      <w:marTop w:val="0"/>
      <w:marBottom w:val="0"/>
      <w:divBdr>
        <w:top w:val="none" w:sz="0" w:space="0" w:color="auto"/>
        <w:left w:val="none" w:sz="0" w:space="0" w:color="auto"/>
        <w:bottom w:val="none" w:sz="0" w:space="0" w:color="auto"/>
        <w:right w:val="none" w:sz="0" w:space="0" w:color="auto"/>
      </w:divBdr>
    </w:div>
    <w:div w:id="817647827">
      <w:bodyDiv w:val="1"/>
      <w:marLeft w:val="0"/>
      <w:marRight w:val="0"/>
      <w:marTop w:val="0"/>
      <w:marBottom w:val="0"/>
      <w:divBdr>
        <w:top w:val="none" w:sz="0" w:space="0" w:color="auto"/>
        <w:left w:val="none" w:sz="0" w:space="0" w:color="auto"/>
        <w:bottom w:val="none" w:sz="0" w:space="0" w:color="auto"/>
        <w:right w:val="none" w:sz="0" w:space="0" w:color="auto"/>
      </w:divBdr>
    </w:div>
    <w:div w:id="1024750111">
      <w:bodyDiv w:val="1"/>
      <w:marLeft w:val="0"/>
      <w:marRight w:val="0"/>
      <w:marTop w:val="0"/>
      <w:marBottom w:val="0"/>
      <w:divBdr>
        <w:top w:val="none" w:sz="0" w:space="0" w:color="auto"/>
        <w:left w:val="none" w:sz="0" w:space="0" w:color="auto"/>
        <w:bottom w:val="none" w:sz="0" w:space="0" w:color="auto"/>
        <w:right w:val="none" w:sz="0" w:space="0" w:color="auto"/>
      </w:divBdr>
    </w:div>
    <w:div w:id="1166748797">
      <w:bodyDiv w:val="1"/>
      <w:marLeft w:val="0"/>
      <w:marRight w:val="0"/>
      <w:marTop w:val="0"/>
      <w:marBottom w:val="0"/>
      <w:divBdr>
        <w:top w:val="none" w:sz="0" w:space="0" w:color="auto"/>
        <w:left w:val="none" w:sz="0" w:space="0" w:color="auto"/>
        <w:bottom w:val="none" w:sz="0" w:space="0" w:color="auto"/>
        <w:right w:val="none" w:sz="0" w:space="0" w:color="auto"/>
      </w:divBdr>
    </w:div>
    <w:div w:id="1197737450">
      <w:bodyDiv w:val="1"/>
      <w:marLeft w:val="0"/>
      <w:marRight w:val="0"/>
      <w:marTop w:val="0"/>
      <w:marBottom w:val="0"/>
      <w:divBdr>
        <w:top w:val="none" w:sz="0" w:space="0" w:color="auto"/>
        <w:left w:val="none" w:sz="0" w:space="0" w:color="auto"/>
        <w:bottom w:val="none" w:sz="0" w:space="0" w:color="auto"/>
        <w:right w:val="none" w:sz="0" w:space="0" w:color="auto"/>
      </w:divBdr>
    </w:div>
    <w:div w:id="1465924573">
      <w:bodyDiv w:val="1"/>
      <w:marLeft w:val="0"/>
      <w:marRight w:val="0"/>
      <w:marTop w:val="0"/>
      <w:marBottom w:val="0"/>
      <w:divBdr>
        <w:top w:val="none" w:sz="0" w:space="0" w:color="auto"/>
        <w:left w:val="none" w:sz="0" w:space="0" w:color="auto"/>
        <w:bottom w:val="none" w:sz="0" w:space="0" w:color="auto"/>
        <w:right w:val="none" w:sz="0" w:space="0" w:color="auto"/>
      </w:divBdr>
    </w:div>
    <w:div w:id="194892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sbiunhaj@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59712/iaml.v4i1.113"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A472E-2451-4C42-AE8E-8A4AA4559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15</Pages>
  <Words>25910</Words>
  <Characters>147687</Characters>
  <Application>Microsoft Office Word</Application>
  <DocSecurity>0</DocSecurity>
  <Lines>1230</Lines>
  <Paragraphs>346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Emmi-Arief</dc:creator>
  <cp:lastModifiedBy>user</cp:lastModifiedBy>
  <cp:revision>31</cp:revision>
  <cp:lastPrinted>2020-07-13T09:32:00Z</cp:lastPrinted>
  <dcterms:created xsi:type="dcterms:W3CDTF">2020-07-13T08:54:00Z</dcterms:created>
  <dcterms:modified xsi:type="dcterms:W3CDTF">2026-01-14T11:02:00Z</dcterms:modified>
</cp:coreProperties>
</file>