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A77E5C" w:rsidRPr="00BA541A" w:rsidRDefault="00A77E5C"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77E5C"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77E5C" w:rsidRPr="00642B77"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A77E5C" w:rsidRPr="00BA541A" w:rsidRDefault="00A77E5C"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77E5C"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77E5C" w:rsidRPr="00642B77"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FF5F23" w:rsidRPr="0091466F" w:rsidRDefault="0091466F" w:rsidP="00370905">
      <w:pPr>
        <w:spacing w:after="0"/>
        <w:jc w:val="both"/>
        <w:rPr>
          <w:rFonts w:ascii="Bookman Old Style" w:hAnsi="Bookman Old Style"/>
          <w:b/>
          <w:bCs/>
          <w:sz w:val="28"/>
          <w:szCs w:val="28"/>
        </w:rPr>
      </w:pPr>
      <w:r w:rsidRPr="0091466F">
        <w:rPr>
          <w:rStyle w:val="ypks7kbdpwfgdykd3qb9"/>
          <w:rFonts w:ascii="Bookman Old Style" w:hAnsi="Bookman Old Style"/>
          <w:b/>
          <w:sz w:val="28"/>
          <w:szCs w:val="28"/>
        </w:rPr>
        <w:t>Justice</w:t>
      </w:r>
      <w:r w:rsidRPr="0091466F">
        <w:rPr>
          <w:rFonts w:ascii="Bookman Old Style" w:hAnsi="Bookman Old Style"/>
          <w:b/>
          <w:sz w:val="28"/>
          <w:szCs w:val="28"/>
        </w:rPr>
        <w:t xml:space="preserve"> </w:t>
      </w:r>
      <w:r w:rsidR="006561C0" w:rsidRPr="0091466F">
        <w:rPr>
          <w:rStyle w:val="ypks7kbdpwfgdykd3qb9"/>
          <w:rFonts w:ascii="Bookman Old Style" w:hAnsi="Bookman Old Style"/>
          <w:b/>
          <w:sz w:val="28"/>
          <w:szCs w:val="28"/>
        </w:rPr>
        <w:t xml:space="preserve">And Legal Certainty In The Imposition Of Narcotics </w:t>
      </w:r>
      <w:r w:rsidRPr="0091466F">
        <w:rPr>
          <w:rStyle w:val="ypks7kbdpwfgdykd3qb9"/>
          <w:rFonts w:ascii="Bookman Old Style" w:hAnsi="Bookman Old Style"/>
          <w:b/>
          <w:sz w:val="28"/>
          <w:szCs w:val="28"/>
        </w:rPr>
        <w:t xml:space="preserve">(Bekasi District Court </w:t>
      </w:r>
      <w:r w:rsidR="00EE3894">
        <w:rPr>
          <w:rStyle w:val="ypks7kbdpwfgdykd3qb9"/>
          <w:rFonts w:ascii="Bookman Old Style" w:hAnsi="Bookman Old Style"/>
          <w:b/>
          <w:sz w:val="28"/>
          <w:szCs w:val="28"/>
        </w:rPr>
        <w:t>D</w:t>
      </w:r>
      <w:r w:rsidRPr="0091466F">
        <w:rPr>
          <w:rStyle w:val="ypks7kbdpwfgdykd3qb9"/>
          <w:rFonts w:ascii="Bookman Old Style" w:hAnsi="Bookman Old Style"/>
          <w:b/>
          <w:sz w:val="28"/>
          <w:szCs w:val="28"/>
        </w:rPr>
        <w:t>ecision Study number 217/Pid.Sus / 2025</w:t>
      </w:r>
      <w:r w:rsidRPr="0091466F">
        <w:rPr>
          <w:rFonts w:ascii="Bookman Old Style" w:hAnsi="Bookman Old Style"/>
          <w:b/>
          <w:sz w:val="28"/>
          <w:szCs w:val="28"/>
        </w:rPr>
        <w:t xml:space="preserve"> </w:t>
      </w:r>
      <w:r w:rsidRPr="0091466F">
        <w:rPr>
          <w:rStyle w:val="ypks7kbdpwfgdykd3qb9"/>
          <w:rFonts w:ascii="Bookman Old Style" w:hAnsi="Bookman Old Style"/>
          <w:b/>
          <w:sz w:val="28"/>
          <w:szCs w:val="28"/>
        </w:rPr>
        <w:t>/ PN Bks</w:t>
      </w:r>
      <w:r w:rsidRPr="0091466F">
        <w:rPr>
          <w:rFonts w:ascii="Bookman Old Style" w:hAnsi="Bookman Old Style"/>
          <w:b/>
          <w:sz w:val="28"/>
          <w:szCs w:val="28"/>
        </w:rPr>
        <w:t>)</w:t>
      </w:r>
    </w:p>
    <w:p w:rsidR="00EE6B0D" w:rsidRDefault="00EE6B0D" w:rsidP="002C2ECA">
      <w:pPr>
        <w:spacing w:after="0" w:line="240" w:lineRule="auto"/>
        <w:rPr>
          <w:rFonts w:ascii="Bookman Old Style" w:hAnsi="Bookman Old Style"/>
          <w:b/>
          <w:bCs/>
        </w:rPr>
      </w:pPr>
    </w:p>
    <w:p w:rsidR="00651447" w:rsidRPr="00DC26C7" w:rsidRDefault="0091466F" w:rsidP="002C2ECA">
      <w:pPr>
        <w:spacing w:after="0" w:line="240" w:lineRule="auto"/>
        <w:rPr>
          <w:rFonts w:ascii="Bookman Old Style" w:hAnsi="Bookman Old Style"/>
          <w:b/>
          <w:bCs/>
          <w:lang w:val="id-ID"/>
        </w:rPr>
      </w:pPr>
      <w:r>
        <w:rPr>
          <w:rFonts w:ascii="Bookman Old Style" w:hAnsi="Bookman Old Style"/>
          <w:b/>
          <w:bCs/>
        </w:rPr>
        <w:t>Maswandi</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p>
    <w:p w:rsidR="00651447" w:rsidRDefault="00795446" w:rsidP="002C2ECA">
      <w:pPr>
        <w:spacing w:after="0" w:line="240" w:lineRule="auto"/>
        <w:rPr>
          <w:rFonts w:ascii="Bookman Old Style" w:hAnsi="Bookman Old Style"/>
          <w:bCs/>
        </w:rPr>
      </w:pPr>
      <w:r>
        <w:rPr>
          <w:rFonts w:ascii="Bookman Old Style" w:hAnsi="Bookman Old Style"/>
          <w:bCs/>
        </w:rPr>
        <w:t xml:space="preserve">Fakultas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sidR="0091466F">
        <w:rPr>
          <w:rFonts w:ascii="Bookman Old Style" w:hAnsi="Bookman Old Style"/>
          <w:bCs/>
          <w:lang w:val="en-US"/>
        </w:rPr>
        <w:t>Medan Area</w:t>
      </w:r>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9417F"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CB4D1A" w:rsidRPr="00CB4D1A" w:rsidRDefault="00CB4D1A" w:rsidP="00651E7D">
      <w:pPr>
        <w:spacing w:after="0" w:line="240" w:lineRule="auto"/>
        <w:jc w:val="both"/>
        <w:rPr>
          <w:rFonts w:ascii="Bookman Old Style" w:hAnsi="Bookman Old Style"/>
          <w:sz w:val="20"/>
          <w:szCs w:val="20"/>
        </w:rPr>
      </w:pPr>
      <w:r w:rsidRPr="00CB4D1A">
        <w:rPr>
          <w:rStyle w:val="ypks7kbdpwfgdykd3qb9"/>
          <w:rFonts w:ascii="Bookman Old Style" w:hAnsi="Bookman Old Style"/>
          <w:sz w:val="20"/>
          <w:szCs w:val="20"/>
        </w:rPr>
        <w:t>Law enforcement</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against</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narcotics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crime requires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a balance</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between legal certainty, justice, and expediency.</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This study</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aims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to analyze how the principle of justice and legal certainty is applied in the Bekasi District Court decision number 217/Pid.Sus/2025 / PN Bks against two defendants, namely Bayu Setiawan alias Bontot and Ayub Ferdiansyah alias Ayub, who were proven to have committed the crime of conspiracy to sell Class I narcotics.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This research</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uses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normative</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juridical</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method</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with</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case</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approach</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Based</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on the analysis, the panel of judges sentenced the defendants to imprisonment for eleven years in accordance with Article 114 paragraph (2) in conjunction with Article 132 paragraph (1) of Law No. 35 of 2009 on narcotics.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The decision</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reflects</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the application</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of the principle of legal certainty because it is based on valid evidence and the elements of the offense are met.</w:t>
      </w:r>
      <w:r w:rsidRPr="00CB4D1A">
        <w:rPr>
          <w:rFonts w:ascii="Bookman Old Style" w:hAnsi="Bookman Old Style"/>
          <w:sz w:val="20"/>
          <w:szCs w:val="20"/>
        </w:rPr>
        <w:t xml:space="preserve"> </w:t>
      </w:r>
      <w:r w:rsidRPr="00CB4D1A">
        <w:rPr>
          <w:rStyle w:val="ypks7kbdpwfgdykd3qb9"/>
          <w:rFonts w:ascii="Bookman Old Style" w:hAnsi="Bookman Old Style"/>
          <w:sz w:val="20"/>
          <w:szCs w:val="20"/>
        </w:rPr>
        <w:t>However, from the aspect of substantive justice, the verdict does not fully reflect the rehabilitative approach for users and intermediaries, so the repressive approach is still dominant.</w:t>
      </w:r>
    </w:p>
    <w:p w:rsidR="003004C8" w:rsidRPr="00B9313C"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CB4D1A" w:rsidRDefault="00ED635A" w:rsidP="00717C8E">
      <w:pPr>
        <w:rPr>
          <w:rFonts w:ascii="Bookman Old Style" w:hAnsi="Bookman Old Style"/>
          <w:sz w:val="18"/>
          <w:szCs w:val="18"/>
        </w:rPr>
      </w:pPr>
      <w:r w:rsidRPr="00674FA1">
        <w:rPr>
          <w:rFonts w:ascii="Bookman Old Style" w:hAnsi="Bookman Old Style"/>
          <w:b/>
          <w:i/>
          <w:iCs/>
          <w:sz w:val="20"/>
          <w:szCs w:val="20"/>
        </w:rPr>
        <w:t>Keywords</w:t>
      </w:r>
      <w:r w:rsidR="00B9313C">
        <w:rPr>
          <w:rFonts w:ascii="Bookman Old Style" w:hAnsi="Bookman Old Style"/>
          <w:i/>
          <w:sz w:val="20"/>
          <w:szCs w:val="20"/>
        </w:rPr>
        <w:t xml:space="preserve">: </w:t>
      </w:r>
      <w:r w:rsidR="00CB4D1A" w:rsidRPr="00CB4D1A">
        <w:rPr>
          <w:rStyle w:val="ypks7kbdpwfgdykd3qb9"/>
          <w:rFonts w:ascii="Bookman Old Style" w:hAnsi="Bookman Old Style"/>
          <w:sz w:val="18"/>
          <w:szCs w:val="18"/>
        </w:rPr>
        <w:t>Justice, Legal Certainty, Narcotics, Court Decisions, Criminal</w:t>
      </w:r>
      <w:r w:rsidR="00CB4D1A" w:rsidRPr="00CB4D1A">
        <w:rPr>
          <w:rFonts w:ascii="Bookman Old Style" w:hAnsi="Bookman Old Style"/>
          <w:sz w:val="18"/>
          <w:szCs w:val="18"/>
        </w:rPr>
        <w:t xml:space="preserve"> </w:t>
      </w:r>
      <w:r w:rsidR="00CB4D1A" w:rsidRPr="00CB4D1A">
        <w:rPr>
          <w:rStyle w:val="ypks7kbdpwfgdykd3qb9"/>
          <w:rFonts w:ascii="Bookman Old Style" w:hAnsi="Bookman Old Style"/>
          <w:sz w:val="18"/>
          <w:szCs w:val="18"/>
        </w:rPr>
        <w:t>Law</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FA3259" w:rsidRDefault="00FA3259" w:rsidP="00D730A1">
      <w:pPr>
        <w:spacing w:after="0"/>
        <w:ind w:firstLine="567"/>
        <w:jc w:val="both"/>
        <w:rPr>
          <w:rStyle w:val="ypks7kbdpwfgdykd3qb9"/>
          <w:rFonts w:ascii="Bookman Old Style" w:hAnsi="Bookman Old Style"/>
          <w:sz w:val="24"/>
          <w:szCs w:val="24"/>
        </w:rPr>
      </w:pPr>
      <w:r w:rsidRPr="00FA3259">
        <w:rPr>
          <w:rStyle w:val="ypks7kbdpwfgdykd3qb9"/>
          <w:rFonts w:ascii="Bookman Old Style" w:hAnsi="Bookman Old Style"/>
          <w:sz w:val="24"/>
          <w:szCs w:val="24"/>
        </w:rPr>
        <w:t>Illicit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trafficking</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and abuse of narcotics is a crime that has very complex social, economic and legal impacts.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Indonesia, as a legal country that upholds human values and social justice, faces severe challenges in tackling narcotics crime that continues to grow along with globalization and advances in Information Technology.</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These crimes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are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no longer conventional in nature, but have involved cross-border networks, digital transaction methods, and increasingly sophisticated modus operandi.</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2024 report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by the National Narcotics Agency (BNN) noted that the number of narcotics abusers reached around 4.8 million people, with an increasing trend in the circulation of synthetic narcotics through online media and couriers based on the “paste”system.</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this condition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not only threatens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public</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health, but also has the potential to weaken the nation's competitiveness, reduce the productivity of the younger generation, and erode moral values in society.</w:t>
      </w:r>
    </w:p>
    <w:p w:rsidR="00FA3259" w:rsidRPr="004C153E" w:rsidRDefault="00FA3259" w:rsidP="00D730A1">
      <w:pPr>
        <w:spacing w:after="0"/>
        <w:ind w:firstLine="567"/>
        <w:jc w:val="both"/>
        <w:rPr>
          <w:rStyle w:val="ypks7kbdpwfgdykd3qb9"/>
          <w:rFonts w:ascii="Bookman Old Style" w:hAnsi="Bookman Old Style"/>
          <w:sz w:val="24"/>
          <w:szCs w:val="24"/>
        </w:rPr>
      </w:pPr>
      <w:r w:rsidRPr="00FA3259">
        <w:rPr>
          <w:rStyle w:val="ypks7kbdpwfgdykd3qb9"/>
          <w:rFonts w:ascii="Bookman Old Style" w:hAnsi="Bookman Old Style"/>
          <w:sz w:val="24"/>
          <w:szCs w:val="24"/>
        </w:rPr>
        <w:lastRenderedPageBreak/>
        <w:t>Responding</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to this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phenomenon, the Indonesian government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enacted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Law</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35 of 2009 on narcotics which expressly regulates narcotics crimes and criminal threats.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However, in law enforcement practice, there are serious problems related to how the balance between the principle of justice and the principle of legal certainty can be maintained in any narcotics criminal justice process.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principle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of justice requires that the punishment should take into account the condition of the offender, the motiv</w:t>
      </w:r>
      <w:r w:rsidR="004C153E">
        <w:rPr>
          <w:rStyle w:val="ypks7kbdpwfgdykd3qb9"/>
          <w:rFonts w:ascii="Bookman Old Style" w:hAnsi="Bookman Old Style"/>
          <w:sz w:val="24"/>
          <w:szCs w:val="24"/>
        </w:rPr>
        <w:t>es and consequences of his act.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on the other hand, the principle of legal certainty demands that any enforcement action be based on a clear and predictable</w:t>
      </w:r>
      <w:r w:rsidR="004C153E">
        <w:rPr>
          <w:rStyle w:val="ypks7kbdpwfgdykd3qb9"/>
          <w:rFonts w:ascii="Bookman Old Style" w:hAnsi="Bookman Old Style"/>
          <w:sz w:val="24"/>
          <w:szCs w:val="24"/>
        </w:rPr>
        <w:t xml:space="preserve"> norm (predictability).</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tension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between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two principles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is often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seen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Indonesian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criminal</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justice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practice, particularly</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narcotics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cases, where judges are faced with a dilemma between enforcing positive law unequivocally or interpreting the law to achieve substantive justice</w:t>
      </w:r>
      <w:r w:rsidR="004C153E">
        <w:rPr>
          <w:rStyle w:val="ypks7kbdpwfgdykd3qb9"/>
          <w:rFonts w:ascii="Bookman Old Style" w:hAnsi="Bookman Old Style"/>
          <w:sz w:val="24"/>
          <w:szCs w:val="24"/>
        </w:rPr>
        <w:t xml:space="preserve"> </w:t>
      </w:r>
      <w:r w:rsidR="004C153E" w:rsidRPr="004C153E">
        <w:rPr>
          <w:rStyle w:val="ypks7kbdpwfgdykd3qb9"/>
          <w:rFonts w:ascii="Bookman Old Style" w:hAnsi="Bookman Old Style"/>
          <w:sz w:val="24"/>
          <w:szCs w:val="24"/>
        </w:rPr>
        <w:t>(</w:t>
      </w:r>
      <w:r w:rsidR="004C153E" w:rsidRPr="004C153E">
        <w:rPr>
          <w:rFonts w:ascii="Bookman Old Style" w:hAnsi="Bookman Old Style"/>
          <w:sz w:val="24"/>
          <w:szCs w:val="24"/>
        </w:rPr>
        <w:t>Ariman Sitompul,  and Mhd Nasir Sitompul</w:t>
      </w:r>
      <w:r w:rsidR="004C153E" w:rsidRPr="004C153E">
        <w:rPr>
          <w:rFonts w:ascii="Bookman Old Style" w:hAnsi="Bookman Old Style"/>
          <w:sz w:val="24"/>
          <w:szCs w:val="24"/>
        </w:rPr>
        <w:t>, 2020)</w:t>
      </w:r>
      <w:r w:rsidRPr="004C153E">
        <w:rPr>
          <w:rStyle w:val="ypks7kbdpwfgdykd3qb9"/>
          <w:rFonts w:ascii="Bookman Old Style" w:hAnsi="Bookman Old Style"/>
          <w:sz w:val="24"/>
          <w:szCs w:val="24"/>
        </w:rPr>
        <w:t>.</w:t>
      </w:r>
    </w:p>
    <w:p w:rsidR="00FA3259" w:rsidRDefault="00FA3259" w:rsidP="00D730A1">
      <w:pPr>
        <w:spacing w:after="0"/>
        <w:ind w:firstLine="567"/>
        <w:jc w:val="both"/>
        <w:rPr>
          <w:rStyle w:val="ypks7kbdpwfgdykd3qb9"/>
          <w:rFonts w:ascii="Bookman Old Style" w:hAnsi="Bookman Old Style"/>
          <w:sz w:val="24"/>
          <w:szCs w:val="24"/>
        </w:rPr>
      </w:pPr>
      <w:r w:rsidRPr="00FA3259">
        <w:rPr>
          <w:rStyle w:val="ypks7kbdpwfgdykd3qb9"/>
          <w:rFonts w:ascii="Bookman Old Style" w:hAnsi="Bookman Old Style"/>
          <w:sz w:val="24"/>
          <w:szCs w:val="24"/>
        </w:rPr>
        <w:t>In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this context, Bekasi District Court decision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number</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217 / Pid.Sus/2025/PN Bks becomes interesting to study.</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the case, two defendants — Bayu</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Setiawan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alias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Bontot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and Ayub</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Ferdiansyah</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alias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Ayub-were legally and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convincingly</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proven to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have conspired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to sell Class I narcotics without rights or against the law as stipulated in Article 114 paragraph (2) in conjunction with Article 132 paragraph (1) of Law No. 35 of 2009 on narcotics.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Based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on legal facts, the defendants collaborated with a DPO named Bogel to take and distribute narcotics types of methamphetamine and marijuana using the “paste”system</w:t>
      </w:r>
      <w:r w:rsidR="004C153E">
        <w:rPr>
          <w:rStyle w:val="ypks7kbdpwfgdykd3qb9"/>
          <w:rFonts w:ascii="Bookman Old Style" w:hAnsi="Bookman Old Style"/>
          <w:sz w:val="24"/>
          <w:szCs w:val="24"/>
        </w:rPr>
        <w:t xml:space="preserve"> (</w:t>
      </w:r>
      <w:r w:rsidR="004C153E" w:rsidRPr="004C153E">
        <w:rPr>
          <w:rFonts w:ascii="Bookman Old Style" w:hAnsi="Bookman Old Style"/>
          <w:sz w:val="24"/>
          <w:szCs w:val="24"/>
        </w:rPr>
        <w:t>Muhammad Nasir Sitompul,, and Ariman Sitompul</w:t>
      </w:r>
      <w:r w:rsidR="004C153E">
        <w:rPr>
          <w:rFonts w:ascii="Bookman Old Style" w:hAnsi="Bookman Old Style"/>
          <w:sz w:val="24"/>
          <w:szCs w:val="24"/>
        </w:rPr>
        <w:t>, 2022)</w:t>
      </w:r>
      <w:r w:rsidRPr="00FA3259">
        <w:rPr>
          <w:rStyle w:val="ypks7kbdpwfgdykd3qb9"/>
          <w:rFonts w:ascii="Bookman Old Style" w:hAnsi="Bookman Old Style"/>
          <w:sz w:val="24"/>
          <w:szCs w:val="24"/>
        </w:rPr>
        <w: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Evidence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found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the form of methamphetamine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weighing</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more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than 300 grams and marijuana weighing 200 grams</w:t>
      </w:r>
      <w:r>
        <w:rPr>
          <w:rStyle w:val="ypks7kbdpwfgdykd3qb9"/>
          <w:rFonts w:ascii="Bookman Old Style" w:hAnsi="Bookman Old Style"/>
          <w:sz w:val="24"/>
          <w:szCs w:val="24"/>
        </w:rPr>
        <w: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judge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then sentenced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each defendant to 11 (eleven) years in prison and determined the evidence to be destroyed.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terms of positive law, this decision indicates the implementation of a firm norm and in accordance with the provisions of the legislation.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However, when viewed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from the aspect of substantive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justice, the question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arises: Does the sentence imposed already reflect the sense of Justice of society and pay attention to the role of the defendants as middle-level perpetrators controlled by other parties (DPO)?</w:t>
      </w:r>
    </w:p>
    <w:p w:rsidR="00FA3259" w:rsidRPr="00C475C2" w:rsidRDefault="00FA3259" w:rsidP="00D730A1">
      <w:pPr>
        <w:spacing w:after="0"/>
        <w:ind w:firstLine="567"/>
        <w:jc w:val="both"/>
        <w:rPr>
          <w:rStyle w:val="ypks7kbdpwfgdykd3qb9"/>
          <w:rFonts w:ascii="Bookman Old Style" w:hAnsi="Bookman Old Style"/>
          <w:sz w:val="24"/>
          <w:szCs w:val="24"/>
        </w:rPr>
      </w:pPr>
      <w:r w:rsidRPr="00FA3259">
        <w:rPr>
          <w:rStyle w:val="ypks7kbdpwfgdykd3qb9"/>
          <w:rFonts w:ascii="Bookman Old Style" w:hAnsi="Bookman Old Style"/>
          <w:sz w:val="24"/>
          <w:szCs w:val="24"/>
        </w:rPr>
        <w:t>The problem</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illustrates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that the application of Narcotics Criminal Law in Indonesia still faces a dilemma between legal certainty and substantive justice.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On the one hand, strict law enforcement is needed to provide a deterrent effect and protect the community; but on the other hand, too severe a crime can ignore rehabilitative aspects, especially for perpetrators who play a small role in the network</w:t>
      </w:r>
      <w:r w:rsidR="00C475C2">
        <w:rPr>
          <w:rStyle w:val="ypks7kbdpwfgdykd3qb9"/>
          <w:rFonts w:ascii="Bookman Old Style" w:hAnsi="Bookman Old Style"/>
          <w:sz w:val="24"/>
          <w:szCs w:val="24"/>
        </w:rPr>
        <w:t xml:space="preserve"> </w:t>
      </w:r>
      <w:r w:rsidR="00C475C2" w:rsidRPr="00C475C2">
        <w:rPr>
          <w:rStyle w:val="ypks7kbdpwfgdykd3qb9"/>
          <w:rFonts w:ascii="Bookman Old Style" w:hAnsi="Bookman Old Style"/>
          <w:sz w:val="24"/>
          <w:szCs w:val="24"/>
        </w:rPr>
        <w:t>(</w:t>
      </w:r>
      <w:r w:rsidR="00C475C2" w:rsidRPr="00C475C2">
        <w:rPr>
          <w:rFonts w:ascii="Bookman Old Style" w:hAnsi="Bookman Old Style"/>
          <w:sz w:val="24"/>
          <w:szCs w:val="24"/>
        </w:rPr>
        <w:t>Hikmawati, 2016</w:t>
      </w:r>
      <w:r w:rsidR="00C475C2">
        <w:t>)</w:t>
      </w:r>
      <w:r w:rsidRPr="00FA3259">
        <w:rPr>
          <w:rStyle w:val="ypks7kbdpwfgdykd3qb9"/>
          <w:rFonts w:ascii="Bookman Old Style" w:hAnsi="Bookman Old Style"/>
          <w:sz w:val="24"/>
          <w:szCs w:val="24"/>
        </w:rPr>
        <w: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As Gustav</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Radbruch</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argued, the ideal</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law</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should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contain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three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basic</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 xml:space="preserve">values: justice </w:t>
      </w:r>
      <w:r w:rsidRPr="00FA3259">
        <w:rPr>
          <w:rStyle w:val="ypks7kbdpwfgdykd3qb9"/>
          <w:rFonts w:ascii="Bookman Old Style" w:hAnsi="Bookman Old Style"/>
          <w:i/>
          <w:sz w:val="24"/>
          <w:szCs w:val="24"/>
        </w:rPr>
        <w:lastRenderedPageBreak/>
        <w:t>(gerechtigkeit</w:t>
      </w:r>
      <w:r w:rsidRPr="00FA3259">
        <w:rPr>
          <w:rStyle w:val="ypks7kbdpwfgdykd3qb9"/>
          <w:rFonts w:ascii="Bookman Old Style" w:hAnsi="Bookman Old Style"/>
          <w:sz w:val="24"/>
          <w:szCs w:val="24"/>
        </w:rPr>
        <w:t>), legal certainty (rechtssicherheit), and expediency (</w:t>
      </w:r>
      <w:r w:rsidRPr="00FA3259">
        <w:rPr>
          <w:rStyle w:val="ypks7kbdpwfgdykd3qb9"/>
          <w:rFonts w:ascii="Bookman Old Style" w:hAnsi="Bookman Old Style"/>
          <w:i/>
          <w:sz w:val="24"/>
          <w:szCs w:val="24"/>
        </w:rPr>
        <w:t>zweckmäßigkeit</w:t>
      </w:r>
      <w:r w:rsidRPr="00FA3259">
        <w:rPr>
          <w:rStyle w:val="ypks7kbdpwfgdykd3qb9"/>
          <w:rFonts w:ascii="Bookman Old Style" w:hAnsi="Bookman Old Style"/>
          <w:sz w:val="24"/>
          <w:szCs w:val="24"/>
        </w:rPr>
        <w: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When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there is a conflict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between justice and legal certainty, justice must take precedence, because the law must not lose its moral soul.</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This view</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becomes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relevant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assess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whether</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verdict of the judge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the narcotics case above emphasizes legal certainty or substantive justice</w:t>
      </w:r>
      <w:r w:rsidR="00C475C2">
        <w:rPr>
          <w:rStyle w:val="ypks7kbdpwfgdykd3qb9"/>
          <w:rFonts w:ascii="Bookman Old Style" w:hAnsi="Bookman Old Style"/>
          <w:sz w:val="24"/>
          <w:szCs w:val="24"/>
        </w:rPr>
        <w:t xml:space="preserve"> </w:t>
      </w:r>
      <w:r w:rsidR="00C475C2" w:rsidRPr="00C475C2">
        <w:rPr>
          <w:rStyle w:val="ypks7kbdpwfgdykd3qb9"/>
          <w:rFonts w:ascii="Bookman Old Style" w:hAnsi="Bookman Old Style"/>
          <w:sz w:val="24"/>
          <w:szCs w:val="24"/>
        </w:rPr>
        <w:t>(</w:t>
      </w:r>
      <w:r w:rsidR="00C475C2" w:rsidRPr="00C475C2">
        <w:rPr>
          <w:rFonts w:ascii="Bookman Old Style" w:hAnsi="Bookman Old Style"/>
          <w:sz w:val="24"/>
          <w:szCs w:val="24"/>
        </w:rPr>
        <w:t>Hidayatun, 2020)</w:t>
      </w:r>
      <w:r w:rsidRPr="00C475C2">
        <w:rPr>
          <w:rStyle w:val="ypks7kbdpwfgdykd3qb9"/>
          <w:rFonts w:ascii="Bookman Old Style" w:hAnsi="Bookman Old Style"/>
          <w:sz w:val="24"/>
          <w:szCs w:val="24"/>
        </w:rPr>
        <w:t>.</w:t>
      </w:r>
    </w:p>
    <w:p w:rsidR="00FA3259" w:rsidRDefault="00FA3259" w:rsidP="00D730A1">
      <w:pPr>
        <w:spacing w:after="0"/>
        <w:ind w:firstLine="567"/>
        <w:jc w:val="both"/>
        <w:rPr>
          <w:rFonts w:ascii="Bookman Old Style" w:hAnsi="Bookman Old Style"/>
          <w:sz w:val="24"/>
          <w:szCs w:val="24"/>
        </w:rPr>
      </w:pPr>
      <w:r w:rsidRPr="00FA3259">
        <w:rPr>
          <w:rStyle w:val="ypks7kbdpwfgdykd3qb9"/>
          <w:rFonts w:ascii="Bookman Old Style" w:hAnsi="Bookman Old Style"/>
          <w:sz w:val="24"/>
          <w:szCs w:val="24"/>
        </w:rPr>
        <w:t>The problem</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of drug abuse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and Illicit Trafficking in Indonesia has reached alarming levels.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This phenomenon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not only inflicts moral and physical damage to individuals, but also threatens national resilience.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Based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on data from the National Narcotics Agency (BNN) in 2024, the prevalence of narcotics abuse in Indonesia reached 2.2% of the total adult population, or about 4.8 million active narcotics users.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This condition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requires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law</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enforcement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officers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to act decisively in combating the circulation of narcotics.</w:t>
      </w:r>
      <w:r w:rsidRPr="00FA3259">
        <w:rPr>
          <w:rFonts w:ascii="Bookman Old Style" w:hAnsi="Bookman Old Style"/>
          <w:sz w:val="24"/>
          <w:szCs w:val="24"/>
        </w:rPr>
        <w:t xml:space="preserve"> </w:t>
      </w:r>
    </w:p>
    <w:p w:rsidR="00FA3259" w:rsidRPr="00FA3259" w:rsidRDefault="00FA3259" w:rsidP="00D730A1">
      <w:pPr>
        <w:spacing w:after="0"/>
        <w:ind w:firstLine="567"/>
        <w:jc w:val="both"/>
        <w:rPr>
          <w:rStyle w:val="ypks7kbdpwfgdykd3qb9"/>
          <w:rFonts w:ascii="Bookman Old Style" w:hAnsi="Bookman Old Style"/>
          <w:sz w:val="24"/>
          <w:szCs w:val="24"/>
        </w:rPr>
      </w:pPr>
      <w:r w:rsidRPr="00FA3259">
        <w:rPr>
          <w:rStyle w:val="ypks7kbdpwfgdykd3qb9"/>
          <w:rFonts w:ascii="Bookman Old Style" w:hAnsi="Bookman Old Style"/>
          <w:sz w:val="24"/>
          <w:szCs w:val="24"/>
        </w:rPr>
        <w:t>Law</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35 of 2009 on narcotics provides for severe sanctions against perpetrators of narcotics crimes, especially for actors involved in illicit trafficking networks.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However, law enforcement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must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remain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based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on the principles of justice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and legal certainty as contained in Article 1 Paragraph (3) of the Constitution of the Republic of Indonesia in 1945, which states that Indonesia is a state of law (rechtsstaat), not a state of power (machtsstaat).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In this context, Bekasi District Court decision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number</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217 / Pid.Sus/2025/PN Bks becomes interesting to analyze.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The verdict</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sentenced</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two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defendants</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11 years in prison</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for</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conspiring to</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distribute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narcotics such as methamphetamine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and marijuana weighing</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more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than five</w:t>
      </w:r>
      <w:r w:rsidRPr="00FA3259">
        <w:rPr>
          <w:rFonts w:ascii="Bookman Old Style" w:hAnsi="Bookman Old Style"/>
          <w:sz w:val="24"/>
          <w:szCs w:val="24"/>
        </w:rPr>
        <w:t xml:space="preserve"> </w:t>
      </w:r>
      <w:r w:rsidRPr="00FA3259">
        <w:rPr>
          <w:rStyle w:val="ypks7kbdpwfgdykd3qb9"/>
          <w:rFonts w:ascii="Bookman Old Style" w:hAnsi="Bookman Old Style"/>
          <w:sz w:val="24"/>
          <w:szCs w:val="24"/>
        </w:rPr>
        <w:t>grams</w:t>
      </w:r>
      <w:r>
        <w:rPr>
          <w:rStyle w:val="ypks7kbdpwfgdykd3qb9"/>
          <w:rFonts w:ascii="Bookman Old Style" w:hAnsi="Bookman Old Style"/>
          <w:sz w:val="24"/>
          <w:szCs w:val="24"/>
        </w:rPr>
        <w:t>.</w:t>
      </w:r>
    </w:p>
    <w:p w:rsidR="002D2B05" w:rsidRPr="00370905" w:rsidRDefault="002D2B05" w:rsidP="00D730A1">
      <w:pPr>
        <w:spacing w:after="0"/>
        <w:ind w:firstLine="567"/>
        <w:jc w:val="both"/>
        <w:rPr>
          <w:rStyle w:val="ypks7kbdpwfgdykd3qb9"/>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23463D" w:rsidRPr="0023463D" w:rsidRDefault="0023463D" w:rsidP="00FB6A75">
      <w:pPr>
        <w:spacing w:after="0"/>
        <w:ind w:firstLine="567"/>
        <w:jc w:val="both"/>
        <w:rPr>
          <w:rStyle w:val="ypks7kbdpwfgdykd3qb9"/>
          <w:rFonts w:ascii="Bookman Old Style" w:hAnsi="Bookman Old Style"/>
          <w:sz w:val="24"/>
          <w:szCs w:val="24"/>
        </w:rPr>
      </w:pPr>
      <w:r w:rsidRPr="0023463D">
        <w:rPr>
          <w:rStyle w:val="ypks7kbdpwfgdykd3qb9"/>
          <w:rFonts w:ascii="Bookman Old Style" w:hAnsi="Bookman Old Style"/>
          <w:sz w:val="24"/>
          <w:szCs w:val="24"/>
        </w:rPr>
        <w:t>This study uses the normative juridical method</w:t>
      </w:r>
      <w:r w:rsidR="006F04A7">
        <w:rPr>
          <w:rStyle w:val="ypks7kbdpwfgdykd3qb9"/>
          <w:rFonts w:ascii="Bookman Old Style" w:hAnsi="Bookman Old Style"/>
          <w:sz w:val="24"/>
          <w:szCs w:val="24"/>
        </w:rPr>
        <w:t xml:space="preserve"> (</w:t>
      </w:r>
      <w:r w:rsidR="006F04A7" w:rsidRPr="00A77E5C">
        <w:rPr>
          <w:rFonts w:ascii="Bookman Old Style" w:hAnsi="Bookman Old Style"/>
          <w:sz w:val="24"/>
          <w:szCs w:val="24"/>
        </w:rPr>
        <w:t>Ariman Sitompul, 2022)</w:t>
      </w:r>
      <w:r w:rsidRPr="0023463D">
        <w:rPr>
          <w:rStyle w:val="ypks7kbdpwfgdykd3qb9"/>
          <w:rFonts w:ascii="Bookman Old Style" w:hAnsi="Bookman Old Style"/>
          <w:sz w:val="24"/>
          <w:szCs w:val="24"/>
        </w:rPr>
        <w:t>, which examines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the positive</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legal</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norms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that apply</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and relate them to the application of law in concrete cases</w:t>
      </w:r>
      <w:r w:rsidR="006F04A7">
        <w:rPr>
          <w:rStyle w:val="ypks7kbdpwfgdykd3qb9"/>
          <w:rFonts w:ascii="Bookman Old Style" w:hAnsi="Bookman Old Style"/>
          <w:sz w:val="24"/>
          <w:szCs w:val="24"/>
        </w:rPr>
        <w:t xml:space="preserve"> (</w:t>
      </w:r>
      <w:r w:rsidR="006F04A7" w:rsidRPr="00861A1B">
        <w:rPr>
          <w:rFonts w:ascii="Bookman Old Style" w:hAnsi="Bookman Old Style"/>
          <w:color w:val="000000" w:themeColor="text1"/>
          <w:sz w:val="24"/>
          <w:szCs w:val="24"/>
        </w:rPr>
        <w:t>Maswandi, Ariman Sitompul (2024</w:t>
      </w:r>
      <w:r w:rsidR="006F04A7">
        <w:rPr>
          <w:rFonts w:ascii="Bookman Old Style" w:hAnsi="Bookman Old Style"/>
          <w:color w:val="000000" w:themeColor="text1"/>
          <w:sz w:val="24"/>
          <w:szCs w:val="24"/>
        </w:rPr>
        <w:t>)</w:t>
      </w:r>
      <w:r w:rsidRPr="0023463D">
        <w:rPr>
          <w:rStyle w:val="ypks7kbdpwfgdykd3qb9"/>
          <w:rFonts w:ascii="Bookman Old Style" w:hAnsi="Bookman Old Style"/>
          <w:sz w:val="24"/>
          <w:szCs w:val="24"/>
        </w:rPr>
        <w:t>.</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The approach</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used</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is a case approach, by making the Bekasi District Court decision number 217/Pid.Sus/2025/PN Bks as the main object of analysis.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The legal</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materials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used</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include: primary legal materials: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Law</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No.</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35 of 2009 on Narcotics, Criminal Code, and related court decisions, secondary legal materials: criminal law books, journals, and previous research, tertiary legal materials: legal dictionary and legal encyclopedia.</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The analysis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technique</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used</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is qualitative</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analysis, which outlines</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the application</w:t>
      </w:r>
      <w:r w:rsidRPr="0023463D">
        <w:rPr>
          <w:rFonts w:ascii="Bookman Old Style" w:hAnsi="Bookman Old Style"/>
          <w:sz w:val="24"/>
          <w:szCs w:val="24"/>
        </w:rPr>
        <w:t xml:space="preserve"> </w:t>
      </w:r>
      <w:r w:rsidRPr="0023463D">
        <w:rPr>
          <w:rStyle w:val="ypks7kbdpwfgdykd3qb9"/>
          <w:rFonts w:ascii="Bookman Old Style" w:hAnsi="Bookman Old Style"/>
          <w:sz w:val="24"/>
          <w:szCs w:val="24"/>
        </w:rPr>
        <w:t>of legal norms to the legal facts revealed in the decision.</w:t>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726FDB" w:rsidRDefault="00726FDB" w:rsidP="00A33968">
      <w:pPr>
        <w:spacing w:after="0"/>
        <w:ind w:firstLine="567"/>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In this case, the defendant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was legally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convincingly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proven to have committed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 narcotic</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crime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as stipulated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 xml:space="preserve">in Article 112 paragraph (1) of Law No. 35 of 2009 on narcotics, namely possessing and storing Narcotics of the </w:t>
      </w:r>
      <w:r w:rsidRPr="00726FDB">
        <w:rPr>
          <w:rStyle w:val="ypks7kbdpwfgdykd3qb9"/>
          <w:rFonts w:ascii="Bookman Old Style" w:hAnsi="Bookman Old Style"/>
          <w:sz w:val="24"/>
          <w:szCs w:val="24"/>
        </w:rPr>
        <w:lastRenderedPageBreak/>
        <w:t>methamphetamine type without permission.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panel of judges sentenced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him to imprisonment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for 6 years and a fine of IDR 800 million, provided that if the fine is not paid, it is replaced by imprisonment for 3 months.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judge's judgment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 based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on the facts of the trial, evidence, and witness statements that confirm that the defendant has narcotics for his own use and not for circulation</w:t>
      </w:r>
      <w:r w:rsidR="00C475C2">
        <w:rPr>
          <w:rStyle w:val="ypks7kbdpwfgdykd3qb9"/>
          <w:rFonts w:ascii="Bookman Old Style" w:hAnsi="Bookman Old Style"/>
          <w:sz w:val="24"/>
          <w:szCs w:val="24"/>
        </w:rPr>
        <w:t xml:space="preserve"> (</w:t>
      </w:r>
      <w:r w:rsidR="00C475C2">
        <w:t>Ariman Sitompul, 2023)</w:t>
      </w:r>
      <w:r w:rsidRPr="00726FDB">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However, the judge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also considered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that the defendant's actions had the potential</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damage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themselves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 society, so he was still sentenced to prison as a deterrent effect.</w:t>
      </w:r>
    </w:p>
    <w:p w:rsidR="00726FDB" w:rsidRDefault="00726FDB" w:rsidP="00726FDB">
      <w:pPr>
        <w:spacing w:after="0"/>
        <w:ind w:firstLine="720"/>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according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Aristotle is divided into distributive justice and corrective 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 this context, the judge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must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balance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between the appropriate punishment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of the accused (corrective) and the protection of society from the effects of narcotics (distributive)</w:t>
      </w:r>
      <w:r w:rsidR="00C475C2">
        <w:rPr>
          <w:rStyle w:val="ypks7kbdpwfgdykd3qb9"/>
          <w:rFonts w:ascii="Bookman Old Style" w:hAnsi="Bookman Old Style"/>
          <w:sz w:val="24"/>
          <w:szCs w:val="24"/>
        </w:rPr>
        <w:t xml:space="preserve"> (</w:t>
      </w:r>
      <w:r w:rsidR="00C475C2" w:rsidRPr="00503F11">
        <w:rPr>
          <w:rFonts w:ascii="Bookman Old Style" w:hAnsi="Bookman Old Style"/>
          <w:sz w:val="24"/>
          <w:szCs w:val="24"/>
        </w:rPr>
        <w:t>Hans Kelsen</w:t>
      </w:r>
      <w:r w:rsidR="00C475C2">
        <w:rPr>
          <w:rFonts w:ascii="Bookman Old Style" w:hAnsi="Bookman Old Style"/>
          <w:sz w:val="24"/>
          <w:szCs w:val="24"/>
        </w:rPr>
        <w:t>, 2022)</w:t>
      </w:r>
      <w:r w:rsidRPr="00726FDB">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judge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has considered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mitigating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matters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such as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a.The accused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confessed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his act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 regretted it.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accused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has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never been convicted.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Narcotics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are used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for personal consumption.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However, the substantive aspects of Justice have not been fully met because the legal system still tends to emphasize repressive rather than rehabilitative approaches.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 fact, according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Article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54</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of</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Law</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No.</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35 of 2009, drug addicts should receive treatment and care, not merely a prison sentence.</w:t>
      </w:r>
    </w:p>
    <w:p w:rsidR="00726FDB" w:rsidRDefault="00726FDB" w:rsidP="00C475C2">
      <w:pPr>
        <w:spacing w:after="0"/>
        <w:ind w:firstLine="720"/>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Legal certainty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 fundamental</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principle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rule of law (rechtstaat).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According to Gustav</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Radbruch, a good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law</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must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contain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 expediency and legal certainty in a balanced way</w:t>
      </w:r>
      <w:r w:rsidR="00C475C2">
        <w:rPr>
          <w:rStyle w:val="ypks7kbdpwfgdykd3qb9"/>
          <w:rFonts w:ascii="Bookman Old Style" w:hAnsi="Bookman Old Style"/>
          <w:sz w:val="24"/>
          <w:szCs w:val="24"/>
        </w:rPr>
        <w:t xml:space="preserve"> (</w:t>
      </w:r>
      <w:r w:rsidR="00C475C2" w:rsidRPr="00503F11">
        <w:rPr>
          <w:rFonts w:ascii="Bookman Old Style" w:hAnsi="Bookman Old Style"/>
          <w:sz w:val="24"/>
          <w:szCs w:val="24"/>
        </w:rPr>
        <w:t>Gustav Radbruch</w:t>
      </w:r>
      <w:r w:rsidR="00C475C2">
        <w:rPr>
          <w:rFonts w:ascii="Bookman Old Style" w:hAnsi="Bookman Old Style"/>
          <w:sz w:val="24"/>
          <w:szCs w:val="24"/>
        </w:rPr>
        <w:t>, 2023)</w:t>
      </w:r>
      <w:r w:rsidRPr="00726FDB">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 this case, the judge has carried out legal certainty because the decision is based on the provisions of Article 112 paragraph (1) of the narcotics law expressly.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However, too formal legal certainty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can ignore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substantive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 in particular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if</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perpetrator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 a user who is supposed to be rehabilitated</w:t>
      </w:r>
      <w:r w:rsidR="00C475C2">
        <w:rPr>
          <w:rStyle w:val="ypks7kbdpwfgdykd3qb9"/>
          <w:rFonts w:ascii="Bookman Old Style" w:hAnsi="Bookman Old Style"/>
          <w:sz w:val="24"/>
          <w:szCs w:val="24"/>
        </w:rPr>
        <w:t xml:space="preserve"> (</w:t>
      </w:r>
      <w:r w:rsidR="00C475C2" w:rsidRPr="00726FDB">
        <w:rPr>
          <w:rFonts w:ascii="Bookman Old Style" w:eastAsia="Times New Roman" w:hAnsi="Bookman Old Style"/>
          <w:sz w:val="24"/>
          <w:szCs w:val="24"/>
          <w:lang w:val="en-US"/>
        </w:rPr>
        <w:t>Barda Nawawi Arief</w:t>
      </w:r>
      <w:r w:rsidR="00C475C2">
        <w:rPr>
          <w:rFonts w:ascii="Bookman Old Style" w:eastAsia="Times New Roman" w:hAnsi="Bookman Old Style"/>
          <w:sz w:val="24"/>
          <w:szCs w:val="24"/>
          <w:lang w:val="en-US"/>
        </w:rPr>
        <w:t>,2024)</w:t>
      </w:r>
      <w:r w:rsidRPr="00726FDB">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Therefore, there is a need for harmonization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between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positive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law</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 the value of justice that lives in society as mandated in Article 5 Paragraph (1) of Law No. 48 of 2009 on Judicial Power.</w:t>
      </w:r>
    </w:p>
    <w:p w:rsidR="00726FDB" w:rsidRPr="00726FDB" w:rsidRDefault="00726FDB" w:rsidP="00726FDB">
      <w:pPr>
        <w:spacing w:after="0"/>
        <w:ind w:firstLine="720"/>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In the case of Decision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number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217</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 Pid.Sus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 2025 / PN Bks, the judge sentenced the defendant to imprisonment for narcotics users under Article 112 paragraph (1) of the Narcotics Law.</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Although normatively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it is in accordance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with the principle of legal certainty, but the approach does not reflect the value of substantive 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Because, based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on the results of the examination, the defendant is a consumer and not a distributor.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Within the framework of corrective justice, the imposition of a crime should aim to correct the offender, not merely avenge his actions.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 line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 xml:space="preserve">with that, Article 54 of Law No. 35 of 2009 has actually opened up space for a rehabilitative </w:t>
      </w:r>
      <w:r w:rsidRPr="00726FDB">
        <w:rPr>
          <w:rStyle w:val="ypks7kbdpwfgdykd3qb9"/>
          <w:rFonts w:ascii="Bookman Old Style" w:hAnsi="Bookman Old Style"/>
          <w:sz w:val="24"/>
          <w:szCs w:val="24"/>
        </w:rPr>
        <w:lastRenderedPageBreak/>
        <w:t>approach to addicts or victims of narcotics abuse</w:t>
      </w:r>
      <w:r w:rsidR="00C475C2">
        <w:rPr>
          <w:rStyle w:val="ypks7kbdpwfgdykd3qb9"/>
          <w:rFonts w:ascii="Bookman Old Style" w:hAnsi="Bookman Old Style"/>
          <w:sz w:val="24"/>
          <w:szCs w:val="24"/>
        </w:rPr>
        <w:t xml:space="preserve"> </w:t>
      </w:r>
      <w:r w:rsidR="00C475C2" w:rsidRPr="00C475C2">
        <w:rPr>
          <w:rStyle w:val="ypks7kbdpwfgdykd3qb9"/>
          <w:rFonts w:ascii="Bookman Old Style" w:hAnsi="Bookman Old Style"/>
          <w:sz w:val="24"/>
          <w:szCs w:val="24"/>
        </w:rPr>
        <w:t>(</w:t>
      </w:r>
      <w:r w:rsidR="00C475C2" w:rsidRPr="00C475C2">
        <w:rPr>
          <w:rFonts w:ascii="Bookman Old Style" w:hAnsi="Bookman Old Style"/>
        </w:rPr>
        <w:t>Mahaputra, 2022)</w:t>
      </w:r>
      <w:r w:rsidRPr="00C475C2">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provision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confirms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that drug addicts are obliged to undergo treatment and treatment, both in medical and social rehabilitation institutions.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This principle is in line with the restorative justice paradigm, which is an effort to resolve criminal cases that focus on recovery, not retaliation.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Therefore, in a case like this, the judge should consider the defendant's background and rehabilitation recommendations from the medical team or the National Narcotics Agency (BNN) before sentencing him to prison.</w:t>
      </w:r>
    </w:p>
    <w:p w:rsidR="00726FDB" w:rsidRPr="00C475C2" w:rsidRDefault="00726FDB" w:rsidP="00726FDB">
      <w:pPr>
        <w:spacing w:after="0"/>
        <w:ind w:firstLine="720"/>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prosecution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of narcotics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must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also consider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aspects of humanism</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 proportionality.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punishment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imposed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must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take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into account the degree of guilt, motives, as well as the consequences caused.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 approach</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that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only punishes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without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considering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humanitarian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aspect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can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actually lead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over-criminalization and does not achieve the true purpose of punishment, namely the protection of society and improving the behavior of criminals</w:t>
      </w:r>
      <w:r w:rsidR="00C475C2">
        <w:rPr>
          <w:rStyle w:val="ypks7kbdpwfgdykd3qb9"/>
          <w:rFonts w:ascii="Bookman Old Style" w:hAnsi="Bookman Old Style"/>
          <w:sz w:val="24"/>
          <w:szCs w:val="24"/>
        </w:rPr>
        <w:t xml:space="preserve"> </w:t>
      </w:r>
      <w:r w:rsidR="00C475C2" w:rsidRPr="00C475C2">
        <w:rPr>
          <w:rStyle w:val="ypks7kbdpwfgdykd3qb9"/>
          <w:rFonts w:ascii="Bookman Old Style" w:hAnsi="Bookman Old Style"/>
          <w:sz w:val="24"/>
          <w:szCs w:val="24"/>
        </w:rPr>
        <w:t>(</w:t>
      </w:r>
      <w:r w:rsidR="00C475C2" w:rsidRPr="00C475C2">
        <w:rPr>
          <w:rFonts w:ascii="Bookman Old Style" w:hAnsi="Bookman Old Style"/>
          <w:sz w:val="24"/>
          <w:szCs w:val="24"/>
        </w:rPr>
        <w:t>Suryani Guntari, 2024)</w:t>
      </w:r>
      <w:r w:rsidRPr="00726FDB">
        <w:rPr>
          <w:rStyle w:val="ypks7kbdpwfgdykd3qb9"/>
          <w:rFonts w:ascii="Bookman Old Style" w:hAnsi="Bookman Old Style"/>
          <w:sz w:val="24"/>
          <w:szCs w:val="24"/>
        </w:rPr>
        <w: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Thus, in the future, the approach to narcotics cases needs to be directed to corrective and humanist justice, not just punitive criminal penalties.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criminal</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system</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should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provide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greater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space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for rehabilitation and coaching programs for narcotics users.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This step</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 in line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with the spirit of National Criminal Law Reform which emphasizes on a restorative approach to achieve a balance between Justice, expediency, and legal certainty</w:t>
      </w:r>
      <w:r w:rsidR="00C475C2">
        <w:rPr>
          <w:rStyle w:val="ypks7kbdpwfgdykd3qb9"/>
          <w:rFonts w:ascii="Bookman Old Style" w:hAnsi="Bookman Old Style"/>
          <w:sz w:val="24"/>
          <w:szCs w:val="24"/>
        </w:rPr>
        <w:t xml:space="preserve"> </w:t>
      </w:r>
      <w:r w:rsidR="00C475C2" w:rsidRPr="00C475C2">
        <w:rPr>
          <w:rStyle w:val="ypks7kbdpwfgdykd3qb9"/>
          <w:rFonts w:ascii="Bookman Old Style" w:hAnsi="Bookman Old Style"/>
          <w:sz w:val="24"/>
          <w:szCs w:val="24"/>
        </w:rPr>
        <w:t>(</w:t>
      </w:r>
      <w:r w:rsidR="00C475C2" w:rsidRPr="00C475C2">
        <w:rPr>
          <w:rFonts w:ascii="Bookman Old Style" w:hAnsi="Bookman Old Style"/>
          <w:sz w:val="24"/>
          <w:szCs w:val="24"/>
        </w:rPr>
        <w:t>Setiaawan dkk, 2020)</w:t>
      </w:r>
      <w:r w:rsidRPr="00C475C2">
        <w:rPr>
          <w:rStyle w:val="ypks7kbdpwfgdykd3qb9"/>
          <w:rFonts w:ascii="Bookman Old Style" w:hAnsi="Bookman Old Style"/>
          <w:sz w:val="24"/>
          <w:szCs w:val="24"/>
        </w:rPr>
        <w:t>.</w:t>
      </w:r>
    </w:p>
    <w:p w:rsidR="00726FDB" w:rsidRPr="00726FDB" w:rsidRDefault="00726FDB" w:rsidP="00726FDB">
      <w:pPr>
        <w:spacing w:after="0"/>
        <w:ind w:firstLine="720"/>
        <w:jc w:val="both"/>
        <w:rPr>
          <w:rFonts w:ascii="Bookman Old Style" w:hAnsi="Bookman Old Style"/>
          <w:sz w:val="24"/>
          <w:szCs w:val="24"/>
        </w:rPr>
      </w:pPr>
      <w:r w:rsidRPr="00726FDB">
        <w:rPr>
          <w:rStyle w:val="ypks7kbdpwfgdykd3qb9"/>
          <w:rFonts w:ascii="Bookman Old Style" w:hAnsi="Bookman Old Style"/>
          <w:sz w:val="24"/>
          <w:szCs w:val="24"/>
        </w:rPr>
        <w:t>This Bekasi</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District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Court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ruling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shows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that the judge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 trying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balance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two</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values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However, the approach</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used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still heavier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on the aspect of legal certainty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This is due to the positivistic Indonesian legal system, where judges are bound to the formulation of laws.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In the context of substantive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 judges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should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consider</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 rehabilitative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approach</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to drug users as a form of restorative 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Thus, in the future, the approach to narcotics cases needs to be directed to corrective and humanist justice, not just punitive criminal penalties.</w:t>
      </w:r>
    </w:p>
    <w:p w:rsidR="00472467" w:rsidRPr="00472467" w:rsidRDefault="00472467" w:rsidP="00726FDB">
      <w:pPr>
        <w:spacing w:after="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726FDB" w:rsidRPr="00726FDB" w:rsidRDefault="00726FDB" w:rsidP="00383DBC">
      <w:pPr>
        <w:spacing w:after="0"/>
        <w:ind w:firstLine="720"/>
        <w:jc w:val="both"/>
        <w:rPr>
          <w:rStyle w:val="ypks7kbdpwfgdykd3qb9"/>
          <w:rFonts w:ascii="Bookman Old Style" w:hAnsi="Bookman Old Style"/>
          <w:sz w:val="24"/>
          <w:szCs w:val="24"/>
        </w:rPr>
      </w:pPr>
      <w:r w:rsidRPr="00726FDB">
        <w:rPr>
          <w:rStyle w:val="ypks7kbdpwfgdykd3qb9"/>
          <w:rFonts w:ascii="Bookman Old Style" w:hAnsi="Bookman Old Style"/>
          <w:sz w:val="24"/>
          <w:szCs w:val="24"/>
        </w:rPr>
        <w:t>Bekasi</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District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Court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Decision</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Number 217</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 Pid.Sus/2025/PN Bks has reflected the application of legal certainty based on Article 112 paragraph (1) of Law Number 35 of 2009 on narcotics.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However, the aspect of substantive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has</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not been fully realized because the verdict still focuses on the approach to imprisonment.</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 more progressive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legal</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policy</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is needed</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by strengthening</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the principles of restorative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justice</w:t>
      </w:r>
      <w:r w:rsidRPr="00726FDB">
        <w:rPr>
          <w:rFonts w:ascii="Bookman Old Style" w:hAnsi="Bookman Old Style"/>
          <w:sz w:val="24"/>
          <w:szCs w:val="24"/>
        </w:rPr>
        <w:t xml:space="preserve"> </w:t>
      </w:r>
      <w:r w:rsidRPr="00726FDB">
        <w:rPr>
          <w:rStyle w:val="ypks7kbdpwfgdykd3qb9"/>
          <w:rFonts w:ascii="Bookman Old Style" w:hAnsi="Bookman Old Style"/>
          <w:sz w:val="24"/>
          <w:szCs w:val="24"/>
        </w:rPr>
        <w:t>and rehabilitation for narcotics users so that the objectives of the law, namely Justice, expediency, and legal certainty, can be balanced.</w:t>
      </w:r>
    </w:p>
    <w:p w:rsidR="00190782" w:rsidRDefault="00190782" w:rsidP="0044368D">
      <w:pPr>
        <w:spacing w:after="0" w:line="240" w:lineRule="auto"/>
        <w:jc w:val="center"/>
        <w:rPr>
          <w:rFonts w:ascii="Bookman Old Style" w:hAnsi="Bookman Old Style"/>
          <w:b/>
          <w:sz w:val="24"/>
          <w:szCs w:val="24"/>
        </w:rPr>
      </w:pPr>
    </w:p>
    <w:p w:rsidR="00725C08" w:rsidRDefault="00725C08" w:rsidP="0044368D">
      <w:pPr>
        <w:spacing w:after="0" w:line="240" w:lineRule="auto"/>
        <w:jc w:val="center"/>
        <w:rPr>
          <w:rFonts w:ascii="Bookman Old Style" w:hAnsi="Bookman Old Style"/>
          <w:b/>
          <w:sz w:val="24"/>
          <w:szCs w:val="24"/>
        </w:rPr>
      </w:pPr>
    </w:p>
    <w:p w:rsidR="00725C08" w:rsidRDefault="00725C08" w:rsidP="0044368D">
      <w:pPr>
        <w:spacing w:after="0" w:line="240" w:lineRule="auto"/>
        <w:jc w:val="center"/>
        <w:rPr>
          <w:rFonts w:ascii="Bookman Old Style" w:hAnsi="Bookman Old Style"/>
          <w:b/>
          <w:sz w:val="24"/>
          <w:szCs w:val="24"/>
        </w:rPr>
      </w:pPr>
    </w:p>
    <w:p w:rsidR="00725C08" w:rsidRDefault="00725C08" w:rsidP="0044368D">
      <w:pPr>
        <w:spacing w:after="0" w:line="240" w:lineRule="auto"/>
        <w:jc w:val="center"/>
        <w:rPr>
          <w:rFonts w:ascii="Bookman Old Style" w:hAnsi="Bookman Old Style"/>
          <w:b/>
          <w:sz w:val="24"/>
          <w:szCs w:val="24"/>
        </w:rPr>
      </w:pPr>
    </w:p>
    <w:p w:rsidR="00725C08" w:rsidRPr="00726FDB" w:rsidRDefault="00725C08" w:rsidP="0044368D">
      <w:pPr>
        <w:spacing w:after="0" w:line="240" w:lineRule="auto"/>
        <w:jc w:val="center"/>
        <w:rPr>
          <w:rFonts w:ascii="Bookman Old Style" w:hAnsi="Bookman Old Style"/>
          <w:b/>
          <w:sz w:val="24"/>
          <w:szCs w:val="24"/>
        </w:rPr>
      </w:pPr>
    </w:p>
    <w:p w:rsidR="00725C08" w:rsidRPr="00725C08" w:rsidRDefault="00061CBD" w:rsidP="00725C08">
      <w:pPr>
        <w:spacing w:after="0" w:line="240" w:lineRule="auto"/>
        <w:rPr>
          <w:rFonts w:ascii="Bookman Old Style" w:hAnsi="Bookman Old Style"/>
          <w:b/>
        </w:rPr>
      </w:pPr>
      <w:r>
        <w:rPr>
          <w:rFonts w:ascii="Bookman Old Style" w:hAnsi="Bookman Old Style"/>
          <w:b/>
        </w:rPr>
        <w:t>REFERENCE</w:t>
      </w:r>
    </w:p>
    <w:p w:rsidR="004C153E" w:rsidRPr="004C153E" w:rsidRDefault="004C153E" w:rsidP="00503F11">
      <w:pPr>
        <w:spacing w:before="240"/>
        <w:ind w:left="709" w:hanging="709"/>
        <w:jc w:val="both"/>
        <w:rPr>
          <w:rFonts w:ascii="Bookman Old Style" w:hAnsi="Bookman Old Style"/>
          <w:sz w:val="24"/>
          <w:szCs w:val="24"/>
        </w:rPr>
      </w:pPr>
    </w:p>
    <w:p w:rsidR="004C153E" w:rsidRPr="004C153E" w:rsidRDefault="004C153E" w:rsidP="00503F11">
      <w:pPr>
        <w:spacing w:before="240"/>
        <w:ind w:left="709" w:hanging="709"/>
        <w:jc w:val="both"/>
        <w:rPr>
          <w:rFonts w:ascii="Bookman Old Style" w:hAnsi="Bookman Old Style"/>
          <w:color w:val="000000" w:themeColor="text1"/>
          <w:sz w:val="24"/>
          <w:szCs w:val="24"/>
        </w:rPr>
      </w:pPr>
      <w:r w:rsidRPr="004C153E">
        <w:rPr>
          <w:rFonts w:ascii="Bookman Old Style" w:hAnsi="Bookman Old Style"/>
          <w:color w:val="000000" w:themeColor="text1"/>
          <w:sz w:val="24"/>
          <w:szCs w:val="24"/>
        </w:rPr>
        <w:t xml:space="preserve">Ariman Sitompul, Metode Penelitian Hukum Normatif (Strategi Praktis Penulisan Skripsi, Tesis dan Disertasi, Mazda Media, Malang, 2022, </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Ariman</w:t>
      </w:r>
      <w:r w:rsidRPr="004C153E">
        <w:rPr>
          <w:rFonts w:ascii="Bookman Old Style" w:hAnsi="Bookman Old Style"/>
          <w:sz w:val="24"/>
          <w:szCs w:val="24"/>
        </w:rPr>
        <w:t xml:space="preserve"> </w:t>
      </w:r>
      <w:r w:rsidRPr="004C153E">
        <w:rPr>
          <w:rFonts w:ascii="Bookman Old Style" w:hAnsi="Bookman Old Style"/>
          <w:sz w:val="24"/>
          <w:szCs w:val="24"/>
        </w:rPr>
        <w:t xml:space="preserve">Sitompul,  and Mhd Nasir Sitompul. "The Combination Of Money Laundering Crime With The Origin Of Narkotics Crime To Islamic Law." In </w:t>
      </w:r>
      <w:r w:rsidRPr="004C153E">
        <w:rPr>
          <w:rFonts w:ascii="Bookman Old Style" w:hAnsi="Bookman Old Style"/>
          <w:i/>
          <w:iCs/>
          <w:sz w:val="24"/>
          <w:szCs w:val="24"/>
        </w:rPr>
        <w:t>Proceeding International Seminar of Islamic Studies</w:t>
      </w:r>
      <w:r w:rsidRPr="004C153E">
        <w:rPr>
          <w:rFonts w:ascii="Bookman Old Style" w:hAnsi="Bookman Old Style"/>
          <w:sz w:val="24"/>
          <w:szCs w:val="24"/>
        </w:rPr>
        <w:t xml:space="preserve">, vol. 1, No. 1, </w:t>
      </w:r>
      <w:r w:rsidRPr="004C153E">
        <w:rPr>
          <w:rFonts w:ascii="Bookman Old Style" w:hAnsi="Bookman Old Style"/>
          <w:sz w:val="24"/>
          <w:szCs w:val="24"/>
        </w:rPr>
        <w:t>2020.</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Ariman Sitompul. "Kebijakan Kriminal Dalam Sistem Peradilan Serta Penanggulangan Kejahatan di Indonesia." (2023).</w:t>
      </w:r>
    </w:p>
    <w:p w:rsidR="004C153E" w:rsidRPr="004C153E" w:rsidRDefault="004C153E" w:rsidP="00503F11">
      <w:pPr>
        <w:spacing w:before="240"/>
        <w:ind w:left="709" w:hanging="709"/>
        <w:jc w:val="both"/>
        <w:rPr>
          <w:rFonts w:ascii="Bookman Old Style" w:eastAsia="Times New Roman" w:hAnsi="Bookman Old Style"/>
          <w:sz w:val="24"/>
          <w:szCs w:val="24"/>
          <w:lang w:val="en-US"/>
        </w:rPr>
      </w:pPr>
      <w:r w:rsidRPr="004C153E">
        <w:rPr>
          <w:rFonts w:ascii="Bookman Old Style" w:eastAsia="Times New Roman" w:hAnsi="Bookman Old Style"/>
          <w:sz w:val="24"/>
          <w:szCs w:val="24"/>
          <w:lang w:val="en-US"/>
        </w:rPr>
        <w:t xml:space="preserve">Barda Nawawi Arief, </w:t>
      </w:r>
      <w:r w:rsidRPr="004C153E">
        <w:rPr>
          <w:rFonts w:ascii="Bookman Old Style" w:eastAsia="Times New Roman" w:hAnsi="Bookman Old Style"/>
          <w:i/>
          <w:iCs/>
          <w:sz w:val="24"/>
          <w:szCs w:val="24"/>
          <w:lang w:val="en-US"/>
        </w:rPr>
        <w:t>Kebijakan Hukum Pidana: Perbandingan dalam Penegakan Hukum di Indonesia</w:t>
      </w:r>
      <w:r w:rsidRPr="004C153E">
        <w:rPr>
          <w:rFonts w:ascii="Bookman Old Style" w:eastAsia="Times New Roman" w:hAnsi="Bookman Old Style"/>
          <w:sz w:val="24"/>
          <w:szCs w:val="24"/>
          <w:lang w:val="en-US"/>
        </w:rPr>
        <w:t>, (Bandung: Alumni, 2024)</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Gustav Radbruch, </w:t>
      </w:r>
      <w:r w:rsidRPr="004C153E">
        <w:rPr>
          <w:rStyle w:val="Emphasis"/>
          <w:rFonts w:ascii="Bookman Old Style" w:hAnsi="Bookman Old Style"/>
          <w:sz w:val="24"/>
          <w:szCs w:val="24"/>
        </w:rPr>
        <w:t>The Concept of Law and Justice</w:t>
      </w:r>
      <w:r w:rsidRPr="004C153E">
        <w:rPr>
          <w:rFonts w:ascii="Bookman Old Style" w:hAnsi="Bookman Old Style"/>
          <w:sz w:val="24"/>
          <w:szCs w:val="24"/>
        </w:rPr>
        <w:t>, (Berlin: Springer, 2023)</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Hans Kelsen, </w:t>
      </w:r>
      <w:r w:rsidRPr="004C153E">
        <w:rPr>
          <w:rStyle w:val="Emphasis"/>
          <w:rFonts w:ascii="Bookman Old Style" w:hAnsi="Bookman Old Style"/>
          <w:sz w:val="24"/>
          <w:szCs w:val="24"/>
        </w:rPr>
        <w:t>Pure Theory of Law</w:t>
      </w:r>
      <w:r w:rsidRPr="004C153E">
        <w:rPr>
          <w:rFonts w:ascii="Bookman Old Style" w:hAnsi="Bookman Old Style"/>
          <w:sz w:val="24"/>
          <w:szCs w:val="24"/>
        </w:rPr>
        <w:t>, (Cambridge: Harvard University Press, 2022)</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Hidayatun, Siti, and Yeni Widowaty. "Konsep Rehabilitasi Bagi Pengguna Narkotika yang Berkeadilan." </w:t>
      </w:r>
      <w:r w:rsidRPr="004C153E">
        <w:rPr>
          <w:rFonts w:ascii="Bookman Old Style" w:hAnsi="Bookman Old Style"/>
          <w:i/>
          <w:iCs/>
          <w:sz w:val="24"/>
          <w:szCs w:val="24"/>
        </w:rPr>
        <w:t>Jurnal penegakan hukum dan keadilan</w:t>
      </w:r>
      <w:r w:rsidRPr="004C153E">
        <w:rPr>
          <w:rFonts w:ascii="Bookman Old Style" w:hAnsi="Bookman Old Style"/>
          <w:sz w:val="24"/>
          <w:szCs w:val="24"/>
        </w:rPr>
        <w:t xml:space="preserve"> 1, no. 2 (2020): 166-181.</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Hikmawati, Puteri. "Analisis Terhadap Sanksi Pidana Bagi Pengguna Narkotika." </w:t>
      </w:r>
      <w:r w:rsidRPr="004C153E">
        <w:rPr>
          <w:rFonts w:ascii="Bookman Old Style" w:hAnsi="Bookman Old Style"/>
          <w:i/>
          <w:iCs/>
          <w:sz w:val="24"/>
          <w:szCs w:val="24"/>
        </w:rPr>
        <w:t>Negara Hukum: Membangun Hukum untuk Keadilan dan Kesejahteraan</w:t>
      </w:r>
      <w:r w:rsidRPr="004C153E">
        <w:rPr>
          <w:rFonts w:ascii="Bookman Old Style" w:hAnsi="Bookman Old Style"/>
          <w:sz w:val="24"/>
          <w:szCs w:val="24"/>
        </w:rPr>
        <w:t xml:space="preserve"> 2, no. 2 (2016): 329-350.</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Mahaputra, Ida Bagus Gede Bawa, Anak Agung Sagung Laksmi Dewi, and Luh Putu Suryani. "Upaya Penanggulangan Tindak Pidana Penyalahgunaan Narkotika." </w:t>
      </w:r>
      <w:r w:rsidRPr="004C153E">
        <w:rPr>
          <w:rFonts w:ascii="Bookman Old Style" w:hAnsi="Bookman Old Style"/>
          <w:i/>
          <w:iCs/>
          <w:sz w:val="24"/>
          <w:szCs w:val="24"/>
        </w:rPr>
        <w:t>Jurnal Analogi Hukum</w:t>
      </w:r>
      <w:r w:rsidRPr="004C153E">
        <w:rPr>
          <w:rFonts w:ascii="Bookman Old Style" w:hAnsi="Bookman Old Style"/>
          <w:sz w:val="24"/>
          <w:szCs w:val="24"/>
        </w:rPr>
        <w:t xml:space="preserve"> 4, no. 3 (2022): 311-315.</w:t>
      </w:r>
    </w:p>
    <w:p w:rsidR="004C153E" w:rsidRPr="004C153E" w:rsidRDefault="004C153E" w:rsidP="00503F11">
      <w:pPr>
        <w:spacing w:before="240"/>
        <w:ind w:left="709" w:hanging="709"/>
        <w:jc w:val="both"/>
        <w:rPr>
          <w:rFonts w:ascii="Bookman Old Style" w:hAnsi="Bookman Old Style"/>
          <w:color w:val="000000" w:themeColor="text1"/>
          <w:sz w:val="24"/>
          <w:szCs w:val="24"/>
        </w:rPr>
      </w:pPr>
      <w:r w:rsidRPr="004C153E">
        <w:rPr>
          <w:rFonts w:ascii="Bookman Old Style" w:hAnsi="Bookman Old Style"/>
          <w:color w:val="000000" w:themeColor="text1"/>
          <w:sz w:val="24"/>
          <w:szCs w:val="24"/>
        </w:rPr>
        <w:t xml:space="preserve">Maswandi, Ariman Sitompul (2024), Metode Penelitian Hukum Normatif (Mekanisme Dalam Penulisan Ilmiah), Mazda Media, Malang, </w:t>
      </w:r>
      <w:hyperlink r:id="rId8" w:history="1">
        <w:r w:rsidRPr="004C153E">
          <w:rPr>
            <w:rStyle w:val="Hyperlink"/>
            <w:rFonts w:ascii="Bookman Old Style" w:hAnsi="Bookman Old Style"/>
            <w:color w:val="000000" w:themeColor="text1"/>
            <w:sz w:val="24"/>
            <w:szCs w:val="24"/>
          </w:rPr>
          <w:t>https://scholar.google.com/citations?view_op=view_citation&amp;hl=en&amp;user=o6ripa8AAAAJ&amp;cstart=20&amp;pagesize=80&amp;sortby=pubdate&amp;citation_for_view=o6ripa8AAAAJ:O3NaXMp0MMsC</w:t>
        </w:r>
      </w:hyperlink>
      <w:r w:rsidRPr="004C153E">
        <w:rPr>
          <w:rFonts w:ascii="Bookman Old Style" w:hAnsi="Bookman Old Style"/>
          <w:color w:val="000000" w:themeColor="text1"/>
          <w:sz w:val="24"/>
          <w:szCs w:val="24"/>
        </w:rPr>
        <w:t xml:space="preserve"> </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lastRenderedPageBreak/>
        <w:t>Muhammad Nasir</w:t>
      </w:r>
      <w:r w:rsidRPr="004C153E">
        <w:rPr>
          <w:rFonts w:ascii="Bookman Old Style" w:hAnsi="Bookman Old Style"/>
          <w:sz w:val="24"/>
          <w:szCs w:val="24"/>
        </w:rPr>
        <w:t xml:space="preserve"> </w:t>
      </w:r>
      <w:r w:rsidRPr="004C153E">
        <w:rPr>
          <w:rFonts w:ascii="Bookman Old Style" w:hAnsi="Bookman Old Style"/>
          <w:sz w:val="24"/>
          <w:szCs w:val="24"/>
        </w:rPr>
        <w:t xml:space="preserve">Sitompul,, and Ariman Sitompul. "Execution of death penalty in narcotics crime in the perspective of national law in Indonesia." </w:t>
      </w:r>
      <w:r w:rsidRPr="004C153E">
        <w:rPr>
          <w:rFonts w:ascii="Bookman Old Style" w:hAnsi="Bookman Old Style"/>
          <w:i/>
          <w:iCs/>
          <w:sz w:val="24"/>
          <w:szCs w:val="24"/>
        </w:rPr>
        <w:t>International Asia Of Law and Money Laundering (IAML)</w:t>
      </w:r>
      <w:r w:rsidRPr="004C153E">
        <w:rPr>
          <w:rFonts w:ascii="Bookman Old Style" w:hAnsi="Bookman Old Style"/>
          <w:sz w:val="24"/>
          <w:szCs w:val="24"/>
        </w:rPr>
        <w:t xml:space="preserve"> 1, No. 2 (2022).</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Pasal 54 Undang-Undang Nomor 35 Tahun 2009 tentang Narkotika.</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Setiaawan, Ida Bagus Trisnha, Ida Ayu Putu Widiati, and Diah Gayatri Sudibya. "Peranan Badan Narkotika Nasional (BNN) Dalam Upaya Pencegahan Terhadap Tindak Pidana Narkotika." </w:t>
      </w:r>
      <w:r w:rsidRPr="004C153E">
        <w:rPr>
          <w:rFonts w:ascii="Bookman Old Style" w:hAnsi="Bookman Old Style"/>
          <w:i/>
          <w:iCs/>
          <w:sz w:val="24"/>
          <w:szCs w:val="24"/>
        </w:rPr>
        <w:t>Jurnal Analogi Hukum</w:t>
      </w:r>
      <w:r w:rsidRPr="004C153E">
        <w:rPr>
          <w:rFonts w:ascii="Bookman Old Style" w:hAnsi="Bookman Old Style"/>
          <w:sz w:val="24"/>
          <w:szCs w:val="24"/>
        </w:rPr>
        <w:t xml:space="preserve"> 2, no. 3 (2020): 361-365.</w:t>
      </w:r>
    </w:p>
    <w:p w:rsidR="004C153E" w:rsidRPr="004C153E" w:rsidRDefault="004C153E" w:rsidP="00503F11">
      <w:pPr>
        <w:spacing w:before="240"/>
        <w:ind w:left="709" w:hanging="709"/>
        <w:jc w:val="both"/>
        <w:rPr>
          <w:rFonts w:ascii="Bookman Old Style" w:hAnsi="Bookman Old Style"/>
          <w:sz w:val="24"/>
          <w:szCs w:val="24"/>
        </w:rPr>
      </w:pPr>
      <w:r w:rsidRPr="004C153E">
        <w:rPr>
          <w:rFonts w:ascii="Bookman Old Style" w:hAnsi="Bookman Old Style"/>
          <w:sz w:val="24"/>
          <w:szCs w:val="24"/>
        </w:rPr>
        <w:t xml:space="preserve">Suryani Guntari., Kusbianto, K., Zuliah, A., &amp; Sitompul, A. . Legal Regulations for Children Involved in Narcotics Crimes in Indonesia. </w:t>
      </w:r>
      <w:r w:rsidRPr="004C153E">
        <w:rPr>
          <w:rFonts w:ascii="Bookman Old Style" w:hAnsi="Bookman Old Style"/>
          <w:i/>
          <w:iCs/>
          <w:sz w:val="24"/>
          <w:szCs w:val="24"/>
        </w:rPr>
        <w:t>SEIKAT: Jurnal Ilmu Sosial, Politik Dan Hukum</w:t>
      </w:r>
      <w:r w:rsidRPr="004C153E">
        <w:rPr>
          <w:rFonts w:ascii="Bookman Old Style" w:hAnsi="Bookman Old Style"/>
          <w:sz w:val="24"/>
          <w:szCs w:val="24"/>
        </w:rPr>
        <w:t xml:space="preserve">, </w:t>
      </w:r>
      <w:r w:rsidRPr="004C153E">
        <w:rPr>
          <w:rFonts w:ascii="Bookman Old Style" w:hAnsi="Bookman Old Style"/>
          <w:i/>
          <w:iCs/>
          <w:sz w:val="24"/>
          <w:szCs w:val="24"/>
        </w:rPr>
        <w:t>3</w:t>
      </w:r>
      <w:r w:rsidRPr="004C153E">
        <w:rPr>
          <w:rFonts w:ascii="Bookman Old Style" w:hAnsi="Bookman Old Style"/>
          <w:sz w:val="24"/>
          <w:szCs w:val="24"/>
        </w:rPr>
        <w:t>(3), 2024.</w:t>
      </w:r>
    </w:p>
    <w:p w:rsidR="004C153E" w:rsidRPr="00725C08" w:rsidRDefault="004C153E" w:rsidP="00503F11">
      <w:pPr>
        <w:spacing w:before="240"/>
        <w:ind w:left="709" w:hanging="709"/>
        <w:jc w:val="both"/>
        <w:rPr>
          <w:rFonts w:ascii="Bookman Old Style" w:hAnsi="Bookman Old Style"/>
          <w:sz w:val="24"/>
          <w:szCs w:val="24"/>
        </w:rPr>
      </w:pPr>
      <w:bookmarkStart w:id="0" w:name="_GoBack"/>
      <w:bookmarkEnd w:id="0"/>
    </w:p>
    <w:sectPr w:rsidR="004C153E" w:rsidRPr="00725C08" w:rsidSect="002D64B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288" w:footer="706" w:gutter="0"/>
      <w:pgNumType w:start="40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26C" w:rsidRDefault="00D6026C" w:rsidP="00ED635A">
      <w:pPr>
        <w:spacing w:after="0" w:line="240" w:lineRule="auto"/>
      </w:pPr>
      <w:r>
        <w:separator/>
      </w:r>
    </w:p>
  </w:endnote>
  <w:endnote w:type="continuationSeparator" w:id="0">
    <w:p w:rsidR="00D6026C" w:rsidRDefault="00D6026C"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A77E5C" w:rsidRPr="00EB3C89" w:rsidRDefault="00A77E5C">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C153E">
          <w:rPr>
            <w:rFonts w:ascii="Bookman Old Style" w:hAnsi="Bookman Old Style"/>
            <w:noProof/>
            <w:sz w:val="18"/>
          </w:rPr>
          <w:t>412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A77E5C" w:rsidRDefault="00A77E5C">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C153E">
          <w:rPr>
            <w:rFonts w:ascii="Bookman Old Style" w:hAnsi="Bookman Old Style"/>
            <w:noProof/>
            <w:sz w:val="18"/>
          </w:rPr>
          <w:t>407</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26C" w:rsidRDefault="00D6026C" w:rsidP="00ED635A">
      <w:pPr>
        <w:spacing w:after="0" w:line="240" w:lineRule="auto"/>
      </w:pPr>
      <w:r>
        <w:separator/>
      </w:r>
    </w:p>
  </w:footnote>
  <w:footnote w:type="continuationSeparator" w:id="0">
    <w:p w:rsidR="00D6026C" w:rsidRDefault="00D6026C" w:rsidP="00ED635A">
      <w:pPr>
        <w:spacing w:after="0" w:line="240" w:lineRule="auto"/>
      </w:pPr>
      <w:r>
        <w:continuationSeparator/>
      </w:r>
    </w:p>
  </w:footnote>
  <w:footnote w:id="1">
    <w:p w:rsidR="00A77E5C" w:rsidRPr="00795446" w:rsidRDefault="00A77E5C" w:rsidP="00DC26C7">
      <w:pPr>
        <w:pStyle w:val="FootnoteText"/>
        <w:jc w:val="both"/>
        <w:rPr>
          <w:rFonts w:ascii="Bookman Old Style" w:hAnsi="Bookman Old Style" w:cs="Times New Roman"/>
          <w:color w:val="000000" w:themeColor="text1"/>
          <w:sz w:val="18"/>
          <w:szCs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hyperlink r:id="rId2" w:history="1">
        <w:r w:rsidR="0091466F" w:rsidRPr="002F30A4">
          <w:rPr>
            <w:rStyle w:val="Hyperlink"/>
            <w:rFonts w:ascii="Bookman Old Style" w:hAnsi="Bookman Old Style" w:cs="Arial"/>
            <w:sz w:val="18"/>
            <w:szCs w:val="18"/>
          </w:rPr>
          <w:t>maswandi@staff.uma.ac.id</w:t>
        </w:r>
      </w:hyperlink>
      <w:r w:rsidR="0091466F">
        <w:rPr>
          <w:rFonts w:ascii="Bookman Old Style" w:hAnsi="Bookman Old Style" w:cs="Arial"/>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rsidP="00717DA4">
    <w:pPr>
      <w:pStyle w:val="Heading1"/>
      <w:tabs>
        <w:tab w:val="left" w:pos="5070"/>
      </w:tabs>
      <w:spacing w:line="240" w:lineRule="auto"/>
      <w:jc w:val="left"/>
      <w:rPr>
        <w:rFonts w:ascii="Bookman Old Style" w:hAnsi="Bookman Old Style"/>
        <w:b w:val="0"/>
        <w:sz w:val="16"/>
        <w:szCs w:val="24"/>
      </w:rPr>
    </w:pPr>
    <w:r>
      <w:rPr>
        <w:rFonts w:ascii="Bookman Old Style" w:hAnsi="Bookman Old Style"/>
        <w:b w:val="0"/>
        <w:sz w:val="16"/>
        <w:szCs w:val="24"/>
      </w:rPr>
      <w:tab/>
    </w:r>
  </w:p>
  <w:p w:rsidR="00626F36" w:rsidRPr="00626F36" w:rsidRDefault="00626F36" w:rsidP="00626F36">
    <w:pPr>
      <w:spacing w:after="0"/>
      <w:jc w:val="both"/>
      <w:rPr>
        <w:rFonts w:ascii="Bookman Old Style" w:hAnsi="Bookman Old Style"/>
        <w:bCs/>
        <w:sz w:val="18"/>
        <w:szCs w:val="18"/>
      </w:rPr>
    </w:pPr>
    <w:r w:rsidRPr="00626F36">
      <w:rPr>
        <w:rStyle w:val="ypks7kbdpwfgdykd3qb9"/>
        <w:rFonts w:ascii="Bookman Old Style" w:hAnsi="Bookman Old Style"/>
        <w:sz w:val="18"/>
        <w:szCs w:val="18"/>
      </w:rPr>
      <w:t>Justice</w:t>
    </w:r>
    <w:r w:rsidRPr="00626F36">
      <w:rPr>
        <w:rFonts w:ascii="Bookman Old Style" w:hAnsi="Bookman Old Style"/>
        <w:sz w:val="18"/>
        <w:szCs w:val="18"/>
      </w:rPr>
      <w:t xml:space="preserve"> </w:t>
    </w:r>
    <w:r w:rsidRPr="00626F36">
      <w:rPr>
        <w:rStyle w:val="ypks7kbdpwfgdykd3qb9"/>
        <w:rFonts w:ascii="Bookman Old Style" w:hAnsi="Bookman Old Style"/>
        <w:sz w:val="18"/>
        <w:szCs w:val="18"/>
      </w:rPr>
      <w:t>And Legal Certainty In The Imposition Of Narcotics (Bekasi District Court Decision Study number 217/Pid.Sus / 2025</w:t>
    </w:r>
    <w:r w:rsidRPr="00626F36">
      <w:rPr>
        <w:rFonts w:ascii="Bookman Old Style" w:hAnsi="Bookman Old Style"/>
        <w:sz w:val="18"/>
        <w:szCs w:val="18"/>
      </w:rPr>
      <w:t xml:space="preserve"> </w:t>
    </w:r>
    <w:r w:rsidRPr="00626F36">
      <w:rPr>
        <w:rStyle w:val="ypks7kbdpwfgdykd3qb9"/>
        <w:rFonts w:ascii="Bookman Old Style" w:hAnsi="Bookman Old Style"/>
        <w:sz w:val="18"/>
        <w:szCs w:val="18"/>
      </w:rPr>
      <w:t>/ PN Bks</w:t>
    </w:r>
    <w:r w:rsidRPr="00626F36">
      <w:rPr>
        <w:rFonts w:ascii="Bookman Old Style" w:hAnsi="Bookman Old Style"/>
        <w:sz w:val="18"/>
        <w:szCs w:val="18"/>
      </w:rPr>
      <w:t>)</w:t>
    </w:r>
  </w:p>
  <w:p w:rsidR="00626F36" w:rsidRPr="007F3DCE" w:rsidRDefault="00626F36" w:rsidP="007F3DCE">
    <w:pPr>
      <w:spacing w:after="0"/>
      <w:jc w:val="both"/>
      <w:rPr>
        <w:rFonts w:ascii="Bookman Old Style" w:hAnsi="Bookman Old Style"/>
        <w:bCs/>
        <w:sz w:val="18"/>
        <w:szCs w:val="18"/>
      </w:rPr>
    </w:pPr>
  </w:p>
  <w:p w:rsidR="007F3DCE" w:rsidRPr="00717DA4" w:rsidRDefault="007F3DCE" w:rsidP="00717DA4">
    <w:pPr>
      <w:spacing w:after="0"/>
      <w:rPr>
        <w:rFonts w:ascii="Bookman Old Style" w:hAnsi="Bookman Old Style"/>
        <w:bCs/>
        <w:sz w:val="18"/>
        <w:szCs w:val="18"/>
      </w:rPr>
    </w:pPr>
  </w:p>
  <w:p w:rsidR="00A77E5C" w:rsidRPr="003077CC" w:rsidRDefault="00A77E5C" w:rsidP="004F38D2">
    <w:pPr>
      <w:pStyle w:val="Title"/>
      <w:jc w:val="left"/>
      <w:rPr>
        <w:rFonts w:ascii="Bookman Old Style" w:hAnsi="Bookman Old Style"/>
        <w:b w:val="0"/>
        <w:sz w:val="18"/>
        <w:szCs w:val="18"/>
        <w:lang w:val="en-US"/>
      </w:rPr>
    </w:pPr>
  </w:p>
  <w:p w:rsidR="00A77E5C" w:rsidRPr="004F38D2" w:rsidRDefault="00A77E5C" w:rsidP="00514FC1">
    <w:pPr>
      <w:pStyle w:val="Title"/>
      <w:jc w:val="left"/>
      <w:rPr>
        <w:rFonts w:ascii="Bookman Old Style" w:hAnsi="Bookman Old Style"/>
        <w:szCs w:val="28"/>
        <w:lang w:val="en-US"/>
      </w:rPr>
    </w:pPr>
  </w:p>
  <w:p w:rsidR="00A77E5C" w:rsidRPr="00EB3C89" w:rsidRDefault="00626F36" w:rsidP="00EB3C89">
    <w:pPr>
      <w:pStyle w:val="Header"/>
      <w:jc w:val="right"/>
      <w:rPr>
        <w:i/>
        <w:sz w:val="6"/>
        <w:lang w:val="en-US"/>
      </w:rPr>
    </w:pPr>
    <w:r>
      <w:rPr>
        <w:rFonts w:ascii="Bookman Old Style" w:hAnsi="Bookman Old Style"/>
        <w:b/>
        <w:bCs/>
        <w:i/>
        <w:iCs/>
        <w:color w:val="000000"/>
        <w:sz w:val="16"/>
        <w:szCs w:val="24"/>
        <w:lang w:val="en-US"/>
      </w:rPr>
      <w:t>Maswandi</w:t>
    </w:r>
  </w:p>
  <w:p w:rsidR="00A77E5C" w:rsidRDefault="00A77E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rsidP="00EB3C89">
    <w:pPr>
      <w:pStyle w:val="Heading1"/>
      <w:spacing w:line="240" w:lineRule="auto"/>
      <w:jc w:val="right"/>
      <w:rPr>
        <w:rFonts w:ascii="Bookman Old Style" w:hAnsi="Bookman Old Style"/>
        <w:b w:val="0"/>
        <w:sz w:val="16"/>
        <w:szCs w:val="24"/>
      </w:rPr>
    </w:pPr>
  </w:p>
  <w:p w:rsidR="00A77E5C" w:rsidRDefault="00A77E5C" w:rsidP="00EB3C89">
    <w:pPr>
      <w:pStyle w:val="Heading1"/>
      <w:spacing w:line="240" w:lineRule="auto"/>
      <w:jc w:val="right"/>
      <w:rPr>
        <w:rFonts w:ascii="Bookman Old Style" w:hAnsi="Bookman Old Style"/>
        <w:b w:val="0"/>
        <w:sz w:val="16"/>
        <w:szCs w:val="24"/>
      </w:rPr>
    </w:pPr>
  </w:p>
  <w:p w:rsidR="00A77E5C" w:rsidRPr="00FD5C18" w:rsidRDefault="00A77E5C"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A77E5C" w:rsidRPr="00EB3C89" w:rsidRDefault="00A77E5C"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1 Oktober 2025</w:t>
    </w:r>
  </w:p>
  <w:p w:rsidR="00A77E5C" w:rsidRPr="00EB3C89" w:rsidRDefault="00A77E5C"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A77E5C" w:rsidRDefault="00A77E5C"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A77E5C" w:rsidRDefault="00A77E5C"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A77E5C" w:rsidRPr="008612D9" w:rsidTr="00EB31D3">
      <w:trPr>
        <w:trHeight w:val="1446"/>
      </w:trPr>
      <w:tc>
        <w:tcPr>
          <w:tcW w:w="8208" w:type="dxa"/>
        </w:tcPr>
        <w:p w:rsidR="00A77E5C" w:rsidRPr="008612D9" w:rsidRDefault="00A77E5C" w:rsidP="00BF7BF6">
          <w:pPr>
            <w:spacing w:after="0" w:line="240" w:lineRule="auto"/>
            <w:jc w:val="right"/>
            <w:rPr>
              <w:rFonts w:asciiTheme="minorHAnsi" w:hAnsiTheme="minorHAnsi" w:cstheme="minorBidi"/>
              <w:lang w:val="id-ID"/>
            </w:rPr>
          </w:pPr>
        </w:p>
        <w:p w:rsidR="00A77E5C" w:rsidRPr="008612D9" w:rsidRDefault="00A77E5C" w:rsidP="008612D9">
          <w:pPr>
            <w:spacing w:after="0" w:line="240" w:lineRule="auto"/>
            <w:rPr>
              <w:rFonts w:asciiTheme="minorHAnsi" w:hAnsiTheme="minorHAnsi" w:cstheme="minorBidi"/>
              <w:b/>
              <w:bCs/>
              <w:color w:val="FF5050"/>
              <w:sz w:val="6"/>
              <w:szCs w:val="6"/>
              <w:lang w:val="id-ID"/>
            </w:rPr>
          </w:pPr>
        </w:p>
        <w:p w:rsidR="00A77E5C" w:rsidRPr="00BD513B" w:rsidRDefault="00A77E5C"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A77E5C" w:rsidRPr="00A80B85" w:rsidRDefault="00A77E5C"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A77E5C" w:rsidRPr="00A80B85" w:rsidRDefault="00A77E5C"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Oktober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A77E5C" w:rsidRDefault="00A77E5C"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A77E5C" w:rsidRPr="005B4BF2" w:rsidRDefault="00A77E5C"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A77E5C" w:rsidRPr="00171AA2" w:rsidRDefault="00A77E5C"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A77E5C" w:rsidRDefault="00A77E5C"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A161B2"/>
    <w:multiLevelType w:val="hybridMultilevel"/>
    <w:tmpl w:val="62BC24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DC3141"/>
    <w:multiLevelType w:val="hybridMultilevel"/>
    <w:tmpl w:val="A03A6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17E7E"/>
    <w:multiLevelType w:val="hybridMultilevel"/>
    <w:tmpl w:val="2A14BB6C"/>
    <w:lvl w:ilvl="0" w:tplc="95462B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5">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3F5323"/>
    <w:multiLevelType w:val="hybridMultilevel"/>
    <w:tmpl w:val="DECE0438"/>
    <w:lvl w:ilvl="0" w:tplc="37EEF5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37700055"/>
    <w:multiLevelType w:val="hybridMultilevel"/>
    <w:tmpl w:val="1C6840BC"/>
    <w:lvl w:ilvl="0" w:tplc="B726C20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3DD84EF6"/>
    <w:multiLevelType w:val="hybridMultilevel"/>
    <w:tmpl w:val="E286B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2601350"/>
    <w:multiLevelType w:val="hybridMultilevel"/>
    <w:tmpl w:val="109C7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8B708B"/>
    <w:multiLevelType w:val="hybridMultilevel"/>
    <w:tmpl w:val="92381688"/>
    <w:lvl w:ilvl="0" w:tplc="B93A53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144A4D"/>
    <w:multiLevelType w:val="hybridMultilevel"/>
    <w:tmpl w:val="51DE4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9D41B96"/>
    <w:multiLevelType w:val="hybridMultilevel"/>
    <w:tmpl w:val="1A36E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226355"/>
    <w:multiLevelType w:val="hybridMultilevel"/>
    <w:tmpl w:val="DD080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9">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BA321B"/>
    <w:multiLevelType w:val="hybridMultilevel"/>
    <w:tmpl w:val="9C4ECD7C"/>
    <w:lvl w:ilvl="0" w:tplc="9234771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8"/>
  </w:num>
  <w:num w:numId="8">
    <w:abstractNumId w:val="2"/>
  </w:num>
  <w:num w:numId="9">
    <w:abstractNumId w:val="0"/>
  </w:num>
  <w:num w:numId="10">
    <w:abstractNumId w:val="42"/>
  </w:num>
  <w:num w:numId="11">
    <w:abstractNumId w:val="30"/>
  </w:num>
  <w:num w:numId="12">
    <w:abstractNumId w:val="27"/>
  </w:num>
  <w:num w:numId="13">
    <w:abstractNumId w:val="39"/>
  </w:num>
  <w:num w:numId="14">
    <w:abstractNumId w:val="12"/>
  </w:num>
  <w:num w:numId="15">
    <w:abstractNumId w:val="6"/>
  </w:num>
  <w:num w:numId="16">
    <w:abstractNumId w:val="38"/>
  </w:num>
  <w:num w:numId="17">
    <w:abstractNumId w:val="1"/>
  </w:num>
  <w:num w:numId="18">
    <w:abstractNumId w:val="4"/>
  </w:num>
  <w:num w:numId="19">
    <w:abstractNumId w:val="37"/>
  </w:num>
  <w:num w:numId="20">
    <w:abstractNumId w:val="17"/>
  </w:num>
  <w:num w:numId="21">
    <w:abstractNumId w:val="23"/>
  </w:num>
  <w:num w:numId="22">
    <w:abstractNumId w:val="31"/>
  </w:num>
  <w:num w:numId="23">
    <w:abstractNumId w:val="5"/>
  </w:num>
  <w:num w:numId="24">
    <w:abstractNumId w:val="22"/>
  </w:num>
  <w:num w:numId="25">
    <w:abstractNumId w:val="19"/>
  </w:num>
  <w:num w:numId="26">
    <w:abstractNumId w:val="11"/>
  </w:num>
  <w:num w:numId="27">
    <w:abstractNumId w:val="41"/>
  </w:num>
  <w:num w:numId="28">
    <w:abstractNumId w:val="9"/>
  </w:num>
  <w:num w:numId="29">
    <w:abstractNumId w:val="15"/>
  </w:num>
  <w:num w:numId="30">
    <w:abstractNumId w:val="36"/>
  </w:num>
  <w:num w:numId="31">
    <w:abstractNumId w:val="18"/>
  </w:num>
  <w:num w:numId="32">
    <w:abstractNumId w:val="21"/>
  </w:num>
  <w:num w:numId="33">
    <w:abstractNumId w:val="3"/>
  </w:num>
  <w:num w:numId="34">
    <w:abstractNumId w:val="32"/>
  </w:num>
  <w:num w:numId="35">
    <w:abstractNumId w:val="13"/>
  </w:num>
  <w:num w:numId="36">
    <w:abstractNumId w:val="20"/>
  </w:num>
  <w:num w:numId="37">
    <w:abstractNumId w:val="33"/>
  </w:num>
  <w:num w:numId="38">
    <w:abstractNumId w:val="34"/>
  </w:num>
  <w:num w:numId="39">
    <w:abstractNumId w:val="35"/>
  </w:num>
  <w:num w:numId="40">
    <w:abstractNumId w:val="26"/>
  </w:num>
  <w:num w:numId="41">
    <w:abstractNumId w:val="29"/>
  </w:num>
  <w:num w:numId="42">
    <w:abstractNumId w:val="24"/>
  </w:num>
  <w:num w:numId="43">
    <w:abstractNumId w:val="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4F1E"/>
    <w:rsid w:val="000A5E8D"/>
    <w:rsid w:val="000B0FFD"/>
    <w:rsid w:val="000C2422"/>
    <w:rsid w:val="000D0D4C"/>
    <w:rsid w:val="000E7085"/>
    <w:rsid w:val="000F252C"/>
    <w:rsid w:val="00104409"/>
    <w:rsid w:val="001220D4"/>
    <w:rsid w:val="00126F95"/>
    <w:rsid w:val="001358E6"/>
    <w:rsid w:val="00135C28"/>
    <w:rsid w:val="001370A2"/>
    <w:rsid w:val="001542B1"/>
    <w:rsid w:val="0015496A"/>
    <w:rsid w:val="00162093"/>
    <w:rsid w:val="00171AA2"/>
    <w:rsid w:val="001735D9"/>
    <w:rsid w:val="00190782"/>
    <w:rsid w:val="00193A20"/>
    <w:rsid w:val="001B1B0A"/>
    <w:rsid w:val="001D0903"/>
    <w:rsid w:val="001D25A3"/>
    <w:rsid w:val="001D52FA"/>
    <w:rsid w:val="001D73D8"/>
    <w:rsid w:val="001D7EDC"/>
    <w:rsid w:val="001E28D4"/>
    <w:rsid w:val="001E71D1"/>
    <w:rsid w:val="002169D2"/>
    <w:rsid w:val="00227EB6"/>
    <w:rsid w:val="0023463D"/>
    <w:rsid w:val="00235E00"/>
    <w:rsid w:val="00236AE9"/>
    <w:rsid w:val="0024186A"/>
    <w:rsid w:val="00253A33"/>
    <w:rsid w:val="00255178"/>
    <w:rsid w:val="00267B7B"/>
    <w:rsid w:val="002716A4"/>
    <w:rsid w:val="002812E0"/>
    <w:rsid w:val="0028461B"/>
    <w:rsid w:val="00285732"/>
    <w:rsid w:val="002B2AEC"/>
    <w:rsid w:val="002C2ECA"/>
    <w:rsid w:val="002C363B"/>
    <w:rsid w:val="002C6371"/>
    <w:rsid w:val="002D2B05"/>
    <w:rsid w:val="002D5939"/>
    <w:rsid w:val="002D5A10"/>
    <w:rsid w:val="002D64B4"/>
    <w:rsid w:val="002E076E"/>
    <w:rsid w:val="002E45A0"/>
    <w:rsid w:val="002E4E47"/>
    <w:rsid w:val="002E5162"/>
    <w:rsid w:val="002E67AE"/>
    <w:rsid w:val="002F0D27"/>
    <w:rsid w:val="003004C8"/>
    <w:rsid w:val="003077CC"/>
    <w:rsid w:val="0031386A"/>
    <w:rsid w:val="0031493F"/>
    <w:rsid w:val="00316A3D"/>
    <w:rsid w:val="00320378"/>
    <w:rsid w:val="00333F09"/>
    <w:rsid w:val="003415CA"/>
    <w:rsid w:val="00342895"/>
    <w:rsid w:val="0034499E"/>
    <w:rsid w:val="00345C43"/>
    <w:rsid w:val="00370905"/>
    <w:rsid w:val="00371857"/>
    <w:rsid w:val="003728F4"/>
    <w:rsid w:val="00374F6F"/>
    <w:rsid w:val="003750E9"/>
    <w:rsid w:val="00383DBC"/>
    <w:rsid w:val="00391D78"/>
    <w:rsid w:val="003A0C26"/>
    <w:rsid w:val="003A155D"/>
    <w:rsid w:val="003A533B"/>
    <w:rsid w:val="003A537A"/>
    <w:rsid w:val="003B44A4"/>
    <w:rsid w:val="003C61FF"/>
    <w:rsid w:val="003D2C40"/>
    <w:rsid w:val="003D7842"/>
    <w:rsid w:val="003E2242"/>
    <w:rsid w:val="003E7851"/>
    <w:rsid w:val="003F0938"/>
    <w:rsid w:val="003F65B8"/>
    <w:rsid w:val="00405D4C"/>
    <w:rsid w:val="00414CDE"/>
    <w:rsid w:val="00423817"/>
    <w:rsid w:val="00424788"/>
    <w:rsid w:val="00425306"/>
    <w:rsid w:val="00434F16"/>
    <w:rsid w:val="00441021"/>
    <w:rsid w:val="00441701"/>
    <w:rsid w:val="0044368D"/>
    <w:rsid w:val="00443D71"/>
    <w:rsid w:val="00455BFA"/>
    <w:rsid w:val="00472467"/>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53E"/>
    <w:rsid w:val="004C16EC"/>
    <w:rsid w:val="004C21CE"/>
    <w:rsid w:val="004D2910"/>
    <w:rsid w:val="004E1450"/>
    <w:rsid w:val="004E6FA4"/>
    <w:rsid w:val="004F0B22"/>
    <w:rsid w:val="004F1D13"/>
    <w:rsid w:val="004F38D2"/>
    <w:rsid w:val="00500B90"/>
    <w:rsid w:val="00500DA8"/>
    <w:rsid w:val="00503F11"/>
    <w:rsid w:val="005129CA"/>
    <w:rsid w:val="00514FC1"/>
    <w:rsid w:val="00516E57"/>
    <w:rsid w:val="00521C4D"/>
    <w:rsid w:val="00536F71"/>
    <w:rsid w:val="00547CC6"/>
    <w:rsid w:val="00553F63"/>
    <w:rsid w:val="00554BBE"/>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26F36"/>
    <w:rsid w:val="0063189C"/>
    <w:rsid w:val="00642B77"/>
    <w:rsid w:val="006443B0"/>
    <w:rsid w:val="00646634"/>
    <w:rsid w:val="00651447"/>
    <w:rsid w:val="00651E7D"/>
    <w:rsid w:val="006561C0"/>
    <w:rsid w:val="00660DDB"/>
    <w:rsid w:val="006616C6"/>
    <w:rsid w:val="00663352"/>
    <w:rsid w:val="0066542C"/>
    <w:rsid w:val="00666BBF"/>
    <w:rsid w:val="006709CA"/>
    <w:rsid w:val="00674FA1"/>
    <w:rsid w:val="0069274E"/>
    <w:rsid w:val="006930B8"/>
    <w:rsid w:val="006A7A07"/>
    <w:rsid w:val="006B69C8"/>
    <w:rsid w:val="006C5914"/>
    <w:rsid w:val="006D5439"/>
    <w:rsid w:val="006F04A7"/>
    <w:rsid w:val="006F3FF5"/>
    <w:rsid w:val="006F61F3"/>
    <w:rsid w:val="00700FF2"/>
    <w:rsid w:val="00712F67"/>
    <w:rsid w:val="00717085"/>
    <w:rsid w:val="00717C8E"/>
    <w:rsid w:val="00717DA4"/>
    <w:rsid w:val="00720381"/>
    <w:rsid w:val="00725C08"/>
    <w:rsid w:val="00726FDB"/>
    <w:rsid w:val="007320AC"/>
    <w:rsid w:val="00735FF1"/>
    <w:rsid w:val="0074368E"/>
    <w:rsid w:val="00765BC6"/>
    <w:rsid w:val="007665D7"/>
    <w:rsid w:val="00774718"/>
    <w:rsid w:val="00782D5D"/>
    <w:rsid w:val="00784044"/>
    <w:rsid w:val="00785496"/>
    <w:rsid w:val="00795446"/>
    <w:rsid w:val="007A1C7F"/>
    <w:rsid w:val="007A5512"/>
    <w:rsid w:val="007B1C5F"/>
    <w:rsid w:val="007B1C81"/>
    <w:rsid w:val="007D3730"/>
    <w:rsid w:val="007D6588"/>
    <w:rsid w:val="007E2716"/>
    <w:rsid w:val="007E4126"/>
    <w:rsid w:val="007F3DCE"/>
    <w:rsid w:val="007F7642"/>
    <w:rsid w:val="008039B1"/>
    <w:rsid w:val="00805A96"/>
    <w:rsid w:val="00812828"/>
    <w:rsid w:val="008135FC"/>
    <w:rsid w:val="00815AAA"/>
    <w:rsid w:val="0081662D"/>
    <w:rsid w:val="00827FDB"/>
    <w:rsid w:val="00830028"/>
    <w:rsid w:val="0083240E"/>
    <w:rsid w:val="008612D9"/>
    <w:rsid w:val="00861A1B"/>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1466F"/>
    <w:rsid w:val="00930FD0"/>
    <w:rsid w:val="00933150"/>
    <w:rsid w:val="009333DC"/>
    <w:rsid w:val="00937975"/>
    <w:rsid w:val="009411D6"/>
    <w:rsid w:val="0095576E"/>
    <w:rsid w:val="009620C3"/>
    <w:rsid w:val="00972273"/>
    <w:rsid w:val="00973F3A"/>
    <w:rsid w:val="00980E78"/>
    <w:rsid w:val="00992228"/>
    <w:rsid w:val="00996F3E"/>
    <w:rsid w:val="009B4958"/>
    <w:rsid w:val="009C1672"/>
    <w:rsid w:val="009D16B1"/>
    <w:rsid w:val="009E0806"/>
    <w:rsid w:val="009E2CE2"/>
    <w:rsid w:val="009F6D6D"/>
    <w:rsid w:val="00A059AD"/>
    <w:rsid w:val="00A079B0"/>
    <w:rsid w:val="00A1651E"/>
    <w:rsid w:val="00A219E1"/>
    <w:rsid w:val="00A242F3"/>
    <w:rsid w:val="00A30357"/>
    <w:rsid w:val="00A31119"/>
    <w:rsid w:val="00A31CD0"/>
    <w:rsid w:val="00A33968"/>
    <w:rsid w:val="00A45624"/>
    <w:rsid w:val="00A52B3C"/>
    <w:rsid w:val="00A62D51"/>
    <w:rsid w:val="00A64B3E"/>
    <w:rsid w:val="00A661E3"/>
    <w:rsid w:val="00A77E5C"/>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9313C"/>
    <w:rsid w:val="00BA541A"/>
    <w:rsid w:val="00BC3DAD"/>
    <w:rsid w:val="00BC7233"/>
    <w:rsid w:val="00BD513B"/>
    <w:rsid w:val="00BE0EB5"/>
    <w:rsid w:val="00BE5ED7"/>
    <w:rsid w:val="00BF7BF6"/>
    <w:rsid w:val="00C03F5D"/>
    <w:rsid w:val="00C06DD3"/>
    <w:rsid w:val="00C13985"/>
    <w:rsid w:val="00C173CC"/>
    <w:rsid w:val="00C34AB7"/>
    <w:rsid w:val="00C37A36"/>
    <w:rsid w:val="00C449B3"/>
    <w:rsid w:val="00C46A18"/>
    <w:rsid w:val="00C475C2"/>
    <w:rsid w:val="00C55719"/>
    <w:rsid w:val="00C746BC"/>
    <w:rsid w:val="00C80C06"/>
    <w:rsid w:val="00C81E78"/>
    <w:rsid w:val="00C912D0"/>
    <w:rsid w:val="00C94822"/>
    <w:rsid w:val="00C954FF"/>
    <w:rsid w:val="00C9626B"/>
    <w:rsid w:val="00CA0BE2"/>
    <w:rsid w:val="00CA3CC4"/>
    <w:rsid w:val="00CA5AEC"/>
    <w:rsid w:val="00CB4D1A"/>
    <w:rsid w:val="00CC1C7F"/>
    <w:rsid w:val="00CC41D6"/>
    <w:rsid w:val="00CD084B"/>
    <w:rsid w:val="00CD1E74"/>
    <w:rsid w:val="00CF1A2B"/>
    <w:rsid w:val="00CF4803"/>
    <w:rsid w:val="00D3018B"/>
    <w:rsid w:val="00D31655"/>
    <w:rsid w:val="00D32F08"/>
    <w:rsid w:val="00D366A4"/>
    <w:rsid w:val="00D56712"/>
    <w:rsid w:val="00D6026C"/>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72D0D"/>
    <w:rsid w:val="00E75A59"/>
    <w:rsid w:val="00E8650A"/>
    <w:rsid w:val="00E95FE6"/>
    <w:rsid w:val="00E9747E"/>
    <w:rsid w:val="00EA2618"/>
    <w:rsid w:val="00EB31D3"/>
    <w:rsid w:val="00EB3653"/>
    <w:rsid w:val="00EB3C89"/>
    <w:rsid w:val="00EB505C"/>
    <w:rsid w:val="00ED635A"/>
    <w:rsid w:val="00EE007E"/>
    <w:rsid w:val="00EE3894"/>
    <w:rsid w:val="00EE4AA0"/>
    <w:rsid w:val="00EE68ED"/>
    <w:rsid w:val="00EE6B0D"/>
    <w:rsid w:val="00EE7079"/>
    <w:rsid w:val="00F03E27"/>
    <w:rsid w:val="00F05752"/>
    <w:rsid w:val="00F11CC4"/>
    <w:rsid w:val="00F2390F"/>
    <w:rsid w:val="00F27751"/>
    <w:rsid w:val="00F41200"/>
    <w:rsid w:val="00F7320C"/>
    <w:rsid w:val="00F936A2"/>
    <w:rsid w:val="00F95E44"/>
    <w:rsid w:val="00F95EFB"/>
    <w:rsid w:val="00FA3259"/>
    <w:rsid w:val="00FA3DA9"/>
    <w:rsid w:val="00FA799F"/>
    <w:rsid w:val="00FB5E12"/>
    <w:rsid w:val="00FB6A75"/>
    <w:rsid w:val="00FD0AD6"/>
    <w:rsid w:val="00FD35D4"/>
    <w:rsid w:val="00FD4339"/>
    <w:rsid w:val="00FD5C18"/>
    <w:rsid w:val="00FE3B04"/>
    <w:rsid w:val="00FE43B6"/>
    <w:rsid w:val="00FF2BC6"/>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 w:type="paragraph" w:customStyle="1" w:styleId="CatatanKaki">
    <w:name w:val="Catatan Kaki"/>
    <w:basedOn w:val="Normal"/>
    <w:rsid w:val="00C954FF"/>
    <w:pPr>
      <w:widowControl w:val="0"/>
      <w:suppressLineNumbers/>
      <w:suppressAutoHyphens/>
      <w:spacing w:after="0" w:line="240" w:lineRule="auto"/>
      <w:ind w:left="339" w:hanging="339"/>
    </w:pPr>
    <w:rPr>
      <w:rFonts w:ascii="Liberation Serif" w:eastAsia="Droid Sans Fallback" w:hAnsi="Liberation Serif" w:cs="FreeSans"/>
      <w:sz w:val="20"/>
      <w:szCs w:val="20"/>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5963">
      <w:bodyDiv w:val="1"/>
      <w:marLeft w:val="0"/>
      <w:marRight w:val="0"/>
      <w:marTop w:val="0"/>
      <w:marBottom w:val="0"/>
      <w:divBdr>
        <w:top w:val="none" w:sz="0" w:space="0" w:color="auto"/>
        <w:left w:val="none" w:sz="0" w:space="0" w:color="auto"/>
        <w:bottom w:val="none" w:sz="0" w:space="0" w:color="auto"/>
        <w:right w:val="none" w:sz="0" w:space="0" w:color="auto"/>
      </w:divBdr>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6578">
      <w:bodyDiv w:val="1"/>
      <w:marLeft w:val="0"/>
      <w:marRight w:val="0"/>
      <w:marTop w:val="0"/>
      <w:marBottom w:val="0"/>
      <w:divBdr>
        <w:top w:val="none" w:sz="0" w:space="0" w:color="auto"/>
        <w:left w:val="none" w:sz="0" w:space="0" w:color="auto"/>
        <w:bottom w:val="none" w:sz="0" w:space="0" w:color="auto"/>
        <w:right w:val="none" w:sz="0" w:space="0" w:color="auto"/>
      </w:divBdr>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977491264">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8628">
      <w:bodyDiv w:val="1"/>
      <w:marLeft w:val="0"/>
      <w:marRight w:val="0"/>
      <w:marTop w:val="0"/>
      <w:marBottom w:val="0"/>
      <w:divBdr>
        <w:top w:val="none" w:sz="0" w:space="0" w:color="auto"/>
        <w:left w:val="none" w:sz="0" w:space="0" w:color="auto"/>
        <w:bottom w:val="none" w:sz="0" w:space="0" w:color="auto"/>
        <w:right w:val="none" w:sz="0" w:space="0" w:color="auto"/>
      </w:divBdr>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8675">
      <w:bodyDiv w:val="1"/>
      <w:marLeft w:val="0"/>
      <w:marRight w:val="0"/>
      <w:marTop w:val="0"/>
      <w:marBottom w:val="0"/>
      <w:divBdr>
        <w:top w:val="none" w:sz="0" w:space="0" w:color="auto"/>
        <w:left w:val="none" w:sz="0" w:space="0" w:color="auto"/>
        <w:bottom w:val="none" w:sz="0" w:space="0" w:color="auto"/>
        <w:right w:val="none" w:sz="0" w:space="0" w:color="auto"/>
      </w:divBdr>
    </w:div>
    <w:div w:id="1521896435">
      <w:bodyDiv w:val="1"/>
      <w:marLeft w:val="0"/>
      <w:marRight w:val="0"/>
      <w:marTop w:val="0"/>
      <w:marBottom w:val="0"/>
      <w:divBdr>
        <w:top w:val="none" w:sz="0" w:space="0" w:color="auto"/>
        <w:left w:val="none" w:sz="0" w:space="0" w:color="auto"/>
        <w:bottom w:val="none" w:sz="0" w:space="0" w:color="auto"/>
        <w:right w:val="none" w:sz="0" w:space="0" w:color="auto"/>
      </w:divBdr>
    </w:div>
    <w:div w:id="1555114990">
      <w:bodyDiv w:val="1"/>
      <w:marLeft w:val="0"/>
      <w:marRight w:val="0"/>
      <w:marTop w:val="0"/>
      <w:marBottom w:val="0"/>
      <w:divBdr>
        <w:top w:val="none" w:sz="0" w:space="0" w:color="auto"/>
        <w:left w:val="none" w:sz="0" w:space="0" w:color="auto"/>
        <w:bottom w:val="none" w:sz="0" w:space="0" w:color="auto"/>
        <w:right w:val="none" w:sz="0" w:space="0" w:color="auto"/>
      </w:divBdr>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4659">
      <w:bodyDiv w:val="1"/>
      <w:marLeft w:val="0"/>
      <w:marRight w:val="0"/>
      <w:marTop w:val="0"/>
      <w:marBottom w:val="0"/>
      <w:divBdr>
        <w:top w:val="none" w:sz="0" w:space="0" w:color="auto"/>
        <w:left w:val="none" w:sz="0" w:space="0" w:color="auto"/>
        <w:bottom w:val="none" w:sz="0" w:space="0" w:color="auto"/>
        <w:right w:val="none" w:sz="0" w:space="0" w:color="auto"/>
      </w:divBdr>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2967">
      <w:bodyDiv w:val="1"/>
      <w:marLeft w:val="0"/>
      <w:marRight w:val="0"/>
      <w:marTop w:val="0"/>
      <w:marBottom w:val="0"/>
      <w:divBdr>
        <w:top w:val="none" w:sz="0" w:space="0" w:color="auto"/>
        <w:left w:val="none" w:sz="0" w:space="0" w:color="auto"/>
        <w:bottom w:val="none" w:sz="0" w:space="0" w:color="auto"/>
        <w:right w:val="none" w:sz="0" w:space="0" w:color="auto"/>
      </w:divBdr>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sortby=pubdate&amp;citation_for_view=o6ripa8AAAAJ:O3NaXMp0MMsC"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maswandi@staff.uma.ac.id" TargetMode="External"/><Relationship Id="rId1" Type="http://schemas.openxmlformats.org/officeDocument/2006/relationships/hyperlink" Target="mailto:"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38A2D9ED-9116-4133-A025-01B683667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579</TotalTime>
  <Pages>7</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178</cp:revision>
  <cp:lastPrinted>2022-12-21T01:28:00Z</cp:lastPrinted>
  <dcterms:created xsi:type="dcterms:W3CDTF">2022-11-02T02:16:00Z</dcterms:created>
  <dcterms:modified xsi:type="dcterms:W3CDTF">2025-11-13T12:12:00Z</dcterms:modified>
</cp:coreProperties>
</file>