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C46A18" w:rsidRPr="00BA541A" w:rsidRDefault="00C46A18"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C46A18"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C46A18" w:rsidRPr="00642B77"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C46A18" w:rsidRPr="00BA541A" w:rsidRDefault="00C46A18"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C46A18"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C46A18" w:rsidRPr="00642B77"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ED635A" w:rsidRPr="002021F8" w:rsidRDefault="00787435" w:rsidP="00455BFA">
      <w:pPr>
        <w:spacing w:after="0"/>
        <w:rPr>
          <w:rFonts w:ascii="Bookman Old Style" w:hAnsi="Bookman Old Style"/>
          <w:b/>
          <w:bCs/>
          <w:sz w:val="28"/>
          <w:szCs w:val="28"/>
        </w:rPr>
      </w:pPr>
      <w:r w:rsidRPr="00787435">
        <w:rPr>
          <w:rStyle w:val="ypks7kbdpwfgdykd3qb9"/>
          <w:rFonts w:ascii="Bookman Old Style" w:hAnsi="Bookman Old Style"/>
          <w:b/>
          <w:sz w:val="28"/>
          <w:szCs w:val="28"/>
        </w:rPr>
        <w:t xml:space="preserve">Prevention </w:t>
      </w:r>
      <w:proofErr w:type="gramStart"/>
      <w:r w:rsidRPr="00787435">
        <w:rPr>
          <w:rStyle w:val="ypks7kbdpwfgdykd3qb9"/>
          <w:rFonts w:ascii="Bookman Old Style" w:hAnsi="Bookman Old Style"/>
          <w:b/>
          <w:sz w:val="28"/>
          <w:szCs w:val="28"/>
        </w:rPr>
        <w:t>Of</w:t>
      </w:r>
      <w:proofErr w:type="gramEnd"/>
      <w:r w:rsidRPr="00787435">
        <w:rPr>
          <w:rStyle w:val="ypks7kbdpwfgdykd3qb9"/>
          <w:rFonts w:ascii="Bookman Old Style" w:hAnsi="Bookman Old Style"/>
          <w:b/>
          <w:sz w:val="28"/>
          <w:szCs w:val="28"/>
        </w:rPr>
        <w:t xml:space="preserve"> Polyandry In The Perspective Of Islamic Law And Law No. 1 Year 2023</w:t>
      </w:r>
    </w:p>
    <w:p w:rsidR="00EE6B0D" w:rsidRDefault="00EE6B0D" w:rsidP="002C2ECA">
      <w:pPr>
        <w:spacing w:after="0" w:line="240" w:lineRule="auto"/>
        <w:rPr>
          <w:rFonts w:ascii="Bookman Old Style" w:hAnsi="Bookman Old Style"/>
          <w:b/>
          <w:bCs/>
        </w:rPr>
      </w:pPr>
    </w:p>
    <w:p w:rsidR="00651447" w:rsidRPr="00DC26C7" w:rsidRDefault="002D0C86" w:rsidP="002021F8">
      <w:pPr>
        <w:tabs>
          <w:tab w:val="left" w:pos="2733"/>
        </w:tabs>
        <w:spacing w:after="0" w:line="240" w:lineRule="auto"/>
        <w:rPr>
          <w:rFonts w:ascii="Bookman Old Style" w:hAnsi="Bookman Old Style"/>
          <w:b/>
          <w:bCs/>
          <w:lang w:val="id-ID"/>
        </w:rPr>
      </w:pPr>
      <w:r>
        <w:rPr>
          <w:rFonts w:ascii="Bookman Old Style" w:hAnsi="Bookman Old Style"/>
          <w:b/>
          <w:bCs/>
        </w:rPr>
        <w:t>Maswandi</w:t>
      </w:r>
      <w:r w:rsidR="00DC26C7" w:rsidRPr="00DC26C7">
        <w:rPr>
          <w:rFonts w:ascii="Bookman Old Style" w:hAnsi="Bookman Old Style"/>
          <w:b/>
          <w:bCs/>
          <w:vertAlign w:val="superscript"/>
        </w:rPr>
        <w:t>1</w:t>
      </w:r>
      <w:r w:rsidR="00DC26C7">
        <w:rPr>
          <w:rStyle w:val="FootnoteReference"/>
          <w:rFonts w:ascii="Bookman Old Style" w:hAnsi="Bookman Old Style"/>
          <w:b/>
          <w:bCs/>
        </w:rPr>
        <w:footnoteReference w:customMarkFollows="1" w:id="1"/>
        <w:t>*</w:t>
      </w:r>
      <w:r w:rsidR="002021F8">
        <w:rPr>
          <w:rStyle w:val="FootnoteReference"/>
          <w:rFonts w:ascii="Bookman Old Style" w:hAnsi="Bookman Old Style"/>
          <w:b/>
          <w:bCs/>
        </w:rPr>
        <w:tab/>
      </w:r>
    </w:p>
    <w:p w:rsidR="00651447" w:rsidRDefault="003B44A4" w:rsidP="002C2ECA">
      <w:pPr>
        <w:spacing w:after="0" w:line="240" w:lineRule="auto"/>
        <w:rPr>
          <w:rFonts w:ascii="Bookman Old Style" w:hAnsi="Bookman Old Style"/>
          <w:bCs/>
        </w:rPr>
      </w:pPr>
      <w:proofErr w:type="spellStart"/>
      <w:r>
        <w:rPr>
          <w:rFonts w:ascii="Bookman Old Style" w:hAnsi="Bookman Old Style"/>
          <w:bCs/>
        </w:rPr>
        <w:t>Fakultas</w:t>
      </w:r>
      <w:proofErr w:type="spellEnd"/>
      <w:r>
        <w:rPr>
          <w:rFonts w:ascii="Bookman Old Style" w:hAnsi="Bookman Old Style"/>
          <w:bCs/>
        </w:rPr>
        <w:t xml:space="preserve"> </w:t>
      </w:r>
      <w:proofErr w:type="spellStart"/>
      <w:r w:rsidR="00FA3DA9">
        <w:rPr>
          <w:rFonts w:ascii="Bookman Old Style" w:hAnsi="Bookman Old Style"/>
          <w:bCs/>
        </w:rPr>
        <w:t>Hukum</w:t>
      </w:r>
      <w:proofErr w:type="spellEnd"/>
      <w:r w:rsidR="00126F95">
        <w:rPr>
          <w:rFonts w:ascii="Bookman Old Style" w:hAnsi="Bookman Old Style"/>
          <w:bCs/>
        </w:rPr>
        <w:t xml:space="preserve">, </w:t>
      </w:r>
      <w:proofErr w:type="spellStart"/>
      <w:r w:rsidR="007A5512" w:rsidRPr="007A5512">
        <w:rPr>
          <w:rFonts w:ascii="Bookman Old Style" w:hAnsi="Bookman Old Style"/>
          <w:bCs/>
        </w:rPr>
        <w:t>Universitas</w:t>
      </w:r>
      <w:proofErr w:type="spellEnd"/>
      <w:r w:rsidR="007A5512" w:rsidRPr="007A5512">
        <w:rPr>
          <w:rFonts w:ascii="Bookman Old Style" w:hAnsi="Bookman Old Style"/>
          <w:bCs/>
        </w:rPr>
        <w:t xml:space="preserve"> </w:t>
      </w:r>
      <w:r w:rsidR="00577BA6">
        <w:rPr>
          <w:rFonts w:ascii="Bookman Old Style" w:hAnsi="Bookman Old Style"/>
          <w:bCs/>
          <w:lang w:val="en-US"/>
        </w:rPr>
        <w:t>Medan Area</w:t>
      </w:r>
      <w:r>
        <w:rPr>
          <w:rFonts w:ascii="Bookman Old Style" w:hAnsi="Bookman Old Style"/>
          <w:bCs/>
          <w:lang w:val="en-US"/>
        </w:rPr>
        <w:t>,</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ED635A" w:rsidRPr="00674FA1" w:rsidRDefault="00ED635A" w:rsidP="007A1C7F">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A8E6D3"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ED635A" w:rsidRPr="00674FA1" w:rsidRDefault="00ED635A" w:rsidP="00126F95">
      <w:pPr>
        <w:spacing w:after="0"/>
        <w:rPr>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BE5BD2" w:rsidRPr="003B44A4" w:rsidRDefault="00BE5BD2" w:rsidP="00651E7D">
      <w:pPr>
        <w:spacing w:after="0" w:line="240" w:lineRule="auto"/>
        <w:jc w:val="both"/>
        <w:rPr>
          <w:rFonts w:ascii="Bookman Old Style" w:hAnsi="Bookman Old Style"/>
          <w:sz w:val="20"/>
          <w:szCs w:val="20"/>
        </w:rPr>
      </w:pPr>
      <w:r w:rsidRPr="00BE5BD2">
        <w:rPr>
          <w:rFonts w:ascii="Bookman Old Style" w:hAnsi="Bookman Old Style"/>
          <w:sz w:val="20"/>
          <w:szCs w:val="20"/>
        </w:rPr>
        <w:t xml:space="preserve">Marriage as a normatively protected and religious institution in Indonesia still faces the threat of polyandry practices that are contrary to moral values, religion, and applicable legal regulations. This study aims to examine the Prohibition of polyandry from the point of view of Islamic law and the construction of criminal sanctions in Law Number 1 of 2023 concerning the Criminal Code, as well as formulating an integrative prevention model. The method used is normative juridical approach through the study of literature with descriptive-analytical analysis. The results showed that all schools of jurisprudence have agreed by </w:t>
      </w:r>
      <w:proofErr w:type="spellStart"/>
      <w:r w:rsidRPr="00BE5BD2">
        <w:rPr>
          <w:rFonts w:ascii="Bookman Old Style" w:hAnsi="Bookman Old Style"/>
          <w:sz w:val="20"/>
          <w:szCs w:val="20"/>
        </w:rPr>
        <w:t>ijma</w:t>
      </w:r>
      <w:proofErr w:type="spellEnd"/>
      <w:r w:rsidRPr="00BE5BD2">
        <w:rPr>
          <w:rFonts w:ascii="Bookman Old Style" w:hAnsi="Bookman Old Style"/>
          <w:sz w:val="20"/>
          <w:szCs w:val="20"/>
        </w:rPr>
        <w:t xml:space="preserve"> ' ban polyandry because it is contrary to </w:t>
      </w:r>
      <w:proofErr w:type="spellStart"/>
      <w:r w:rsidRPr="00BE5BD2">
        <w:rPr>
          <w:rFonts w:ascii="Bookman Old Style" w:hAnsi="Bookman Old Style"/>
          <w:sz w:val="20"/>
          <w:szCs w:val="20"/>
        </w:rPr>
        <w:t>maqashid</w:t>
      </w:r>
      <w:proofErr w:type="spellEnd"/>
      <w:r w:rsidRPr="00BE5BD2">
        <w:rPr>
          <w:rFonts w:ascii="Bookman Old Style" w:hAnsi="Bookman Old Style"/>
          <w:sz w:val="20"/>
          <w:szCs w:val="20"/>
        </w:rPr>
        <w:t xml:space="preserve"> al-Sharia, especially the principle of </w:t>
      </w:r>
      <w:proofErr w:type="spellStart"/>
      <w:r w:rsidRPr="00BE5BD2">
        <w:rPr>
          <w:rFonts w:ascii="Bookman Old Style" w:hAnsi="Bookman Old Style"/>
          <w:sz w:val="20"/>
          <w:szCs w:val="20"/>
        </w:rPr>
        <w:t>hifzh</w:t>
      </w:r>
      <w:proofErr w:type="spellEnd"/>
      <w:r w:rsidRPr="00BE5BD2">
        <w:rPr>
          <w:rFonts w:ascii="Bookman Old Style" w:hAnsi="Bookman Old Style"/>
          <w:sz w:val="20"/>
          <w:szCs w:val="20"/>
        </w:rPr>
        <w:t xml:space="preserve"> Al-</w:t>
      </w:r>
      <w:proofErr w:type="spellStart"/>
      <w:r w:rsidRPr="00BE5BD2">
        <w:rPr>
          <w:rFonts w:ascii="Bookman Old Style" w:hAnsi="Bookman Old Style"/>
          <w:sz w:val="20"/>
          <w:szCs w:val="20"/>
        </w:rPr>
        <w:t>nasl</w:t>
      </w:r>
      <w:proofErr w:type="spellEnd"/>
      <w:r w:rsidRPr="00BE5BD2">
        <w:rPr>
          <w:rFonts w:ascii="Bookman Old Style" w:hAnsi="Bookman Old Style"/>
          <w:sz w:val="20"/>
          <w:szCs w:val="20"/>
        </w:rPr>
        <w:t xml:space="preserve"> and </w:t>
      </w:r>
      <w:proofErr w:type="spellStart"/>
      <w:r w:rsidRPr="00BE5BD2">
        <w:rPr>
          <w:rFonts w:ascii="Bookman Old Style" w:hAnsi="Bookman Old Style"/>
          <w:sz w:val="20"/>
          <w:szCs w:val="20"/>
        </w:rPr>
        <w:t>hifzh</w:t>
      </w:r>
      <w:proofErr w:type="spellEnd"/>
      <w:r w:rsidRPr="00BE5BD2">
        <w:rPr>
          <w:rFonts w:ascii="Bookman Old Style" w:hAnsi="Bookman Old Style"/>
          <w:sz w:val="20"/>
          <w:szCs w:val="20"/>
        </w:rPr>
        <w:t xml:space="preserve"> al-'</w:t>
      </w:r>
      <w:proofErr w:type="spellStart"/>
      <w:r w:rsidRPr="00BE5BD2">
        <w:rPr>
          <w:rFonts w:ascii="Bookman Old Style" w:hAnsi="Bookman Old Style"/>
          <w:sz w:val="20"/>
          <w:szCs w:val="20"/>
        </w:rPr>
        <w:t>irdh</w:t>
      </w:r>
      <w:proofErr w:type="spellEnd"/>
      <w:r w:rsidRPr="00BE5BD2">
        <w:rPr>
          <w:rFonts w:ascii="Bookman Old Style" w:hAnsi="Bookman Old Style"/>
          <w:sz w:val="20"/>
          <w:szCs w:val="20"/>
        </w:rPr>
        <w:t>. Indonesia's positive law also prohibits the practice through the principle of monogamy and the provision of double marriage. The meeting point between the two legal systems is an important foundation in building a comprehensive prevention mechanism. The Integrative prevention Model includes institutional synergies between KUA, MUI, and law enforcement officials, strengthening premarital education, and digitizing national marriage records in order to realize equitable family resilience.</w:t>
      </w:r>
    </w:p>
    <w:p w:rsidR="003004C8" w:rsidRPr="003004C8" w:rsidRDefault="003004C8" w:rsidP="003004C8">
      <w:pPr>
        <w:spacing w:after="0" w:line="240" w:lineRule="auto"/>
        <w:ind w:firstLine="720"/>
        <w:jc w:val="both"/>
        <w:rPr>
          <w:rFonts w:ascii="Bookman Old Style" w:hAnsi="Bookman Old Style"/>
          <w:i/>
          <w:iCs/>
          <w:color w:val="000000"/>
          <w:sz w:val="20"/>
          <w:szCs w:val="20"/>
          <w:lang w:val="id-ID"/>
        </w:rPr>
      </w:pPr>
    </w:p>
    <w:p w:rsidR="00F612E1" w:rsidRPr="004B66C2" w:rsidRDefault="00ED635A" w:rsidP="004B66C2">
      <w:pPr>
        <w:rPr>
          <w:rFonts w:ascii="Bookman Old Style" w:hAnsi="Bookman Old Style"/>
          <w:sz w:val="20"/>
          <w:szCs w:val="20"/>
        </w:rPr>
      </w:pPr>
      <w:r w:rsidRPr="00674FA1">
        <w:rPr>
          <w:rFonts w:ascii="Bookman Old Style" w:hAnsi="Bookman Old Style"/>
          <w:b/>
          <w:i/>
          <w:iCs/>
          <w:sz w:val="20"/>
          <w:szCs w:val="20"/>
        </w:rPr>
        <w:t>Keywords</w:t>
      </w:r>
      <w:r w:rsidRPr="00674FA1">
        <w:rPr>
          <w:rFonts w:ascii="Bookman Old Style" w:hAnsi="Bookman Old Style"/>
          <w:i/>
          <w:sz w:val="20"/>
          <w:szCs w:val="20"/>
        </w:rPr>
        <w:t xml:space="preserve">: </w:t>
      </w:r>
      <w:r w:rsidR="00BE5BD2" w:rsidRPr="00BE5BD2">
        <w:rPr>
          <w:rStyle w:val="ypks7kbdpwfgdykd3qb9"/>
          <w:rFonts w:ascii="Bookman Old Style" w:hAnsi="Bookman Old Style"/>
          <w:sz w:val="18"/>
          <w:szCs w:val="18"/>
        </w:rPr>
        <w:t xml:space="preserve">Polyandry, Islamic law, </w:t>
      </w:r>
      <w:proofErr w:type="spellStart"/>
      <w:r w:rsidR="00BE5BD2" w:rsidRPr="00BE5BD2">
        <w:rPr>
          <w:rStyle w:val="ypks7kbdpwfgdykd3qb9"/>
          <w:rFonts w:ascii="Bookman Old Style" w:hAnsi="Bookman Old Style"/>
          <w:sz w:val="18"/>
          <w:szCs w:val="18"/>
        </w:rPr>
        <w:t>Maqashid</w:t>
      </w:r>
      <w:proofErr w:type="spellEnd"/>
      <w:r w:rsidR="00BE5BD2" w:rsidRPr="00BE5BD2">
        <w:rPr>
          <w:rStyle w:val="ypks7kbdpwfgdykd3qb9"/>
          <w:rFonts w:ascii="Bookman Old Style" w:hAnsi="Bookman Old Style"/>
          <w:sz w:val="18"/>
          <w:szCs w:val="18"/>
        </w:rPr>
        <w:t xml:space="preserve"> Al-Sharia, criminal code 2023, Prevention of criminal acts</w:t>
      </w: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577BA6" w:rsidRPr="00577BA6" w:rsidRDefault="00577BA6" w:rsidP="00577BA6">
      <w:pPr>
        <w:spacing w:after="0"/>
        <w:ind w:firstLine="567"/>
        <w:jc w:val="both"/>
        <w:rPr>
          <w:rFonts w:ascii="Bookman Old Style" w:hAnsi="Bookman Old Style"/>
          <w:sz w:val="24"/>
          <w:szCs w:val="24"/>
        </w:rPr>
      </w:pPr>
      <w:r w:rsidRPr="00577BA6">
        <w:rPr>
          <w:rFonts w:ascii="Bookman Old Style" w:hAnsi="Bookman Old Style"/>
          <w:sz w:val="24"/>
          <w:szCs w:val="24"/>
        </w:rPr>
        <w:t>Marriage in the Indonesian legal system is an institution that is protected normatively and religiously. However, the practice of polyandry, a condition in which a woman has more than one husband at the same time, is still found in various walks of life, both overtly and covertly. This phenomenon is not only contrary to moral and religious values, but also violates the provisions of positive law in force in Indonesia.</w:t>
      </w:r>
      <w:r>
        <w:rPr>
          <w:rStyle w:val="FootnoteReference"/>
          <w:rFonts w:ascii="Bookman Old Style" w:hAnsi="Bookman Old Style"/>
          <w:sz w:val="24"/>
          <w:szCs w:val="24"/>
        </w:rPr>
        <w:footnoteReference w:id="2"/>
      </w:r>
      <w:r w:rsidRPr="00577BA6">
        <w:rPr>
          <w:rFonts w:ascii="Bookman Old Style" w:hAnsi="Bookman Old Style"/>
          <w:sz w:val="24"/>
          <w:szCs w:val="24"/>
        </w:rPr>
        <w:t xml:space="preserve">  In the perspective of Islamic law, polyandry is expressly prohibited based on the </w:t>
      </w:r>
      <w:proofErr w:type="spellStart"/>
      <w:proofErr w:type="gramStart"/>
      <w:r w:rsidRPr="00577BA6">
        <w:rPr>
          <w:rFonts w:ascii="Bookman Old Style" w:hAnsi="Bookman Old Style"/>
          <w:sz w:val="24"/>
          <w:szCs w:val="24"/>
        </w:rPr>
        <w:t>nash</w:t>
      </w:r>
      <w:proofErr w:type="spellEnd"/>
      <w:proofErr w:type="gramEnd"/>
      <w:r w:rsidRPr="00577BA6">
        <w:rPr>
          <w:rFonts w:ascii="Bookman Old Style" w:hAnsi="Bookman Old Style"/>
          <w:sz w:val="24"/>
          <w:szCs w:val="24"/>
        </w:rPr>
        <w:t xml:space="preserve"> of the Qur'an and the Hadith of the prophet, because it is contrary to the principles of </w:t>
      </w:r>
      <w:proofErr w:type="spellStart"/>
      <w:r w:rsidRPr="00577BA6">
        <w:rPr>
          <w:rFonts w:ascii="Bookman Old Style" w:hAnsi="Bookman Old Style"/>
          <w:sz w:val="24"/>
          <w:szCs w:val="24"/>
        </w:rPr>
        <w:t>maqashid</w:t>
      </w:r>
      <w:proofErr w:type="spellEnd"/>
      <w:r w:rsidRPr="00577BA6">
        <w:rPr>
          <w:rFonts w:ascii="Bookman Old Style" w:hAnsi="Bookman Old Style"/>
          <w:sz w:val="24"/>
          <w:szCs w:val="24"/>
        </w:rPr>
        <w:t xml:space="preserve"> al-Sharia which aims to preserve offspring (</w:t>
      </w:r>
      <w:proofErr w:type="spellStart"/>
      <w:r w:rsidRPr="00577BA6">
        <w:rPr>
          <w:rFonts w:ascii="Bookman Old Style" w:hAnsi="Bookman Old Style"/>
          <w:sz w:val="24"/>
          <w:szCs w:val="24"/>
        </w:rPr>
        <w:t>hifzh</w:t>
      </w:r>
      <w:proofErr w:type="spellEnd"/>
      <w:r w:rsidRPr="00577BA6">
        <w:rPr>
          <w:rFonts w:ascii="Bookman Old Style" w:hAnsi="Bookman Old Style"/>
          <w:sz w:val="24"/>
          <w:szCs w:val="24"/>
        </w:rPr>
        <w:t xml:space="preserve"> </w:t>
      </w:r>
      <w:r w:rsidRPr="00577BA6">
        <w:rPr>
          <w:rFonts w:ascii="Bookman Old Style" w:hAnsi="Bookman Old Style"/>
          <w:sz w:val="24"/>
          <w:szCs w:val="24"/>
        </w:rPr>
        <w:lastRenderedPageBreak/>
        <w:t>al-</w:t>
      </w:r>
      <w:proofErr w:type="spellStart"/>
      <w:r w:rsidRPr="00577BA6">
        <w:rPr>
          <w:rFonts w:ascii="Bookman Old Style" w:hAnsi="Bookman Old Style"/>
          <w:sz w:val="24"/>
          <w:szCs w:val="24"/>
        </w:rPr>
        <w:t>nasl</w:t>
      </w:r>
      <w:proofErr w:type="spellEnd"/>
      <w:r w:rsidRPr="00577BA6">
        <w:rPr>
          <w:rFonts w:ascii="Bookman Old Style" w:hAnsi="Bookman Old Style"/>
          <w:sz w:val="24"/>
          <w:szCs w:val="24"/>
        </w:rPr>
        <w:t xml:space="preserve">) and </w:t>
      </w:r>
      <w:proofErr w:type="spellStart"/>
      <w:r w:rsidRPr="00577BA6">
        <w:rPr>
          <w:rFonts w:ascii="Bookman Old Style" w:hAnsi="Bookman Old Style"/>
          <w:sz w:val="24"/>
          <w:szCs w:val="24"/>
        </w:rPr>
        <w:t>honor</w:t>
      </w:r>
      <w:proofErr w:type="spellEnd"/>
      <w:r w:rsidRPr="00577BA6">
        <w:rPr>
          <w:rFonts w:ascii="Bookman Old Style" w:hAnsi="Bookman Old Style"/>
          <w:sz w:val="24"/>
          <w:szCs w:val="24"/>
        </w:rPr>
        <w:t xml:space="preserve"> (</w:t>
      </w:r>
      <w:proofErr w:type="spellStart"/>
      <w:r w:rsidRPr="00577BA6">
        <w:rPr>
          <w:rFonts w:ascii="Bookman Old Style" w:hAnsi="Bookman Old Style"/>
          <w:sz w:val="24"/>
          <w:szCs w:val="24"/>
        </w:rPr>
        <w:t>hifzh</w:t>
      </w:r>
      <w:proofErr w:type="spellEnd"/>
      <w:r w:rsidRPr="00577BA6">
        <w:rPr>
          <w:rFonts w:ascii="Bookman Old Style" w:hAnsi="Bookman Old Style"/>
          <w:sz w:val="24"/>
          <w:szCs w:val="24"/>
        </w:rPr>
        <w:t xml:space="preserve"> al-'</w:t>
      </w:r>
      <w:proofErr w:type="spellStart"/>
      <w:r w:rsidRPr="00577BA6">
        <w:rPr>
          <w:rFonts w:ascii="Bookman Old Style" w:hAnsi="Bookman Old Style"/>
          <w:sz w:val="24"/>
          <w:szCs w:val="24"/>
        </w:rPr>
        <w:t>irdh</w:t>
      </w:r>
      <w:proofErr w:type="spellEnd"/>
      <w:r w:rsidRPr="00577BA6">
        <w:rPr>
          <w:rFonts w:ascii="Bookman Old Style" w:hAnsi="Bookman Old Style"/>
          <w:sz w:val="24"/>
          <w:szCs w:val="24"/>
        </w:rPr>
        <w:t>).</w:t>
      </w:r>
      <w:r>
        <w:rPr>
          <w:rStyle w:val="FootnoteReference"/>
          <w:rFonts w:ascii="Bookman Old Style" w:hAnsi="Bookman Old Style"/>
          <w:sz w:val="24"/>
          <w:szCs w:val="24"/>
        </w:rPr>
        <w:footnoteReference w:id="3"/>
      </w:r>
      <w:r w:rsidRPr="00577BA6">
        <w:rPr>
          <w:rFonts w:ascii="Bookman Old Style" w:hAnsi="Bookman Old Style"/>
          <w:sz w:val="24"/>
          <w:szCs w:val="24"/>
        </w:rPr>
        <w:t xml:space="preserve">  This prohibition is not just a formal rule, but touches on fundamental aspects of the family order in Islam.</w:t>
      </w:r>
      <w:r>
        <w:rPr>
          <w:rStyle w:val="FootnoteReference"/>
          <w:rFonts w:ascii="Bookman Old Style" w:hAnsi="Bookman Old Style"/>
          <w:sz w:val="24"/>
          <w:szCs w:val="24"/>
        </w:rPr>
        <w:footnoteReference w:id="4"/>
      </w:r>
      <w:r w:rsidRPr="00577BA6">
        <w:rPr>
          <w:rFonts w:ascii="Bookman Old Style" w:hAnsi="Bookman Old Style"/>
          <w:sz w:val="24"/>
          <w:szCs w:val="24"/>
        </w:rPr>
        <w:t xml:space="preserve"> </w:t>
      </w:r>
    </w:p>
    <w:p w:rsidR="00577BA6" w:rsidRPr="00577BA6" w:rsidRDefault="00577BA6" w:rsidP="00577BA6">
      <w:pPr>
        <w:spacing w:after="0"/>
        <w:ind w:firstLine="567"/>
        <w:jc w:val="both"/>
        <w:rPr>
          <w:rFonts w:ascii="Bookman Old Style" w:hAnsi="Bookman Old Style"/>
          <w:sz w:val="24"/>
          <w:szCs w:val="24"/>
        </w:rPr>
      </w:pPr>
      <w:r w:rsidRPr="00577BA6">
        <w:rPr>
          <w:rFonts w:ascii="Bookman Old Style" w:hAnsi="Bookman Old Style"/>
          <w:sz w:val="24"/>
          <w:szCs w:val="24"/>
        </w:rPr>
        <w:t>The development of national legislation also strengthened the ban through the renewal of marriage regulations. Law No. 1 of 2023 on the Criminal Code that came into full force provides a firmer criminal foundation against violations of marriage norms, including the practice of polyandry which is categorized as a form of bigamy or unlawful multiple marriages. This regulation is part of the state's efforts to carry out comprehensive legal reform in order to adjust the criminal law to the social development of Indonesian society.</w:t>
      </w:r>
      <w:r>
        <w:rPr>
          <w:rStyle w:val="FootnoteReference"/>
          <w:rFonts w:ascii="Bookman Old Style" w:hAnsi="Bookman Old Style"/>
          <w:sz w:val="24"/>
          <w:szCs w:val="24"/>
        </w:rPr>
        <w:footnoteReference w:id="5"/>
      </w:r>
      <w:r w:rsidRPr="00577BA6">
        <w:rPr>
          <w:rFonts w:ascii="Bookman Old Style" w:hAnsi="Bookman Old Style"/>
          <w:sz w:val="24"/>
          <w:szCs w:val="24"/>
        </w:rPr>
        <w:t xml:space="preserve"> </w:t>
      </w:r>
    </w:p>
    <w:p w:rsidR="00577BA6" w:rsidRPr="00577BA6" w:rsidRDefault="00577BA6" w:rsidP="00577BA6">
      <w:pPr>
        <w:spacing w:after="0"/>
        <w:ind w:firstLine="567"/>
        <w:jc w:val="both"/>
        <w:rPr>
          <w:rFonts w:ascii="Bookman Old Style" w:hAnsi="Bookman Old Style"/>
          <w:sz w:val="24"/>
          <w:szCs w:val="24"/>
        </w:rPr>
      </w:pPr>
      <w:r w:rsidRPr="00577BA6">
        <w:rPr>
          <w:rFonts w:ascii="Bookman Old Style" w:hAnsi="Bookman Old Style"/>
          <w:sz w:val="24"/>
          <w:szCs w:val="24"/>
        </w:rPr>
        <w:t>Although regulation is available, the effectiveness of prevention of polyandry crime still faces various challenges, ranging from low public legal awareness, weak administrative supervision of marriage, to the lack of integration between Islamic law and positive law approaches in handling cases. Therefore, an in-depth study of integrated prevention mechanisms between the perspective of Islamic jurisprudence and state legal instruments is needed so that the protection of the institution of marriage can run optimally.</w:t>
      </w:r>
      <w:r w:rsidR="004B66C2">
        <w:rPr>
          <w:rStyle w:val="FootnoteReference"/>
          <w:rFonts w:ascii="Bookman Old Style" w:hAnsi="Bookman Old Style"/>
          <w:sz w:val="24"/>
          <w:szCs w:val="24"/>
        </w:rPr>
        <w:footnoteReference w:id="6"/>
      </w:r>
      <w:r w:rsidRPr="00577BA6">
        <w:rPr>
          <w:rFonts w:ascii="Bookman Old Style" w:hAnsi="Bookman Old Style"/>
          <w:sz w:val="24"/>
          <w:szCs w:val="24"/>
        </w:rPr>
        <w:t xml:space="preserve">  Based on the background that has been described, this study identifies the main problems that are the focus of the study. First, </w:t>
      </w:r>
      <w:proofErr w:type="gramStart"/>
      <w:r w:rsidRPr="00577BA6">
        <w:rPr>
          <w:rFonts w:ascii="Bookman Old Style" w:hAnsi="Bookman Old Style"/>
          <w:sz w:val="24"/>
          <w:szCs w:val="24"/>
        </w:rPr>
        <w:t>How</w:t>
      </w:r>
      <w:proofErr w:type="gramEnd"/>
      <w:r w:rsidRPr="00577BA6">
        <w:rPr>
          <w:rFonts w:ascii="Bookman Old Style" w:hAnsi="Bookman Old Style"/>
          <w:sz w:val="24"/>
          <w:szCs w:val="24"/>
        </w:rPr>
        <w:t xml:space="preserve"> is the view of Islamic law on the crime of polyandry and its prevention mechanisms in terms of the principles of </w:t>
      </w:r>
      <w:proofErr w:type="spellStart"/>
      <w:r w:rsidRPr="00577BA6">
        <w:rPr>
          <w:rFonts w:ascii="Bookman Old Style" w:hAnsi="Bookman Old Style"/>
          <w:sz w:val="24"/>
          <w:szCs w:val="24"/>
        </w:rPr>
        <w:t>maqashid</w:t>
      </w:r>
      <w:proofErr w:type="spellEnd"/>
      <w:r w:rsidRPr="00577BA6">
        <w:rPr>
          <w:rFonts w:ascii="Bookman Old Style" w:hAnsi="Bookman Old Style"/>
          <w:sz w:val="24"/>
          <w:szCs w:val="24"/>
        </w:rPr>
        <w:t xml:space="preserve"> al-Sharia? Second, </w:t>
      </w:r>
      <w:proofErr w:type="gramStart"/>
      <w:r w:rsidRPr="00577BA6">
        <w:rPr>
          <w:rFonts w:ascii="Bookman Old Style" w:hAnsi="Bookman Old Style"/>
          <w:sz w:val="24"/>
          <w:szCs w:val="24"/>
        </w:rPr>
        <w:t>How</w:t>
      </w:r>
      <w:proofErr w:type="gramEnd"/>
      <w:r w:rsidRPr="00577BA6">
        <w:rPr>
          <w:rFonts w:ascii="Bookman Old Style" w:hAnsi="Bookman Old Style"/>
          <w:sz w:val="24"/>
          <w:szCs w:val="24"/>
        </w:rPr>
        <w:t xml:space="preserve"> do the provisions of Law Number 1 of 2023 regulate sanctions and prevention efforts against polyandry practices in the Indonesian criminal law system? Third, </w:t>
      </w:r>
      <w:proofErr w:type="gramStart"/>
      <w:r w:rsidRPr="00577BA6">
        <w:rPr>
          <w:rFonts w:ascii="Bookman Old Style" w:hAnsi="Bookman Old Style"/>
          <w:sz w:val="24"/>
          <w:szCs w:val="24"/>
        </w:rPr>
        <w:t>How</w:t>
      </w:r>
      <w:proofErr w:type="gramEnd"/>
      <w:r w:rsidRPr="00577BA6">
        <w:rPr>
          <w:rFonts w:ascii="Bookman Old Style" w:hAnsi="Bookman Old Style"/>
          <w:sz w:val="24"/>
          <w:szCs w:val="24"/>
        </w:rPr>
        <w:t xml:space="preserve"> is the synchronization between the perspectives of Islamic law and positive law in forming an effective prevention model against polyandry crimes in Indonesia?</w:t>
      </w:r>
    </w:p>
    <w:p w:rsidR="00577BA6" w:rsidRDefault="00577BA6" w:rsidP="00577BA6">
      <w:pPr>
        <w:spacing w:after="0"/>
        <w:ind w:firstLine="567"/>
        <w:jc w:val="both"/>
        <w:rPr>
          <w:rFonts w:ascii="Bookman Old Style" w:hAnsi="Bookman Old Style"/>
          <w:sz w:val="24"/>
          <w:szCs w:val="24"/>
        </w:rPr>
      </w:pPr>
      <w:r w:rsidRPr="00577BA6">
        <w:rPr>
          <w:rFonts w:ascii="Bookman Old Style" w:hAnsi="Bookman Old Style"/>
          <w:sz w:val="24"/>
          <w:szCs w:val="24"/>
        </w:rPr>
        <w:t xml:space="preserve">This study aims to comprehensively </w:t>
      </w:r>
      <w:proofErr w:type="spellStart"/>
      <w:r w:rsidRPr="00577BA6">
        <w:rPr>
          <w:rFonts w:ascii="Bookman Old Style" w:hAnsi="Bookman Old Style"/>
          <w:sz w:val="24"/>
          <w:szCs w:val="24"/>
        </w:rPr>
        <w:t>analyze</w:t>
      </w:r>
      <w:proofErr w:type="spellEnd"/>
      <w:r w:rsidRPr="00577BA6">
        <w:rPr>
          <w:rFonts w:ascii="Bookman Old Style" w:hAnsi="Bookman Old Style"/>
          <w:sz w:val="24"/>
          <w:szCs w:val="24"/>
        </w:rPr>
        <w:t xml:space="preserve"> the Prohibition of polyandry from the perspective of Islamic law by referring to normative postulates and opinions of classical and contemporary </w:t>
      </w:r>
      <w:proofErr w:type="spellStart"/>
      <w:r w:rsidRPr="00577BA6">
        <w:rPr>
          <w:rFonts w:ascii="Bookman Old Style" w:hAnsi="Bookman Old Style"/>
          <w:sz w:val="24"/>
          <w:szCs w:val="24"/>
        </w:rPr>
        <w:t>fiqh</w:t>
      </w:r>
      <w:proofErr w:type="spellEnd"/>
      <w:r w:rsidRPr="00577BA6">
        <w:rPr>
          <w:rFonts w:ascii="Bookman Old Style" w:hAnsi="Bookman Old Style"/>
          <w:sz w:val="24"/>
          <w:szCs w:val="24"/>
        </w:rPr>
        <w:t xml:space="preserve"> scholars. Furthermore, this study aims to examine the construction of positive Criminal Law in Indonesia, especially in law No. 1 of 2023, in providing legal protection to the institution of marriage from polyandry practices. Finally, this study aims to find the point of convergence between the two legal systems in order to formulate recommendations for prevention models that are integrative and applicable. Theoretically, this study is expected to enrich </w:t>
      </w:r>
      <w:r w:rsidRPr="00577BA6">
        <w:rPr>
          <w:rFonts w:ascii="Bookman Old Style" w:hAnsi="Bookman Old Style"/>
          <w:sz w:val="24"/>
          <w:szCs w:val="24"/>
        </w:rPr>
        <w:lastRenderedPageBreak/>
        <w:t>the treasury of Islamic law and national criminal law, especially in the discourse on criminal prevention of violations of marriage norms in Indonesia. In practical terms, the results of this study can be a reference for law enforcement officers, rulers, and religious institutions in strengthening the mechanism of marriage supervision in the field. In addition, this study is expected to contribute to policy makers in perfecting regulations that integrate the values of Islamic law with a positive legal system for the creation of a strong family resilience in Indonesia.</w:t>
      </w:r>
    </w:p>
    <w:p w:rsidR="00E72D0D" w:rsidRPr="00514FC1" w:rsidRDefault="00E72D0D" w:rsidP="00E72D0D">
      <w:pPr>
        <w:spacing w:after="0"/>
        <w:ind w:firstLine="567"/>
        <w:jc w:val="both"/>
        <w:rPr>
          <w:rFonts w:ascii="Bookman Old Style" w:hAnsi="Bookman Old Style"/>
          <w:sz w:val="24"/>
          <w:szCs w:val="24"/>
        </w:rPr>
      </w:pP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4B66C2" w:rsidRPr="004B66C2" w:rsidRDefault="004B66C2" w:rsidP="004B66C2">
      <w:pPr>
        <w:spacing w:after="0"/>
        <w:ind w:firstLine="567"/>
        <w:jc w:val="both"/>
        <w:rPr>
          <w:rStyle w:val="ypks7kbdpwfgdykd3qb9"/>
          <w:rFonts w:ascii="Bookman Old Style" w:hAnsi="Bookman Old Style"/>
          <w:sz w:val="24"/>
          <w:szCs w:val="24"/>
        </w:rPr>
      </w:pPr>
      <w:r w:rsidRPr="004B66C2">
        <w:rPr>
          <w:rStyle w:val="ypks7kbdpwfgdykd3qb9"/>
          <w:rFonts w:ascii="Bookman Old Style" w:hAnsi="Bookman Old Style"/>
          <w:sz w:val="24"/>
          <w:szCs w:val="24"/>
        </w:rPr>
        <w:t>This research uses normative juridical approach (normative legal research), which is a legal research method that focuses on the study of primary, secondary, and tertiary legal materials as the main source of analysis.</w:t>
      </w:r>
      <w:r w:rsidR="00F60074">
        <w:rPr>
          <w:rStyle w:val="FootnoteReference"/>
          <w:rFonts w:ascii="Bookman Old Style" w:hAnsi="Bookman Old Style"/>
          <w:sz w:val="24"/>
          <w:szCs w:val="24"/>
        </w:rPr>
        <w:footnoteReference w:id="7"/>
      </w:r>
      <w:r w:rsidRPr="004B66C2">
        <w:rPr>
          <w:rStyle w:val="ypks7kbdpwfgdykd3qb9"/>
          <w:rFonts w:ascii="Bookman Old Style" w:hAnsi="Bookman Old Style"/>
          <w:sz w:val="24"/>
          <w:szCs w:val="24"/>
        </w:rPr>
        <w:t xml:space="preserve"> This approach was chosen because the object of study focuses on Written legal norms, both sourced from Islamic law and Indonesian positive law, especially Law Number 1 of 2023 on Criminal Law and Law Number 16 of 2019 on amendments to Law Number 1 of 1974 on marriage, in order to </w:t>
      </w:r>
      <w:proofErr w:type="spellStart"/>
      <w:r w:rsidRPr="004B66C2">
        <w:rPr>
          <w:rStyle w:val="ypks7kbdpwfgdykd3qb9"/>
          <w:rFonts w:ascii="Bookman Old Style" w:hAnsi="Bookman Old Style"/>
          <w:sz w:val="24"/>
          <w:szCs w:val="24"/>
        </w:rPr>
        <w:t>analyze</w:t>
      </w:r>
      <w:proofErr w:type="spellEnd"/>
      <w:r w:rsidRPr="004B66C2">
        <w:rPr>
          <w:rStyle w:val="ypks7kbdpwfgdykd3qb9"/>
          <w:rFonts w:ascii="Bookman Old Style" w:hAnsi="Bookman Old Style"/>
          <w:sz w:val="24"/>
          <w:szCs w:val="24"/>
        </w:rPr>
        <w:t xml:space="preserve"> the construction of polyandry prevention laws in depth and systematically.</w:t>
      </w:r>
      <w:r>
        <w:rPr>
          <w:rStyle w:val="FootnoteReference"/>
          <w:rFonts w:ascii="Bookman Old Style" w:hAnsi="Bookman Old Style"/>
          <w:sz w:val="24"/>
          <w:szCs w:val="24"/>
        </w:rPr>
        <w:footnoteReference w:id="8"/>
      </w:r>
      <w:r w:rsidRPr="004B66C2">
        <w:rPr>
          <w:rStyle w:val="ypks7kbdpwfgdykd3qb9"/>
          <w:rFonts w:ascii="Bookman Old Style" w:hAnsi="Bookman Old Style"/>
          <w:sz w:val="24"/>
          <w:szCs w:val="24"/>
        </w:rPr>
        <w:t xml:space="preserve"> </w:t>
      </w:r>
    </w:p>
    <w:p w:rsidR="004B66C2" w:rsidRDefault="004B66C2" w:rsidP="004B66C2">
      <w:pPr>
        <w:spacing w:after="0"/>
        <w:ind w:firstLine="567"/>
        <w:jc w:val="both"/>
        <w:rPr>
          <w:rStyle w:val="ypks7kbdpwfgdykd3qb9"/>
          <w:rFonts w:ascii="Bookman Old Style" w:hAnsi="Bookman Old Style"/>
          <w:sz w:val="24"/>
          <w:szCs w:val="24"/>
        </w:rPr>
      </w:pPr>
      <w:r w:rsidRPr="004B66C2">
        <w:rPr>
          <w:rStyle w:val="ypks7kbdpwfgdykd3qb9"/>
          <w:rFonts w:ascii="Bookman Old Style" w:hAnsi="Bookman Old Style"/>
          <w:sz w:val="24"/>
          <w:szCs w:val="24"/>
        </w:rPr>
        <w:t xml:space="preserve">Legal materials are collected through library research by tracing legislation, Court decisions, classic and contemporary </w:t>
      </w:r>
      <w:proofErr w:type="spellStart"/>
      <w:r w:rsidRPr="004B66C2">
        <w:rPr>
          <w:rStyle w:val="ypks7kbdpwfgdykd3qb9"/>
          <w:rFonts w:ascii="Bookman Old Style" w:hAnsi="Bookman Old Style"/>
          <w:sz w:val="24"/>
          <w:szCs w:val="24"/>
        </w:rPr>
        <w:t>fiqh</w:t>
      </w:r>
      <w:proofErr w:type="spellEnd"/>
      <w:r w:rsidRPr="004B66C2">
        <w:rPr>
          <w:rStyle w:val="ypks7kbdpwfgdykd3qb9"/>
          <w:rFonts w:ascii="Bookman Old Style" w:hAnsi="Bookman Old Style"/>
          <w:sz w:val="24"/>
          <w:szCs w:val="24"/>
        </w:rPr>
        <w:t xml:space="preserve"> books, and relevant scientific literature. The analysis was carried out in a descriptive-analytical manner, namely by describing the applicable normative provisions and then </w:t>
      </w:r>
      <w:proofErr w:type="spellStart"/>
      <w:r w:rsidRPr="004B66C2">
        <w:rPr>
          <w:rStyle w:val="ypks7kbdpwfgdykd3qb9"/>
          <w:rFonts w:ascii="Bookman Old Style" w:hAnsi="Bookman Old Style"/>
          <w:sz w:val="24"/>
          <w:szCs w:val="24"/>
        </w:rPr>
        <w:t>analyzing</w:t>
      </w:r>
      <w:proofErr w:type="spellEnd"/>
      <w:r w:rsidRPr="004B66C2">
        <w:rPr>
          <w:rStyle w:val="ypks7kbdpwfgdykd3qb9"/>
          <w:rFonts w:ascii="Bookman Old Style" w:hAnsi="Bookman Old Style"/>
          <w:sz w:val="24"/>
          <w:szCs w:val="24"/>
        </w:rPr>
        <w:t xml:space="preserve"> them critically to find suitability, gaps, and synchronization points between Islamic law and positive Criminal Law in the context of polyandry prevention. The interpretation methods used include grammatical, systematic, and teleological interpretation in order to reveal the meaning of the norm in a comprehensive manner.</w:t>
      </w:r>
      <w:r w:rsidR="00523487">
        <w:rPr>
          <w:rStyle w:val="FootnoteReference"/>
          <w:rFonts w:ascii="Bookman Old Style" w:hAnsi="Bookman Old Style"/>
          <w:sz w:val="24"/>
          <w:szCs w:val="24"/>
        </w:rPr>
        <w:footnoteReference w:id="9"/>
      </w:r>
    </w:p>
    <w:p w:rsidR="00E72D0D" w:rsidRPr="00E72D0D" w:rsidRDefault="00E72D0D" w:rsidP="00FB6A75">
      <w:pPr>
        <w:spacing w:after="0"/>
        <w:ind w:firstLine="567"/>
        <w:jc w:val="both"/>
        <w:rPr>
          <w:rFonts w:ascii="Bookman Old Style" w:hAnsi="Bookman Old Style"/>
          <w:sz w:val="24"/>
          <w:szCs w:val="24"/>
        </w:rPr>
      </w:pPr>
    </w:p>
    <w:p w:rsidR="00052638" w:rsidRDefault="00052638" w:rsidP="00052638">
      <w:pPr>
        <w:spacing w:after="0"/>
        <w:jc w:val="both"/>
        <w:rPr>
          <w:rFonts w:ascii="Bookman Old Style" w:hAnsi="Bookman Old Style"/>
          <w:b/>
          <w:sz w:val="24"/>
          <w:lang w:val="id-ID"/>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E72D0D" w:rsidRPr="00F60074" w:rsidRDefault="00F60074" w:rsidP="00F60074">
      <w:pPr>
        <w:pStyle w:val="ListParagraph"/>
        <w:numPr>
          <w:ilvl w:val="0"/>
          <w:numId w:val="29"/>
        </w:numPr>
        <w:spacing w:after="0"/>
        <w:jc w:val="both"/>
        <w:rPr>
          <w:rStyle w:val="ypks7kbdpwfgdykd3qb9"/>
          <w:rFonts w:ascii="Bookman Old Style" w:hAnsi="Bookman Old Style"/>
          <w:b/>
          <w:sz w:val="24"/>
          <w:szCs w:val="24"/>
          <w:lang w:val="id-ID"/>
        </w:rPr>
      </w:pPr>
      <w:r w:rsidRPr="00F60074">
        <w:rPr>
          <w:rStyle w:val="ypks7kbdpwfgdykd3qb9"/>
          <w:rFonts w:ascii="Bookman Old Style" w:hAnsi="Bookman Old Style"/>
          <w:b/>
          <w:sz w:val="24"/>
          <w:szCs w:val="24"/>
        </w:rPr>
        <w:t>Polyandry in the perspective of Islamic law</w:t>
      </w:r>
    </w:p>
    <w:p w:rsidR="00F60074" w:rsidRPr="00F60074" w:rsidRDefault="00F60074" w:rsidP="00F60074">
      <w:pPr>
        <w:pStyle w:val="ListParagraph"/>
        <w:numPr>
          <w:ilvl w:val="0"/>
          <w:numId w:val="38"/>
        </w:numPr>
        <w:spacing w:after="0"/>
        <w:jc w:val="both"/>
        <w:rPr>
          <w:rFonts w:ascii="Bookman Old Style" w:hAnsi="Bookman Old Style"/>
          <w:b/>
          <w:sz w:val="24"/>
          <w:szCs w:val="24"/>
          <w:lang w:val="id-ID"/>
        </w:rPr>
      </w:pPr>
      <w:r w:rsidRPr="00F60074">
        <w:rPr>
          <w:rStyle w:val="ypks7kbdpwfgdykd3qb9"/>
          <w:rFonts w:ascii="Bookman Old Style" w:hAnsi="Bookman Old Style"/>
          <w:b/>
          <w:sz w:val="24"/>
          <w:szCs w:val="24"/>
        </w:rPr>
        <w:t xml:space="preserve">Normative basis of the Prohibition of polyandry in the Qur'an and </w:t>
      </w:r>
      <w:proofErr w:type="spellStart"/>
      <w:r w:rsidRPr="00F60074">
        <w:rPr>
          <w:rStyle w:val="ypks7kbdpwfgdykd3qb9"/>
          <w:rFonts w:ascii="Bookman Old Style" w:hAnsi="Bookman Old Style"/>
          <w:b/>
          <w:sz w:val="24"/>
          <w:szCs w:val="24"/>
        </w:rPr>
        <w:t>Hadi</w:t>
      </w:r>
      <w:r>
        <w:rPr>
          <w:rStyle w:val="ypks7kbdpwfgdykd3qb9"/>
          <w:rFonts w:ascii="Bookman Old Style" w:hAnsi="Bookman Old Style"/>
          <w:b/>
          <w:sz w:val="24"/>
          <w:szCs w:val="24"/>
        </w:rPr>
        <w:t>s</w:t>
      </w:r>
      <w:r w:rsidRPr="00F60074">
        <w:rPr>
          <w:rStyle w:val="ypks7kbdpwfgdykd3qb9"/>
          <w:rFonts w:ascii="Bookman Old Style" w:hAnsi="Bookman Old Style"/>
          <w:b/>
          <w:sz w:val="24"/>
          <w:szCs w:val="24"/>
        </w:rPr>
        <w:t>th</w:t>
      </w:r>
      <w:proofErr w:type="spellEnd"/>
    </w:p>
    <w:p w:rsidR="00F60074" w:rsidRDefault="00F60074" w:rsidP="00A22DC7">
      <w:pPr>
        <w:spacing w:after="0"/>
        <w:ind w:firstLine="567"/>
        <w:jc w:val="both"/>
        <w:rPr>
          <w:rFonts w:ascii="Bookman Old Style" w:hAnsi="Bookman Old Style"/>
          <w:sz w:val="24"/>
          <w:szCs w:val="24"/>
        </w:rPr>
      </w:pPr>
      <w:r w:rsidRPr="00F60074">
        <w:rPr>
          <w:rFonts w:ascii="Bookman Old Style" w:hAnsi="Bookman Old Style"/>
          <w:sz w:val="24"/>
          <w:szCs w:val="24"/>
        </w:rPr>
        <w:t>The marriage system in Islam is built on the principle of clarity of the legal relationship between husband, wife and offspring, so any form of deviation from the norm is considered contrary to the fundamental teachings of the religion. The practice of polyandry-the condition in which a woman has more tha</w:t>
      </w:r>
      <w:r w:rsidR="00BE5EC9">
        <w:rPr>
          <w:rFonts w:ascii="Bookman Old Style" w:hAnsi="Bookman Old Style"/>
          <w:sz w:val="24"/>
          <w:szCs w:val="24"/>
        </w:rPr>
        <w:t xml:space="preserve">n one husband at the same </w:t>
      </w:r>
      <w:proofErr w:type="gramStart"/>
      <w:r w:rsidR="00BE5EC9">
        <w:rPr>
          <w:rFonts w:ascii="Bookman Old Style" w:hAnsi="Bookman Old Style"/>
          <w:sz w:val="24"/>
          <w:szCs w:val="24"/>
        </w:rPr>
        <w:t xml:space="preserve">time </w:t>
      </w:r>
      <w:r w:rsidRPr="00F60074">
        <w:rPr>
          <w:rFonts w:ascii="Bookman Old Style" w:hAnsi="Bookman Old Style"/>
          <w:sz w:val="24"/>
          <w:szCs w:val="24"/>
        </w:rPr>
        <w:t xml:space="preserve"> is</w:t>
      </w:r>
      <w:proofErr w:type="gramEnd"/>
      <w:r w:rsidRPr="00F60074">
        <w:rPr>
          <w:rFonts w:ascii="Bookman Old Style" w:hAnsi="Bookman Old Style"/>
          <w:sz w:val="24"/>
          <w:szCs w:val="24"/>
        </w:rPr>
        <w:t xml:space="preserve"> strictly forbidden </w:t>
      </w:r>
      <w:r w:rsidRPr="00F60074">
        <w:rPr>
          <w:rFonts w:ascii="Bookman Old Style" w:hAnsi="Bookman Old Style"/>
          <w:sz w:val="24"/>
          <w:szCs w:val="24"/>
        </w:rPr>
        <w:lastRenderedPageBreak/>
        <w:t xml:space="preserve">under the </w:t>
      </w:r>
      <w:proofErr w:type="spellStart"/>
      <w:r w:rsidRPr="00F60074">
        <w:rPr>
          <w:rFonts w:ascii="Bookman Old Style" w:hAnsi="Bookman Old Style"/>
          <w:sz w:val="24"/>
          <w:szCs w:val="24"/>
        </w:rPr>
        <w:t>Qur'AN</w:t>
      </w:r>
      <w:proofErr w:type="spellEnd"/>
      <w:r w:rsidRPr="00F60074">
        <w:rPr>
          <w:rFonts w:ascii="Bookman Old Style" w:hAnsi="Bookman Old Style"/>
          <w:sz w:val="24"/>
          <w:szCs w:val="24"/>
        </w:rPr>
        <w:t>. An-</w:t>
      </w:r>
      <w:proofErr w:type="spellStart"/>
      <w:r w:rsidRPr="00F60074">
        <w:rPr>
          <w:rFonts w:ascii="Bookman Old Style" w:hAnsi="Bookman Old Style"/>
          <w:sz w:val="24"/>
          <w:szCs w:val="24"/>
        </w:rPr>
        <w:t>Nisa</w:t>
      </w:r>
      <w:proofErr w:type="spellEnd"/>
      <w:r w:rsidRPr="00F60074">
        <w:rPr>
          <w:rFonts w:ascii="Bookman Old Style" w:hAnsi="Bookman Old Style"/>
          <w:sz w:val="24"/>
          <w:szCs w:val="24"/>
        </w:rPr>
        <w:t xml:space="preserve"> verse 24 which prohibits marrying women who are still in a marriage bond, and QS. An-</w:t>
      </w:r>
      <w:proofErr w:type="spellStart"/>
      <w:r w:rsidRPr="00F60074">
        <w:rPr>
          <w:rFonts w:ascii="Bookman Old Style" w:hAnsi="Bookman Old Style"/>
          <w:sz w:val="24"/>
          <w:szCs w:val="24"/>
        </w:rPr>
        <w:t>Nisa</w:t>
      </w:r>
      <w:proofErr w:type="spellEnd"/>
      <w:r w:rsidRPr="00F60074">
        <w:rPr>
          <w:rFonts w:ascii="Bookman Old Style" w:hAnsi="Bookman Old Style"/>
          <w:sz w:val="24"/>
          <w:szCs w:val="24"/>
        </w:rPr>
        <w:t xml:space="preserve"> verse 3 which only opens a limited polygamous space for men without providing similar space for women. This normative provision affirms that the structure of Islamic marriage is asymmetric based on the roles and responsibilities of each party.</w:t>
      </w:r>
      <w:r w:rsidR="00523487">
        <w:rPr>
          <w:rStyle w:val="FootnoteReference"/>
          <w:rFonts w:ascii="Bookman Old Style" w:hAnsi="Bookman Old Style"/>
          <w:sz w:val="24"/>
          <w:szCs w:val="24"/>
        </w:rPr>
        <w:footnoteReference w:id="10"/>
      </w:r>
      <w:r w:rsidRPr="00F60074">
        <w:rPr>
          <w:rFonts w:ascii="Bookman Old Style" w:hAnsi="Bookman Old Style"/>
          <w:sz w:val="24"/>
          <w:szCs w:val="24"/>
        </w:rPr>
        <w:t xml:space="preserve">  Furthermore</w:t>
      </w:r>
      <w:r w:rsidR="00BE5EC9">
        <w:rPr>
          <w:rFonts w:ascii="Bookman Old Style" w:hAnsi="Bookman Old Style"/>
          <w:sz w:val="24"/>
          <w:szCs w:val="24"/>
        </w:rPr>
        <w:t xml:space="preserve">, all schools of </w:t>
      </w:r>
      <w:proofErr w:type="gramStart"/>
      <w:r w:rsidR="00BE5EC9">
        <w:rPr>
          <w:rFonts w:ascii="Bookman Old Style" w:hAnsi="Bookman Old Style"/>
          <w:sz w:val="24"/>
          <w:szCs w:val="24"/>
        </w:rPr>
        <w:t xml:space="preserve">jurisprudence </w:t>
      </w:r>
      <w:r w:rsidRPr="00F60074">
        <w:rPr>
          <w:rFonts w:ascii="Bookman Old Style" w:hAnsi="Bookman Old Style"/>
          <w:sz w:val="24"/>
          <w:szCs w:val="24"/>
        </w:rPr>
        <w:t xml:space="preserve"> </w:t>
      </w:r>
      <w:proofErr w:type="spellStart"/>
      <w:r w:rsidRPr="00F60074">
        <w:rPr>
          <w:rFonts w:ascii="Bookman Old Style" w:hAnsi="Bookman Old Style"/>
          <w:sz w:val="24"/>
          <w:szCs w:val="24"/>
        </w:rPr>
        <w:t>Hanafi</w:t>
      </w:r>
      <w:proofErr w:type="spellEnd"/>
      <w:proofErr w:type="gramEnd"/>
      <w:r w:rsidR="00BE5EC9">
        <w:rPr>
          <w:rFonts w:ascii="Bookman Old Style" w:hAnsi="Bookman Old Style"/>
          <w:sz w:val="24"/>
          <w:szCs w:val="24"/>
        </w:rPr>
        <w:t xml:space="preserve">, Maliki, </w:t>
      </w:r>
      <w:proofErr w:type="spellStart"/>
      <w:r w:rsidR="00BE5EC9">
        <w:rPr>
          <w:rFonts w:ascii="Bookman Old Style" w:hAnsi="Bookman Old Style"/>
          <w:sz w:val="24"/>
          <w:szCs w:val="24"/>
        </w:rPr>
        <w:t>Shafi'i</w:t>
      </w:r>
      <w:proofErr w:type="spellEnd"/>
      <w:r w:rsidR="00BE5EC9">
        <w:rPr>
          <w:rFonts w:ascii="Bookman Old Style" w:hAnsi="Bookman Old Style"/>
          <w:sz w:val="24"/>
          <w:szCs w:val="24"/>
        </w:rPr>
        <w:t xml:space="preserve">, and </w:t>
      </w:r>
      <w:proofErr w:type="spellStart"/>
      <w:r w:rsidR="00BE5EC9">
        <w:rPr>
          <w:rFonts w:ascii="Bookman Old Style" w:hAnsi="Bookman Old Style"/>
          <w:sz w:val="24"/>
          <w:szCs w:val="24"/>
        </w:rPr>
        <w:t>Hanbali</w:t>
      </w:r>
      <w:proofErr w:type="spellEnd"/>
      <w:r w:rsidR="00BE5EC9">
        <w:rPr>
          <w:rFonts w:ascii="Bookman Old Style" w:hAnsi="Bookman Old Style"/>
          <w:sz w:val="24"/>
          <w:szCs w:val="24"/>
        </w:rPr>
        <w:t xml:space="preserve">  </w:t>
      </w:r>
      <w:r w:rsidRPr="00F60074">
        <w:rPr>
          <w:rFonts w:ascii="Bookman Old Style" w:hAnsi="Bookman Old Style"/>
          <w:sz w:val="24"/>
          <w:szCs w:val="24"/>
        </w:rPr>
        <w:t xml:space="preserve">have come to the </w:t>
      </w:r>
      <w:proofErr w:type="spellStart"/>
      <w:r w:rsidRPr="00F60074">
        <w:rPr>
          <w:rFonts w:ascii="Bookman Old Style" w:hAnsi="Bookman Old Style"/>
          <w:sz w:val="24"/>
          <w:szCs w:val="24"/>
        </w:rPr>
        <w:t>ijma</w:t>
      </w:r>
      <w:proofErr w:type="spellEnd"/>
      <w:r w:rsidRPr="00F60074">
        <w:rPr>
          <w:rFonts w:ascii="Bookman Old Style" w:hAnsi="Bookman Old Style"/>
          <w:sz w:val="24"/>
          <w:szCs w:val="24"/>
        </w:rPr>
        <w:t xml:space="preserve">' (consensus) that polyandry is absolutely haram without any significant difference of opinion, a condition which suggests that this prohibition is </w:t>
      </w:r>
      <w:proofErr w:type="spellStart"/>
      <w:r w:rsidRPr="00F60074">
        <w:rPr>
          <w:rFonts w:ascii="Bookman Old Style" w:hAnsi="Bookman Old Style"/>
          <w:sz w:val="24"/>
          <w:szCs w:val="24"/>
        </w:rPr>
        <w:t>qath'i</w:t>
      </w:r>
      <w:proofErr w:type="spellEnd"/>
      <w:r w:rsidRPr="00F60074">
        <w:rPr>
          <w:rFonts w:ascii="Bookman Old Style" w:hAnsi="Bookman Old Style"/>
          <w:sz w:val="24"/>
          <w:szCs w:val="24"/>
        </w:rPr>
        <w:t xml:space="preserve"> in nature and cannot be reinterpreted.</w:t>
      </w:r>
    </w:p>
    <w:p w:rsidR="00F60074" w:rsidRPr="00F60074" w:rsidRDefault="00F60074" w:rsidP="00F60074">
      <w:pPr>
        <w:pStyle w:val="ListParagraph"/>
        <w:numPr>
          <w:ilvl w:val="0"/>
          <w:numId w:val="38"/>
        </w:numPr>
        <w:spacing w:after="0"/>
        <w:jc w:val="both"/>
        <w:rPr>
          <w:rFonts w:ascii="Bookman Old Style" w:hAnsi="Bookman Old Style"/>
          <w:b/>
          <w:sz w:val="24"/>
          <w:szCs w:val="24"/>
          <w:lang w:val="id-ID"/>
        </w:rPr>
      </w:pPr>
      <w:proofErr w:type="spellStart"/>
      <w:r w:rsidRPr="00F60074">
        <w:rPr>
          <w:rStyle w:val="ypks7kbdpwfgdykd3qb9"/>
          <w:rFonts w:ascii="Bookman Old Style" w:hAnsi="Bookman Old Style"/>
          <w:b/>
          <w:sz w:val="24"/>
          <w:szCs w:val="24"/>
        </w:rPr>
        <w:t>Maqashid</w:t>
      </w:r>
      <w:proofErr w:type="spellEnd"/>
      <w:r w:rsidRPr="00F60074">
        <w:rPr>
          <w:rStyle w:val="ypks7kbdpwfgdykd3qb9"/>
          <w:rFonts w:ascii="Bookman Old Style" w:hAnsi="Bookman Old Style"/>
          <w:b/>
          <w:sz w:val="24"/>
          <w:szCs w:val="24"/>
        </w:rPr>
        <w:t xml:space="preserve"> Al-</w:t>
      </w:r>
      <w:proofErr w:type="spellStart"/>
      <w:r w:rsidRPr="00F60074">
        <w:rPr>
          <w:rStyle w:val="ypks7kbdpwfgdykd3qb9"/>
          <w:rFonts w:ascii="Bookman Old Style" w:hAnsi="Bookman Old Style"/>
          <w:b/>
          <w:sz w:val="24"/>
          <w:szCs w:val="24"/>
        </w:rPr>
        <w:t>Shariah's</w:t>
      </w:r>
      <w:proofErr w:type="spellEnd"/>
      <w:r w:rsidRPr="00F60074">
        <w:rPr>
          <w:rStyle w:val="ypks7kbdpwfgdykd3qb9"/>
          <w:rFonts w:ascii="Bookman Old Style" w:hAnsi="Bookman Old Style"/>
          <w:b/>
          <w:sz w:val="24"/>
          <w:szCs w:val="24"/>
        </w:rPr>
        <w:t xml:space="preserve"> review of polyandry</w:t>
      </w:r>
    </w:p>
    <w:p w:rsidR="00F60074" w:rsidRDefault="001C090D" w:rsidP="00A22DC7">
      <w:pPr>
        <w:spacing w:after="0"/>
        <w:ind w:firstLine="567"/>
        <w:jc w:val="both"/>
        <w:rPr>
          <w:rFonts w:ascii="Bookman Old Style" w:hAnsi="Bookman Old Style"/>
          <w:sz w:val="24"/>
          <w:szCs w:val="24"/>
        </w:rPr>
      </w:pPr>
      <w:r w:rsidRPr="001C090D">
        <w:rPr>
          <w:rFonts w:ascii="Bookman Old Style" w:hAnsi="Bookman Old Style"/>
          <w:sz w:val="24"/>
          <w:szCs w:val="24"/>
        </w:rPr>
        <w:t xml:space="preserve">The study of the Prohibition of polyandry cannot be separated from the framework of </w:t>
      </w:r>
      <w:proofErr w:type="spellStart"/>
      <w:r w:rsidRPr="001C090D">
        <w:rPr>
          <w:rFonts w:ascii="Bookman Old Style" w:hAnsi="Bookman Old Style"/>
          <w:sz w:val="24"/>
          <w:szCs w:val="24"/>
        </w:rPr>
        <w:t>maqashid</w:t>
      </w:r>
      <w:proofErr w:type="spellEnd"/>
      <w:r w:rsidRPr="001C090D">
        <w:rPr>
          <w:rFonts w:ascii="Bookman Old Style" w:hAnsi="Bookman Old Style"/>
          <w:sz w:val="24"/>
          <w:szCs w:val="24"/>
        </w:rPr>
        <w:t xml:space="preserve"> al-</w:t>
      </w:r>
      <w:proofErr w:type="spellStart"/>
      <w:r w:rsidRPr="001C090D">
        <w:rPr>
          <w:rFonts w:ascii="Bookman Old Style" w:hAnsi="Bookman Old Style"/>
          <w:sz w:val="24"/>
          <w:szCs w:val="24"/>
        </w:rPr>
        <w:t>Shariah</w:t>
      </w:r>
      <w:proofErr w:type="spellEnd"/>
      <w:r w:rsidRPr="001C090D">
        <w:rPr>
          <w:rFonts w:ascii="Bookman Old Style" w:hAnsi="Bookman Old Style"/>
          <w:sz w:val="24"/>
          <w:szCs w:val="24"/>
        </w:rPr>
        <w:t xml:space="preserve"> as the universal goal of Islamic </w:t>
      </w:r>
      <w:proofErr w:type="spellStart"/>
      <w:r w:rsidRPr="001C090D">
        <w:rPr>
          <w:rFonts w:ascii="Bookman Old Style" w:hAnsi="Bookman Old Style"/>
          <w:sz w:val="24"/>
          <w:szCs w:val="24"/>
        </w:rPr>
        <w:t>Shari'a</w:t>
      </w:r>
      <w:proofErr w:type="spellEnd"/>
      <w:r w:rsidRPr="001C090D">
        <w:rPr>
          <w:rFonts w:ascii="Bookman Old Style" w:hAnsi="Bookman Old Style"/>
          <w:sz w:val="24"/>
          <w:szCs w:val="24"/>
        </w:rPr>
        <w:t xml:space="preserve">. Polyandry directly threatens </w:t>
      </w:r>
      <w:proofErr w:type="spellStart"/>
      <w:r w:rsidRPr="001C090D">
        <w:rPr>
          <w:rFonts w:ascii="Bookman Old Style" w:hAnsi="Bookman Old Style"/>
          <w:sz w:val="24"/>
          <w:szCs w:val="24"/>
        </w:rPr>
        <w:t>hifzh</w:t>
      </w:r>
      <w:proofErr w:type="spellEnd"/>
      <w:r w:rsidRPr="001C090D">
        <w:rPr>
          <w:rFonts w:ascii="Bookman Old Style" w:hAnsi="Bookman Old Style"/>
          <w:sz w:val="24"/>
          <w:szCs w:val="24"/>
        </w:rPr>
        <w:t xml:space="preserve"> al-</w:t>
      </w:r>
      <w:proofErr w:type="spellStart"/>
      <w:r w:rsidRPr="001C090D">
        <w:rPr>
          <w:rFonts w:ascii="Bookman Old Style" w:hAnsi="Bookman Old Style"/>
          <w:sz w:val="24"/>
          <w:szCs w:val="24"/>
        </w:rPr>
        <w:t>nasl</w:t>
      </w:r>
      <w:proofErr w:type="spellEnd"/>
      <w:r w:rsidRPr="001C090D">
        <w:rPr>
          <w:rFonts w:ascii="Bookman Old Style" w:hAnsi="Bookman Old Style"/>
          <w:sz w:val="24"/>
          <w:szCs w:val="24"/>
        </w:rPr>
        <w:t xml:space="preserve"> (guardianship of offspring) because the uncertainty of the identity of the biological father of a child will cause confusion in the </w:t>
      </w:r>
      <w:proofErr w:type="spellStart"/>
      <w:r w:rsidRPr="001C090D">
        <w:rPr>
          <w:rFonts w:ascii="Bookman Old Style" w:hAnsi="Bookman Old Style"/>
          <w:sz w:val="24"/>
          <w:szCs w:val="24"/>
        </w:rPr>
        <w:t>nasab</w:t>
      </w:r>
      <w:proofErr w:type="spellEnd"/>
      <w:r w:rsidRPr="001C090D">
        <w:rPr>
          <w:rFonts w:ascii="Bookman Old Style" w:hAnsi="Bookman Old Style"/>
          <w:sz w:val="24"/>
          <w:szCs w:val="24"/>
        </w:rPr>
        <w:t xml:space="preserve"> system, inheritance rights, guardianship, and maintenance responsibilities which are fundamental pillars of Islamic Family Law.</w:t>
      </w:r>
      <w:r w:rsidR="00523487">
        <w:rPr>
          <w:rStyle w:val="FootnoteReference"/>
          <w:rFonts w:ascii="Bookman Old Style" w:hAnsi="Bookman Old Style"/>
          <w:sz w:val="24"/>
          <w:szCs w:val="24"/>
        </w:rPr>
        <w:footnoteReference w:id="11"/>
      </w:r>
      <w:r w:rsidRPr="001C090D">
        <w:rPr>
          <w:rFonts w:ascii="Bookman Old Style" w:hAnsi="Bookman Old Style"/>
          <w:sz w:val="24"/>
          <w:szCs w:val="24"/>
        </w:rPr>
        <w:t xml:space="preserve"> The ambiguity of this lineage is not merely an administrative issue, but touches on the dimension of justice for the child born from the relationship.  In addition, the practice of polyandry is also contrary to </w:t>
      </w:r>
      <w:proofErr w:type="spellStart"/>
      <w:r w:rsidRPr="001C090D">
        <w:rPr>
          <w:rFonts w:ascii="Bookman Old Style" w:hAnsi="Bookman Old Style"/>
          <w:sz w:val="24"/>
          <w:szCs w:val="24"/>
        </w:rPr>
        <w:t>hifzh</w:t>
      </w:r>
      <w:proofErr w:type="spellEnd"/>
      <w:r w:rsidRPr="001C090D">
        <w:rPr>
          <w:rFonts w:ascii="Bookman Old Style" w:hAnsi="Bookman Old Style"/>
          <w:sz w:val="24"/>
          <w:szCs w:val="24"/>
        </w:rPr>
        <w:t xml:space="preserve"> al-'</w:t>
      </w:r>
      <w:proofErr w:type="spellStart"/>
      <w:r w:rsidRPr="001C090D">
        <w:rPr>
          <w:rFonts w:ascii="Bookman Old Style" w:hAnsi="Bookman Old Style"/>
          <w:sz w:val="24"/>
          <w:szCs w:val="24"/>
        </w:rPr>
        <w:t>irdh</w:t>
      </w:r>
      <w:proofErr w:type="spellEnd"/>
      <w:r w:rsidRPr="001C090D">
        <w:rPr>
          <w:rFonts w:ascii="Bookman Old Style" w:hAnsi="Bookman Old Style"/>
          <w:sz w:val="24"/>
          <w:szCs w:val="24"/>
        </w:rPr>
        <w:t xml:space="preserve"> (guard of </w:t>
      </w:r>
      <w:proofErr w:type="spellStart"/>
      <w:r w:rsidRPr="001C090D">
        <w:rPr>
          <w:rFonts w:ascii="Bookman Old Style" w:hAnsi="Bookman Old Style"/>
          <w:sz w:val="24"/>
          <w:szCs w:val="24"/>
        </w:rPr>
        <w:t>honor</w:t>
      </w:r>
      <w:proofErr w:type="spellEnd"/>
      <w:r w:rsidRPr="001C090D">
        <w:rPr>
          <w:rFonts w:ascii="Bookman Old Style" w:hAnsi="Bookman Old Style"/>
          <w:sz w:val="24"/>
          <w:szCs w:val="24"/>
        </w:rPr>
        <w:t xml:space="preserve">), because in the Islamic view the </w:t>
      </w:r>
      <w:proofErr w:type="spellStart"/>
      <w:r w:rsidRPr="001C090D">
        <w:rPr>
          <w:rFonts w:ascii="Bookman Old Style" w:hAnsi="Bookman Old Style"/>
          <w:sz w:val="24"/>
          <w:szCs w:val="24"/>
        </w:rPr>
        <w:t>honor</w:t>
      </w:r>
      <w:proofErr w:type="spellEnd"/>
      <w:r w:rsidRPr="001C090D">
        <w:rPr>
          <w:rFonts w:ascii="Bookman Old Style" w:hAnsi="Bookman Old Style"/>
          <w:sz w:val="24"/>
          <w:szCs w:val="24"/>
        </w:rPr>
        <w:t xml:space="preserve"> of women and families is maintained through a clear and orderly marriage system. Polyandry has the potential to damage the moral image, create social stigma, and destroy the principle of </w:t>
      </w:r>
      <w:proofErr w:type="spellStart"/>
      <w:r w:rsidRPr="001C090D">
        <w:rPr>
          <w:rFonts w:ascii="Bookman Old Style" w:hAnsi="Bookman Old Style"/>
          <w:sz w:val="24"/>
          <w:szCs w:val="24"/>
        </w:rPr>
        <w:t>qiwamah</w:t>
      </w:r>
      <w:proofErr w:type="spellEnd"/>
      <w:r w:rsidRPr="001C090D">
        <w:rPr>
          <w:rFonts w:ascii="Bookman Old Style" w:hAnsi="Bookman Old Style"/>
          <w:sz w:val="24"/>
          <w:szCs w:val="24"/>
        </w:rPr>
        <w:t xml:space="preserve"> (Family Leadership) which is the foundation of household order in Islam.</w:t>
      </w:r>
    </w:p>
    <w:p w:rsidR="001C090D" w:rsidRPr="00F60074" w:rsidRDefault="001C090D" w:rsidP="001C090D">
      <w:pPr>
        <w:pStyle w:val="ListParagraph"/>
        <w:numPr>
          <w:ilvl w:val="0"/>
          <w:numId w:val="38"/>
        </w:numPr>
        <w:spacing w:after="0"/>
        <w:jc w:val="both"/>
        <w:rPr>
          <w:rFonts w:ascii="Bookman Old Style" w:hAnsi="Bookman Old Style"/>
          <w:b/>
          <w:sz w:val="24"/>
          <w:szCs w:val="24"/>
          <w:lang w:val="id-ID"/>
        </w:rPr>
      </w:pPr>
      <w:r w:rsidRPr="001C090D">
        <w:rPr>
          <w:rStyle w:val="ypks7kbdpwfgdykd3qb9"/>
          <w:rFonts w:ascii="Bookman Old Style" w:hAnsi="Bookman Old Style"/>
          <w:b/>
          <w:sz w:val="24"/>
          <w:szCs w:val="24"/>
        </w:rPr>
        <w:t>Polyandry Prevention Mechanism According To Islamic Law</w:t>
      </w:r>
    </w:p>
    <w:p w:rsidR="001C090D" w:rsidRPr="00E72D0D" w:rsidRDefault="00523487" w:rsidP="00A22DC7">
      <w:pPr>
        <w:spacing w:after="0"/>
        <w:ind w:firstLine="567"/>
        <w:jc w:val="both"/>
        <w:rPr>
          <w:rFonts w:ascii="Bookman Old Style" w:hAnsi="Bookman Old Style"/>
          <w:sz w:val="24"/>
          <w:szCs w:val="24"/>
        </w:rPr>
      </w:pPr>
      <w:r w:rsidRPr="00523487">
        <w:rPr>
          <w:rFonts w:ascii="Bookman Old Style" w:hAnsi="Bookman Old Style"/>
          <w:sz w:val="24"/>
          <w:szCs w:val="24"/>
        </w:rPr>
        <w:t xml:space="preserve">Islamic law not only serves as a system of prohibitions, but also provides preventive and curative mechanisms of prevention. First, the role of religious institutions such as </w:t>
      </w:r>
      <w:proofErr w:type="spellStart"/>
      <w:r w:rsidRPr="00523487">
        <w:rPr>
          <w:rFonts w:ascii="Bookman Old Style" w:hAnsi="Bookman Old Style"/>
          <w:sz w:val="24"/>
          <w:szCs w:val="24"/>
        </w:rPr>
        <w:t>ulama</w:t>
      </w:r>
      <w:proofErr w:type="spellEnd"/>
      <w:r w:rsidRPr="00523487">
        <w:rPr>
          <w:rFonts w:ascii="Bookman Old Style" w:hAnsi="Bookman Old Style"/>
          <w:sz w:val="24"/>
          <w:szCs w:val="24"/>
        </w:rPr>
        <w:t xml:space="preserve">, </w:t>
      </w:r>
      <w:proofErr w:type="spellStart"/>
      <w:r w:rsidRPr="00523487">
        <w:rPr>
          <w:rFonts w:ascii="Bookman Old Style" w:hAnsi="Bookman Old Style"/>
          <w:sz w:val="24"/>
          <w:szCs w:val="24"/>
        </w:rPr>
        <w:t>majelis</w:t>
      </w:r>
      <w:proofErr w:type="spellEnd"/>
      <w:r w:rsidRPr="00523487">
        <w:rPr>
          <w:rFonts w:ascii="Bookman Old Style" w:hAnsi="Bookman Old Style"/>
          <w:sz w:val="24"/>
          <w:szCs w:val="24"/>
        </w:rPr>
        <w:t xml:space="preserve"> </w:t>
      </w:r>
      <w:proofErr w:type="spellStart"/>
      <w:r w:rsidRPr="00523487">
        <w:rPr>
          <w:rFonts w:ascii="Bookman Old Style" w:hAnsi="Bookman Old Style"/>
          <w:sz w:val="24"/>
          <w:szCs w:val="24"/>
        </w:rPr>
        <w:t>taklim</w:t>
      </w:r>
      <w:proofErr w:type="spellEnd"/>
      <w:r w:rsidRPr="00523487">
        <w:rPr>
          <w:rFonts w:ascii="Bookman Old Style" w:hAnsi="Bookman Old Style"/>
          <w:sz w:val="24"/>
          <w:szCs w:val="24"/>
        </w:rPr>
        <w:t xml:space="preserve">, and Islamic educational institutions is very strategic in instilling an understanding of marriage law to the community from an early age, especially through Sharia-based premarital guidance programs. Second, the </w:t>
      </w:r>
      <w:proofErr w:type="spellStart"/>
      <w:r w:rsidRPr="00523487">
        <w:rPr>
          <w:rFonts w:ascii="Bookman Old Style" w:hAnsi="Bookman Old Style"/>
          <w:sz w:val="24"/>
          <w:szCs w:val="24"/>
        </w:rPr>
        <w:t>TA'zir</w:t>
      </w:r>
      <w:proofErr w:type="spellEnd"/>
      <w:r w:rsidRPr="00523487">
        <w:rPr>
          <w:rFonts w:ascii="Bookman Old Style" w:hAnsi="Bookman Old Style"/>
          <w:sz w:val="24"/>
          <w:szCs w:val="24"/>
        </w:rPr>
        <w:t xml:space="preserve"> approach as an instrument of sanction gives the ruler or judge the flexibility to impose proportionate punishment on polyandrous offenders, given that there are no </w:t>
      </w:r>
      <w:proofErr w:type="spellStart"/>
      <w:r w:rsidRPr="00523487">
        <w:rPr>
          <w:rFonts w:ascii="Bookman Old Style" w:hAnsi="Bookman Old Style"/>
          <w:sz w:val="24"/>
          <w:szCs w:val="24"/>
        </w:rPr>
        <w:t>hudud</w:t>
      </w:r>
      <w:proofErr w:type="spellEnd"/>
      <w:r w:rsidRPr="00523487">
        <w:rPr>
          <w:rFonts w:ascii="Bookman Old Style" w:hAnsi="Bookman Old Style"/>
          <w:sz w:val="24"/>
          <w:szCs w:val="24"/>
        </w:rPr>
        <w:t xml:space="preserve"> provisions that specifically regulate this criminal act. Third, fostering families based on Islamic values through </w:t>
      </w:r>
      <w:proofErr w:type="spellStart"/>
      <w:r w:rsidRPr="00523487">
        <w:rPr>
          <w:rFonts w:ascii="Bookman Old Style" w:hAnsi="Bookman Old Style"/>
          <w:sz w:val="24"/>
          <w:szCs w:val="24"/>
        </w:rPr>
        <w:t>da'wah</w:t>
      </w:r>
      <w:proofErr w:type="spellEnd"/>
      <w:r w:rsidRPr="00523487">
        <w:rPr>
          <w:rFonts w:ascii="Bookman Old Style" w:hAnsi="Bookman Old Style"/>
          <w:sz w:val="24"/>
          <w:szCs w:val="24"/>
        </w:rPr>
        <w:t xml:space="preserve">, </w:t>
      </w:r>
      <w:proofErr w:type="spellStart"/>
      <w:r w:rsidRPr="00523487">
        <w:rPr>
          <w:rFonts w:ascii="Bookman Old Style" w:hAnsi="Bookman Old Style"/>
          <w:sz w:val="24"/>
          <w:szCs w:val="24"/>
        </w:rPr>
        <w:t>counseling</w:t>
      </w:r>
      <w:proofErr w:type="spellEnd"/>
      <w:r w:rsidRPr="00523487">
        <w:rPr>
          <w:rFonts w:ascii="Bookman Old Style" w:hAnsi="Bookman Old Style"/>
          <w:sz w:val="24"/>
          <w:szCs w:val="24"/>
        </w:rPr>
        <w:t xml:space="preserve">, and </w:t>
      </w:r>
      <w:r w:rsidRPr="00523487">
        <w:rPr>
          <w:rFonts w:ascii="Bookman Old Style" w:hAnsi="Bookman Old Style"/>
          <w:sz w:val="24"/>
          <w:szCs w:val="24"/>
        </w:rPr>
        <w:lastRenderedPageBreak/>
        <w:t xml:space="preserve">strengthening religious literacy is an ongoing preventive measure to prevent the recurrence of deviant practices in </w:t>
      </w:r>
      <w:proofErr w:type="gramStart"/>
      <w:r w:rsidRPr="00523487">
        <w:rPr>
          <w:rFonts w:ascii="Bookman Old Style" w:hAnsi="Bookman Old Style"/>
          <w:sz w:val="24"/>
          <w:szCs w:val="24"/>
        </w:rPr>
        <w:t>marriage .</w:t>
      </w:r>
      <w:proofErr w:type="gramEnd"/>
      <w:r>
        <w:rPr>
          <w:rStyle w:val="FootnoteReference"/>
          <w:rFonts w:ascii="Bookman Old Style" w:hAnsi="Bookman Old Style"/>
          <w:sz w:val="24"/>
          <w:szCs w:val="24"/>
        </w:rPr>
        <w:footnoteReference w:id="12"/>
      </w:r>
    </w:p>
    <w:p w:rsidR="00903EC4" w:rsidRPr="00523487" w:rsidRDefault="00523487" w:rsidP="00523487">
      <w:pPr>
        <w:pStyle w:val="ListParagraph"/>
        <w:numPr>
          <w:ilvl w:val="0"/>
          <w:numId w:val="29"/>
        </w:numPr>
        <w:spacing w:after="0"/>
        <w:jc w:val="both"/>
        <w:rPr>
          <w:rStyle w:val="ypks7kbdpwfgdykd3qb9"/>
          <w:rFonts w:ascii="Bookman Old Style" w:hAnsi="Bookman Old Style"/>
          <w:b/>
          <w:sz w:val="24"/>
          <w:szCs w:val="24"/>
          <w:lang w:val="id-ID"/>
        </w:rPr>
      </w:pPr>
      <w:r w:rsidRPr="00523487">
        <w:rPr>
          <w:rStyle w:val="ypks7kbdpwfgdykd3qb9"/>
          <w:rFonts w:ascii="Bookman Old Style" w:hAnsi="Bookman Old Style"/>
          <w:b/>
          <w:sz w:val="24"/>
          <w:szCs w:val="24"/>
        </w:rPr>
        <w:t>Polyandry in the perspective of Law No. 1 year 2023 and Indonesian marriage regulation</w:t>
      </w:r>
    </w:p>
    <w:p w:rsidR="00523487" w:rsidRPr="00523487" w:rsidRDefault="00523487" w:rsidP="00523487">
      <w:pPr>
        <w:pStyle w:val="ListParagraph"/>
        <w:numPr>
          <w:ilvl w:val="0"/>
          <w:numId w:val="41"/>
        </w:numPr>
        <w:spacing w:after="0"/>
        <w:jc w:val="both"/>
        <w:rPr>
          <w:rStyle w:val="ypks7kbdpwfgdykd3qb9"/>
          <w:rFonts w:ascii="Bookman Old Style" w:hAnsi="Bookman Old Style"/>
          <w:b/>
          <w:sz w:val="24"/>
          <w:szCs w:val="24"/>
          <w:lang w:val="id-ID"/>
        </w:rPr>
      </w:pPr>
      <w:r w:rsidRPr="00523487">
        <w:rPr>
          <w:rStyle w:val="ypks7kbdpwfgdykd3qb9"/>
          <w:rFonts w:ascii="Bookman Old Style" w:hAnsi="Bookman Old Style"/>
          <w:b/>
          <w:sz w:val="24"/>
          <w:szCs w:val="24"/>
        </w:rPr>
        <w:t>Construction of polyandry Criminal Law in the new criminal code</w:t>
      </w:r>
    </w:p>
    <w:p w:rsidR="00523487" w:rsidRDefault="00523487" w:rsidP="00A22DC7">
      <w:pPr>
        <w:spacing w:after="0"/>
        <w:ind w:firstLine="720"/>
        <w:jc w:val="both"/>
        <w:rPr>
          <w:rFonts w:ascii="Bookman Old Style" w:hAnsi="Bookman Old Style"/>
          <w:sz w:val="24"/>
          <w:szCs w:val="24"/>
        </w:rPr>
      </w:pPr>
      <w:r w:rsidRPr="00523487">
        <w:rPr>
          <w:rFonts w:ascii="Bookman Old Style" w:hAnsi="Bookman Old Style"/>
          <w:sz w:val="24"/>
          <w:szCs w:val="24"/>
        </w:rPr>
        <w:t>In Indonesian positive law, the Prohibition of polyandry is not explicitly mentioned using the terminology, but is implicitly regulated through the principle of monogamy contained in Article 3 Paragraph (1) of law no. 1 of 1974 on marriage, which confirmed that a woman should have only one husband. This provision is reinforced by Article 9 of the same law, which prohibits a person who is still in a committed marriage from entering into a new marriage. Regulatory reform through law No. 16 of 2019 as an amendment to the marriage law, it also strengthens the orderly and legally valid marriage system, although the focus of the change is on the minimum age limit for marriage.</w:t>
      </w:r>
      <w:r>
        <w:rPr>
          <w:rStyle w:val="FootnoteReference"/>
          <w:rFonts w:ascii="Bookman Old Style" w:hAnsi="Bookman Old Style"/>
          <w:sz w:val="24"/>
          <w:szCs w:val="24"/>
        </w:rPr>
        <w:footnoteReference w:id="13"/>
      </w:r>
      <w:r w:rsidRPr="00523487">
        <w:rPr>
          <w:rFonts w:ascii="Bookman Old Style" w:hAnsi="Bookman Old Style"/>
          <w:sz w:val="24"/>
          <w:szCs w:val="24"/>
        </w:rPr>
        <w:t xml:space="preserve"> In the context of Law No. 1 of 2023 concerning the new criminal code, polyandry can be qualified as a form of bigamy or multiple marriage that meets the elements of </w:t>
      </w:r>
      <w:proofErr w:type="spellStart"/>
      <w:r w:rsidRPr="00523487">
        <w:rPr>
          <w:rFonts w:ascii="Bookman Old Style" w:hAnsi="Bookman Old Style"/>
          <w:sz w:val="24"/>
          <w:szCs w:val="24"/>
        </w:rPr>
        <w:t>actus</w:t>
      </w:r>
      <w:proofErr w:type="spellEnd"/>
      <w:r w:rsidRPr="00523487">
        <w:rPr>
          <w:rFonts w:ascii="Bookman Old Style" w:hAnsi="Bookman Old Style"/>
          <w:sz w:val="24"/>
          <w:szCs w:val="24"/>
        </w:rPr>
        <w:t xml:space="preserve"> </w:t>
      </w:r>
      <w:proofErr w:type="spellStart"/>
      <w:proofErr w:type="gramStart"/>
      <w:r w:rsidRPr="00523487">
        <w:rPr>
          <w:rFonts w:ascii="Bookman Old Style" w:hAnsi="Bookman Old Style"/>
          <w:sz w:val="24"/>
          <w:szCs w:val="24"/>
        </w:rPr>
        <w:t>reus</w:t>
      </w:r>
      <w:proofErr w:type="spellEnd"/>
      <w:proofErr w:type="gramEnd"/>
      <w:r w:rsidRPr="00523487">
        <w:rPr>
          <w:rFonts w:ascii="Bookman Old Style" w:hAnsi="Bookman Old Style"/>
          <w:sz w:val="24"/>
          <w:szCs w:val="24"/>
        </w:rPr>
        <w:t xml:space="preserve"> (tort) and </w:t>
      </w:r>
      <w:proofErr w:type="spellStart"/>
      <w:r w:rsidRPr="00523487">
        <w:rPr>
          <w:rFonts w:ascii="Bookman Old Style" w:hAnsi="Bookman Old Style"/>
          <w:sz w:val="24"/>
          <w:szCs w:val="24"/>
        </w:rPr>
        <w:t>mens</w:t>
      </w:r>
      <w:proofErr w:type="spellEnd"/>
      <w:r w:rsidRPr="00523487">
        <w:rPr>
          <w:rFonts w:ascii="Bookman Old Style" w:hAnsi="Bookman Old Style"/>
          <w:sz w:val="24"/>
          <w:szCs w:val="24"/>
        </w:rPr>
        <w:t xml:space="preserve"> </w:t>
      </w:r>
      <w:proofErr w:type="spellStart"/>
      <w:r w:rsidRPr="00523487">
        <w:rPr>
          <w:rFonts w:ascii="Bookman Old Style" w:hAnsi="Bookman Old Style"/>
          <w:sz w:val="24"/>
          <w:szCs w:val="24"/>
        </w:rPr>
        <w:t>rea</w:t>
      </w:r>
      <w:proofErr w:type="spellEnd"/>
      <w:r w:rsidRPr="00523487">
        <w:rPr>
          <w:rFonts w:ascii="Bookman Old Style" w:hAnsi="Bookman Old Style"/>
          <w:sz w:val="24"/>
          <w:szCs w:val="24"/>
        </w:rPr>
        <w:t xml:space="preserve"> (intentional) as stipulated in the general provisions of criminal offenses.</w:t>
      </w:r>
    </w:p>
    <w:p w:rsidR="00523487" w:rsidRPr="00523487" w:rsidRDefault="00523487" w:rsidP="00523487">
      <w:pPr>
        <w:pStyle w:val="ListParagraph"/>
        <w:numPr>
          <w:ilvl w:val="0"/>
          <w:numId w:val="41"/>
        </w:numPr>
        <w:spacing w:after="0"/>
        <w:jc w:val="both"/>
        <w:rPr>
          <w:rStyle w:val="ypks7kbdpwfgdykd3qb9"/>
          <w:rFonts w:ascii="Bookman Old Style" w:hAnsi="Bookman Old Style"/>
          <w:b/>
          <w:sz w:val="24"/>
          <w:szCs w:val="24"/>
          <w:lang w:val="id-ID"/>
        </w:rPr>
      </w:pPr>
      <w:r w:rsidRPr="00523487">
        <w:rPr>
          <w:rStyle w:val="ypks7kbdpwfgdykd3qb9"/>
          <w:rFonts w:ascii="Bookman Old Style" w:hAnsi="Bookman Old Style"/>
          <w:b/>
          <w:sz w:val="24"/>
          <w:szCs w:val="24"/>
        </w:rPr>
        <w:t>Criminal sanctions and enforcement mechanisms</w:t>
      </w:r>
    </w:p>
    <w:p w:rsidR="00523487" w:rsidRDefault="00523487" w:rsidP="00A22DC7">
      <w:pPr>
        <w:spacing w:after="0"/>
        <w:ind w:firstLine="720"/>
        <w:jc w:val="both"/>
        <w:rPr>
          <w:rFonts w:ascii="Bookman Old Style" w:hAnsi="Bookman Old Style"/>
          <w:sz w:val="24"/>
          <w:szCs w:val="24"/>
        </w:rPr>
      </w:pPr>
      <w:r w:rsidRPr="00523487">
        <w:rPr>
          <w:rFonts w:ascii="Bookman Old Style" w:hAnsi="Bookman Old Style"/>
          <w:sz w:val="24"/>
          <w:szCs w:val="24"/>
        </w:rPr>
        <w:t>The application of criminal sanctions against polyandrous perpetrators has received attention in Indonesian judicial practice. Based on the analysis of court decisions, there are variations in the judge's decision that depend on whether or not the elements of the criminal offense are met cumulatively. In some cases, the element of "entering into marriage" becomes a critical point that determines whether the defendant can be convicted or acquitted. Cases with a conviction generally occur when it is proven that the perpetrator knows his marital status is still valid but still entered into a new marriage, thus fulfilling the element of intent in the provisions of criminal law. In the new penal code, the main crimes that can be imposed include imprisonment and fines, which aim to provide a deterrent effect while maintaining legal order in the institution of marriage.</w:t>
      </w:r>
    </w:p>
    <w:p w:rsidR="00523487" w:rsidRPr="00523487" w:rsidRDefault="00523487" w:rsidP="00523487">
      <w:pPr>
        <w:pStyle w:val="ListParagraph"/>
        <w:numPr>
          <w:ilvl w:val="0"/>
          <w:numId w:val="41"/>
        </w:numPr>
        <w:spacing w:after="0"/>
        <w:jc w:val="both"/>
        <w:rPr>
          <w:rStyle w:val="ypks7kbdpwfgdykd3qb9"/>
          <w:rFonts w:ascii="Bookman Old Style" w:hAnsi="Bookman Old Style"/>
          <w:b/>
          <w:sz w:val="24"/>
          <w:szCs w:val="24"/>
          <w:lang w:val="id-ID"/>
        </w:rPr>
      </w:pPr>
      <w:r w:rsidRPr="00523487">
        <w:rPr>
          <w:rStyle w:val="ypks7kbdpwfgdykd3qb9"/>
          <w:rFonts w:ascii="Bookman Old Style" w:hAnsi="Bookman Old Style"/>
          <w:b/>
          <w:sz w:val="24"/>
          <w:szCs w:val="24"/>
        </w:rPr>
        <w:t>Prevention of polyandry in positive law</w:t>
      </w:r>
    </w:p>
    <w:p w:rsidR="00523487" w:rsidRPr="007C7EA5" w:rsidRDefault="00523487" w:rsidP="00A22DC7">
      <w:pPr>
        <w:spacing w:after="0"/>
        <w:ind w:firstLine="720"/>
        <w:jc w:val="both"/>
        <w:rPr>
          <w:rFonts w:ascii="Bookman Old Style" w:hAnsi="Bookman Old Style"/>
          <w:sz w:val="24"/>
          <w:szCs w:val="24"/>
        </w:rPr>
      </w:pPr>
      <w:r w:rsidRPr="00523487">
        <w:rPr>
          <w:rFonts w:ascii="Bookman Old Style" w:hAnsi="Bookman Old Style"/>
          <w:sz w:val="24"/>
          <w:szCs w:val="24"/>
        </w:rPr>
        <w:t xml:space="preserve">The prevention mechanism in positive law rests on the administrative system of marriage registration as required by Article 2 Paragraph (2) of law no. 1 of 1974, which requires that every marriage be recorded according to applicable laws and regulations. This recording obligation becomes an </w:t>
      </w:r>
      <w:r w:rsidRPr="00523487">
        <w:rPr>
          <w:rFonts w:ascii="Bookman Old Style" w:hAnsi="Bookman Old Style"/>
          <w:sz w:val="24"/>
          <w:szCs w:val="24"/>
        </w:rPr>
        <w:lastRenderedPageBreak/>
        <w:t>instrument of verification that prevents a person from secretly performing multiple marriages. In this context, the Office of Religious Affairs (</w:t>
      </w:r>
      <w:proofErr w:type="spellStart"/>
      <w:r w:rsidRPr="00523487">
        <w:rPr>
          <w:rFonts w:ascii="Bookman Old Style" w:hAnsi="Bookman Old Style"/>
          <w:sz w:val="24"/>
          <w:szCs w:val="24"/>
        </w:rPr>
        <w:t>Kua</w:t>
      </w:r>
      <w:proofErr w:type="spellEnd"/>
      <w:r w:rsidRPr="00523487">
        <w:rPr>
          <w:rFonts w:ascii="Bookman Old Style" w:hAnsi="Bookman Old Style"/>
          <w:sz w:val="24"/>
          <w:szCs w:val="24"/>
        </w:rPr>
        <w:t xml:space="preserve">) plays a central role as a marriage registrar institution for Muslims, with the authority to refuse registration if there are indications of violations of marriage law. The weak administrative supervision, the rampant practice of </w:t>
      </w:r>
      <w:proofErr w:type="spellStart"/>
      <w:r w:rsidRPr="00523487">
        <w:rPr>
          <w:rFonts w:ascii="Bookman Old Style" w:hAnsi="Bookman Old Style"/>
          <w:sz w:val="24"/>
          <w:szCs w:val="24"/>
        </w:rPr>
        <w:t>sirri</w:t>
      </w:r>
      <w:proofErr w:type="spellEnd"/>
      <w:r w:rsidRPr="00523487">
        <w:rPr>
          <w:rFonts w:ascii="Bookman Old Style" w:hAnsi="Bookman Old Style"/>
          <w:sz w:val="24"/>
          <w:szCs w:val="24"/>
        </w:rPr>
        <w:t xml:space="preserve"> marriage, and the low legal awareness of the community in certain areas are the main factors that inhibit the effectiveness of formal polyandry prevention.</w:t>
      </w:r>
    </w:p>
    <w:p w:rsidR="00536F71" w:rsidRPr="00523487" w:rsidRDefault="00523487" w:rsidP="00523487">
      <w:pPr>
        <w:pStyle w:val="ListParagraph"/>
        <w:numPr>
          <w:ilvl w:val="0"/>
          <w:numId w:val="29"/>
        </w:numPr>
        <w:spacing w:after="0"/>
        <w:jc w:val="both"/>
        <w:rPr>
          <w:rStyle w:val="ypks7kbdpwfgdykd3qb9"/>
          <w:rFonts w:ascii="Bookman Old Style" w:hAnsi="Bookman Old Style"/>
          <w:b/>
          <w:sz w:val="24"/>
          <w:szCs w:val="24"/>
          <w:lang w:val="id-ID"/>
        </w:rPr>
      </w:pPr>
      <w:r w:rsidRPr="00523487">
        <w:rPr>
          <w:rStyle w:val="ypks7kbdpwfgdykd3qb9"/>
          <w:rFonts w:ascii="Bookman Old Style" w:hAnsi="Bookman Old Style"/>
          <w:b/>
          <w:sz w:val="24"/>
          <w:szCs w:val="24"/>
        </w:rPr>
        <w:t>Synchronization of Islamic law and Law No. 1 year 2023 in polyandry Prevention</w:t>
      </w:r>
    </w:p>
    <w:p w:rsidR="00523487" w:rsidRPr="00523487" w:rsidRDefault="00523487" w:rsidP="00523487">
      <w:pPr>
        <w:pStyle w:val="ListParagraph"/>
        <w:numPr>
          <w:ilvl w:val="0"/>
          <w:numId w:val="44"/>
        </w:numPr>
        <w:spacing w:after="0"/>
        <w:jc w:val="both"/>
        <w:rPr>
          <w:rStyle w:val="ypks7kbdpwfgdykd3qb9"/>
          <w:rFonts w:ascii="Bookman Old Style" w:hAnsi="Bookman Old Style"/>
          <w:b/>
          <w:sz w:val="24"/>
          <w:szCs w:val="24"/>
          <w:lang w:val="id-ID"/>
        </w:rPr>
      </w:pPr>
      <w:r w:rsidRPr="00523487">
        <w:rPr>
          <w:rStyle w:val="ypks7kbdpwfgdykd3qb9"/>
          <w:rFonts w:ascii="Bookman Old Style" w:hAnsi="Bookman Old Style"/>
          <w:b/>
          <w:sz w:val="24"/>
          <w:szCs w:val="24"/>
        </w:rPr>
        <w:t>Law</w:t>
      </w:r>
      <w:r>
        <w:rPr>
          <w:rStyle w:val="ypks7kbdpwfgdykd3qb9"/>
          <w:rFonts w:ascii="Bookman Old Style" w:hAnsi="Bookman Old Style"/>
          <w:b/>
          <w:sz w:val="24"/>
          <w:szCs w:val="24"/>
        </w:rPr>
        <w:t xml:space="preserve"> </w:t>
      </w:r>
      <w:r w:rsidRPr="00523487">
        <w:rPr>
          <w:rStyle w:val="ypks7kbdpwfgdykd3qb9"/>
          <w:rFonts w:ascii="Bookman Old Style" w:hAnsi="Bookman Old Style"/>
          <w:b/>
          <w:sz w:val="24"/>
          <w:szCs w:val="24"/>
        </w:rPr>
        <w:t>The point of convergence between Islamic law and positive law</w:t>
      </w:r>
    </w:p>
    <w:p w:rsidR="00523487" w:rsidRPr="00A42B84" w:rsidRDefault="00523487" w:rsidP="00A42B84">
      <w:pPr>
        <w:spacing w:after="0"/>
        <w:ind w:firstLine="720"/>
        <w:jc w:val="both"/>
        <w:rPr>
          <w:rFonts w:ascii="Bookman Old Style" w:hAnsi="Bookman Old Style"/>
          <w:sz w:val="24"/>
          <w:szCs w:val="24"/>
        </w:rPr>
      </w:pPr>
      <w:r w:rsidRPr="00523487">
        <w:rPr>
          <w:rFonts w:ascii="Bookman Old Style" w:hAnsi="Bookman Old Style"/>
          <w:sz w:val="24"/>
          <w:szCs w:val="24"/>
        </w:rPr>
        <w:t xml:space="preserve">There is a very strong intersection between Islamic law and Indonesian positive law in viewing polyandry as a prohibited act and must be prevented. Both emphasized the principles of family clarity, the protection of </w:t>
      </w:r>
      <w:proofErr w:type="spellStart"/>
      <w:r w:rsidRPr="00523487">
        <w:rPr>
          <w:rFonts w:ascii="Bookman Old Style" w:hAnsi="Bookman Old Style"/>
          <w:sz w:val="24"/>
          <w:szCs w:val="24"/>
        </w:rPr>
        <w:t>honor</w:t>
      </w:r>
      <w:proofErr w:type="spellEnd"/>
      <w:r w:rsidRPr="00523487">
        <w:rPr>
          <w:rFonts w:ascii="Bookman Old Style" w:hAnsi="Bookman Old Style"/>
          <w:sz w:val="24"/>
          <w:szCs w:val="24"/>
        </w:rPr>
        <w:t>, and the stability of the family institution as fundamental values that cannot be compromised. Indonesian positive law even explicitly recognizes the role of religious law in determining the validity of marriage, as contained in Article 2 Paragraph (1) of law no. 1 of 1974 which states that marriage is valid if it is carried out according to the laws of each religion and belief.</w:t>
      </w:r>
      <w:r w:rsidR="00991F03">
        <w:rPr>
          <w:rStyle w:val="FootnoteReference"/>
          <w:rFonts w:ascii="Bookman Old Style" w:hAnsi="Bookman Old Style"/>
          <w:sz w:val="24"/>
          <w:szCs w:val="24"/>
        </w:rPr>
        <w:footnoteReference w:id="14"/>
      </w:r>
      <w:r w:rsidRPr="00523487">
        <w:rPr>
          <w:rFonts w:ascii="Bookman Old Style" w:hAnsi="Bookman Old Style"/>
          <w:sz w:val="24"/>
          <w:szCs w:val="24"/>
        </w:rPr>
        <w:t xml:space="preserve">  This shows that the national legal system does not separate itself from religious values, but rather integrates them as the basis for the legitimacy of marriage.</w:t>
      </w:r>
      <w:r w:rsidR="00991F03">
        <w:rPr>
          <w:rStyle w:val="FootnoteReference"/>
          <w:rFonts w:ascii="Bookman Old Style" w:hAnsi="Bookman Old Style"/>
          <w:sz w:val="24"/>
          <w:szCs w:val="24"/>
        </w:rPr>
        <w:footnoteReference w:id="15"/>
      </w:r>
      <w:r w:rsidRPr="00523487">
        <w:rPr>
          <w:rFonts w:ascii="Bookman Old Style" w:hAnsi="Bookman Old Style"/>
          <w:sz w:val="24"/>
          <w:szCs w:val="24"/>
        </w:rPr>
        <w:t xml:space="preserve">  The synchronization of values between the two legal systems is an important capital in building polyandry prevention regulations that are not only formal-juridical, but also rooted in the moral and religious consciousness of the community.</w:t>
      </w:r>
      <w:r w:rsidR="00991F03">
        <w:rPr>
          <w:rStyle w:val="FootnoteReference"/>
          <w:rFonts w:ascii="Bookman Old Style" w:hAnsi="Bookman Old Style"/>
          <w:sz w:val="24"/>
          <w:szCs w:val="24"/>
        </w:rPr>
        <w:footnoteReference w:id="16"/>
      </w:r>
    </w:p>
    <w:p w:rsidR="00523487" w:rsidRPr="00523487" w:rsidRDefault="00523487" w:rsidP="00523487">
      <w:pPr>
        <w:pStyle w:val="ListParagraph"/>
        <w:numPr>
          <w:ilvl w:val="0"/>
          <w:numId w:val="44"/>
        </w:numPr>
        <w:spacing w:after="0"/>
        <w:jc w:val="both"/>
        <w:rPr>
          <w:rStyle w:val="ypks7kbdpwfgdykd3qb9"/>
          <w:rFonts w:ascii="Bookman Old Style" w:hAnsi="Bookman Old Style"/>
          <w:b/>
          <w:sz w:val="24"/>
          <w:szCs w:val="24"/>
          <w:lang w:val="id-ID"/>
        </w:rPr>
      </w:pPr>
      <w:r w:rsidRPr="00523487">
        <w:rPr>
          <w:rStyle w:val="ypks7kbdpwfgdykd3qb9"/>
          <w:rFonts w:ascii="Bookman Old Style" w:hAnsi="Bookman Old Style"/>
          <w:b/>
          <w:sz w:val="24"/>
          <w:szCs w:val="24"/>
        </w:rPr>
        <w:t>Integrative polyandry prevention Model</w:t>
      </w:r>
    </w:p>
    <w:p w:rsidR="00A42B84" w:rsidRDefault="00523487" w:rsidP="00A42B84">
      <w:pPr>
        <w:spacing w:after="0"/>
        <w:ind w:firstLine="720"/>
        <w:jc w:val="both"/>
        <w:rPr>
          <w:rFonts w:ascii="Bookman Old Style" w:hAnsi="Bookman Old Style"/>
          <w:sz w:val="24"/>
          <w:szCs w:val="24"/>
        </w:rPr>
      </w:pPr>
      <w:r w:rsidRPr="00523487">
        <w:rPr>
          <w:rFonts w:ascii="Bookman Old Style" w:hAnsi="Bookman Old Style"/>
          <w:sz w:val="24"/>
          <w:szCs w:val="24"/>
        </w:rPr>
        <w:t xml:space="preserve">An effective polyandry prevention Model requires an integrative approach that synergizes the instruments of Islamic law and positive law simultaneously. First, the synergy between religious and state institutions must be realized concretely through the cooperation of KUA, religious courts, MUI, and law enforcement officials in building an integrated marriage supervision system. Second, strengthening regulations based on Islamic values needs to be done by ensuring that every marriage policy reflects the principles of </w:t>
      </w:r>
      <w:proofErr w:type="spellStart"/>
      <w:r w:rsidRPr="00523487">
        <w:rPr>
          <w:rFonts w:ascii="Bookman Old Style" w:hAnsi="Bookman Old Style"/>
          <w:sz w:val="24"/>
          <w:szCs w:val="24"/>
        </w:rPr>
        <w:t>maqashid</w:t>
      </w:r>
      <w:proofErr w:type="spellEnd"/>
      <w:r w:rsidRPr="00523487">
        <w:rPr>
          <w:rFonts w:ascii="Bookman Old Style" w:hAnsi="Bookman Old Style"/>
          <w:sz w:val="24"/>
          <w:szCs w:val="24"/>
        </w:rPr>
        <w:t xml:space="preserve"> al-</w:t>
      </w:r>
      <w:proofErr w:type="spellStart"/>
      <w:r w:rsidRPr="00523487">
        <w:rPr>
          <w:rFonts w:ascii="Bookman Old Style" w:hAnsi="Bookman Old Style"/>
          <w:sz w:val="24"/>
          <w:szCs w:val="24"/>
        </w:rPr>
        <w:t>Shariah</w:t>
      </w:r>
      <w:proofErr w:type="spellEnd"/>
      <w:r w:rsidRPr="00523487">
        <w:rPr>
          <w:rFonts w:ascii="Bookman Old Style" w:hAnsi="Bookman Old Style"/>
          <w:sz w:val="24"/>
          <w:szCs w:val="24"/>
        </w:rPr>
        <w:t xml:space="preserve"> while meeting applicable positive legal standards. Third, digitalization of the National Marriage </w:t>
      </w:r>
      <w:r w:rsidRPr="00523487">
        <w:rPr>
          <w:rFonts w:ascii="Bookman Old Style" w:hAnsi="Bookman Old Style"/>
          <w:sz w:val="24"/>
          <w:szCs w:val="24"/>
        </w:rPr>
        <w:lastRenderedPageBreak/>
        <w:t>information system is a necessity in the modern era to detect and prevent the practice of multiple marriages more effectively and responsibly. Fourth, premarital education programs that integrate Islamic law and positive law materials need to be strengthened as a long-term preventive effort, considering the low understanding of religion and law to be the main factor in the occurrence of polyandry in various regions.  By integrating all of these elements, it is hoped that the Prevention of polyandry crimes can be carried out comprehensively, sustainably, and based on the values that live in Indonesian society.</w:t>
      </w:r>
    </w:p>
    <w:p w:rsidR="009B4958" w:rsidRPr="009B4958" w:rsidRDefault="009B4958" w:rsidP="009B4958">
      <w:pPr>
        <w:spacing w:after="0"/>
        <w:ind w:firstLine="720"/>
        <w:jc w:val="both"/>
        <w:rPr>
          <w:rFonts w:ascii="Bookman Old Style" w:hAnsi="Bookman Old Style"/>
          <w:b/>
          <w:sz w:val="24"/>
          <w:szCs w:val="24"/>
          <w:lang w:val="id-ID"/>
        </w:rPr>
      </w:pPr>
    </w:p>
    <w:p w:rsidR="00660DDB" w:rsidRPr="00C03F5D" w:rsidRDefault="00C03F5D" w:rsidP="00C03F5D">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523487" w:rsidRDefault="00523487" w:rsidP="00383DBC">
      <w:pPr>
        <w:spacing w:after="0"/>
        <w:ind w:firstLine="720"/>
        <w:jc w:val="both"/>
        <w:rPr>
          <w:rFonts w:ascii="Bookman Old Style" w:hAnsi="Bookman Old Style"/>
          <w:sz w:val="24"/>
          <w:szCs w:val="24"/>
        </w:rPr>
      </w:pPr>
      <w:r w:rsidRPr="00523487">
        <w:rPr>
          <w:rFonts w:ascii="Bookman Old Style" w:hAnsi="Bookman Old Style"/>
          <w:sz w:val="24"/>
          <w:szCs w:val="24"/>
        </w:rPr>
        <w:t xml:space="preserve">Polyandry is an act that is expressly prohibited by Islamic law based on the </w:t>
      </w:r>
      <w:proofErr w:type="spellStart"/>
      <w:r w:rsidRPr="00523487">
        <w:rPr>
          <w:rFonts w:ascii="Bookman Old Style" w:hAnsi="Bookman Old Style"/>
          <w:sz w:val="24"/>
          <w:szCs w:val="24"/>
        </w:rPr>
        <w:t>ijma</w:t>
      </w:r>
      <w:proofErr w:type="spellEnd"/>
      <w:r w:rsidRPr="00523487">
        <w:rPr>
          <w:rFonts w:ascii="Bookman Old Style" w:hAnsi="Bookman Old Style"/>
          <w:sz w:val="24"/>
          <w:szCs w:val="24"/>
        </w:rPr>
        <w:t xml:space="preserve">' of all schools of jurisprudence, because it is contrary to the principles of </w:t>
      </w:r>
      <w:proofErr w:type="spellStart"/>
      <w:r w:rsidRPr="00523487">
        <w:rPr>
          <w:rFonts w:ascii="Bookman Old Style" w:hAnsi="Bookman Old Style"/>
          <w:sz w:val="24"/>
          <w:szCs w:val="24"/>
        </w:rPr>
        <w:t>maqashid</w:t>
      </w:r>
      <w:proofErr w:type="spellEnd"/>
      <w:r w:rsidRPr="00523487">
        <w:rPr>
          <w:rFonts w:ascii="Bookman Old Style" w:hAnsi="Bookman Old Style"/>
          <w:sz w:val="24"/>
          <w:szCs w:val="24"/>
        </w:rPr>
        <w:t xml:space="preserve"> al-Sharia, especially </w:t>
      </w:r>
      <w:proofErr w:type="spellStart"/>
      <w:r w:rsidRPr="00523487">
        <w:rPr>
          <w:rFonts w:ascii="Bookman Old Style" w:hAnsi="Bookman Old Style"/>
          <w:sz w:val="24"/>
          <w:szCs w:val="24"/>
        </w:rPr>
        <w:t>hifzh</w:t>
      </w:r>
      <w:proofErr w:type="spellEnd"/>
      <w:r w:rsidRPr="00523487">
        <w:rPr>
          <w:rFonts w:ascii="Bookman Old Style" w:hAnsi="Bookman Old Style"/>
          <w:sz w:val="24"/>
          <w:szCs w:val="24"/>
        </w:rPr>
        <w:t xml:space="preserve"> al-</w:t>
      </w:r>
      <w:proofErr w:type="spellStart"/>
      <w:r w:rsidRPr="00523487">
        <w:rPr>
          <w:rFonts w:ascii="Bookman Old Style" w:hAnsi="Bookman Old Style"/>
          <w:sz w:val="24"/>
          <w:szCs w:val="24"/>
        </w:rPr>
        <w:t>nasl</w:t>
      </w:r>
      <w:proofErr w:type="spellEnd"/>
      <w:r w:rsidRPr="00523487">
        <w:rPr>
          <w:rFonts w:ascii="Bookman Old Style" w:hAnsi="Bookman Old Style"/>
          <w:sz w:val="24"/>
          <w:szCs w:val="24"/>
        </w:rPr>
        <w:t xml:space="preserve"> and </w:t>
      </w:r>
      <w:proofErr w:type="spellStart"/>
      <w:r w:rsidRPr="00523487">
        <w:rPr>
          <w:rFonts w:ascii="Bookman Old Style" w:hAnsi="Bookman Old Style"/>
          <w:sz w:val="24"/>
          <w:szCs w:val="24"/>
        </w:rPr>
        <w:t>hifzh</w:t>
      </w:r>
      <w:proofErr w:type="spellEnd"/>
      <w:r w:rsidRPr="00523487">
        <w:rPr>
          <w:rFonts w:ascii="Bookman Old Style" w:hAnsi="Bookman Old Style"/>
          <w:sz w:val="24"/>
          <w:szCs w:val="24"/>
        </w:rPr>
        <w:t xml:space="preserve"> al-'</w:t>
      </w:r>
      <w:proofErr w:type="spellStart"/>
      <w:r w:rsidRPr="00523487">
        <w:rPr>
          <w:rFonts w:ascii="Bookman Old Style" w:hAnsi="Bookman Old Style"/>
          <w:sz w:val="24"/>
          <w:szCs w:val="24"/>
        </w:rPr>
        <w:t>irdh</w:t>
      </w:r>
      <w:proofErr w:type="spellEnd"/>
      <w:r w:rsidRPr="00523487">
        <w:rPr>
          <w:rFonts w:ascii="Bookman Old Style" w:hAnsi="Bookman Old Style"/>
          <w:sz w:val="24"/>
          <w:szCs w:val="24"/>
        </w:rPr>
        <w:t>. In positive law, a similar prohibition is contained in law No. 1 of 1974 and strengthened criminal sanctions through law No. 1 of 2023. The intersection of these two legal systems shows that Indonesia does not separate the religious dimension from its National Marriage Law. Synchronization of the two becomes a strong foundation in building a comprehensive prevention of polyandry, based on moral values as well as structured legal certainty.</w:t>
      </w:r>
    </w:p>
    <w:p w:rsidR="00523487" w:rsidRPr="009B4958" w:rsidRDefault="00523487" w:rsidP="00383DBC">
      <w:pPr>
        <w:spacing w:after="0"/>
        <w:ind w:firstLine="720"/>
        <w:jc w:val="both"/>
        <w:rPr>
          <w:rFonts w:ascii="Bookman Old Style" w:hAnsi="Bookman Old Style"/>
          <w:sz w:val="24"/>
          <w:szCs w:val="24"/>
        </w:rPr>
      </w:pPr>
      <w:r w:rsidRPr="00523487">
        <w:rPr>
          <w:rFonts w:ascii="Bookman Old Style" w:hAnsi="Bookman Old Style"/>
          <w:sz w:val="24"/>
          <w:szCs w:val="24"/>
        </w:rPr>
        <w:t>The government together with religious institutions need to strengthen real cooperation between KUA, religious courts, MUI, and law enforcement officials in overseeing marriage practices in the field. Premarital education programs that combine Islamic law and positive law should be promoted evenly, especially in areas with low levels of legal awareness. In addition, the digitalization of the national marriage registration system needs to be accelerated in order to more effectively detect the potential for multiple marriages. An integrative approach between Sharia instruments and state regulations is believed to be able to create a strong family resilience and justice for all levels of Indonesian society.</w:t>
      </w:r>
    </w:p>
    <w:p w:rsidR="00190782" w:rsidRDefault="00190782" w:rsidP="0044368D">
      <w:pPr>
        <w:spacing w:after="0" w:line="240" w:lineRule="auto"/>
        <w:jc w:val="center"/>
        <w:rPr>
          <w:rFonts w:ascii="Bookman Old Style" w:hAnsi="Bookman Old Style"/>
          <w:b/>
        </w:rPr>
      </w:pPr>
      <w:bookmarkStart w:id="0" w:name="_GoBack"/>
      <w:bookmarkEnd w:id="0"/>
    </w:p>
    <w:p w:rsidR="00297F82" w:rsidRPr="004711F8" w:rsidRDefault="00061CBD" w:rsidP="004711F8">
      <w:pPr>
        <w:spacing w:after="0" w:line="240" w:lineRule="auto"/>
        <w:rPr>
          <w:rFonts w:ascii="Bookman Old Style" w:hAnsi="Bookman Old Style"/>
          <w:b/>
        </w:rPr>
      </w:pPr>
      <w:r>
        <w:rPr>
          <w:rFonts w:ascii="Bookman Old Style" w:hAnsi="Bookman Old Style"/>
          <w:b/>
        </w:rPr>
        <w:t>REFERENCE</w:t>
      </w:r>
    </w:p>
    <w:p w:rsidR="00991F03" w:rsidRDefault="00991F03" w:rsidP="00991F03">
      <w:pPr>
        <w:spacing w:before="240"/>
        <w:ind w:left="709" w:hanging="709"/>
        <w:jc w:val="both"/>
        <w:rPr>
          <w:rFonts w:ascii="Bookman Old Style" w:hAnsi="Bookman Old Style"/>
          <w:sz w:val="24"/>
          <w:szCs w:val="24"/>
        </w:rPr>
      </w:pPr>
      <w:r w:rsidRPr="00991F03">
        <w:rPr>
          <w:rFonts w:ascii="Bookman Old Style" w:hAnsi="Bookman Old Style"/>
          <w:sz w:val="24"/>
          <w:szCs w:val="24"/>
        </w:rPr>
        <w:fldChar w:fldCharType="begin" w:fldLock="1"/>
      </w:r>
      <w:r w:rsidRPr="00991F03">
        <w:rPr>
          <w:rFonts w:ascii="Bookman Old Style" w:hAnsi="Bookman Old Style"/>
          <w:sz w:val="24"/>
          <w:szCs w:val="24"/>
        </w:rPr>
        <w:instrText>ADDIN CSL_CITATION {"citationItems":[{"id":"ITEM-1","itemData":{"DOI":"10.1093/nq/s2-ix.215.112a","ISSN":"00293970","container-title":"Notes and Queries","id":"ITEM-1","issue":"215","issued":{"date-parts":[["1974"]]},"page":"112","title":"Undang-Undang Republik Indonesia Nomor 1 Tahun 1974 Tentang Perkawinan","type":"article-journal","volume":"s2-IX"},"uris":["http://www.mendeley.com/documents/?uuid=d3a708cb-20d4-4be1-abc2-b79fa4b27bff"]}],"mendeley":{"formattedCitation":"“Undang-Undang Republik Indonesia Nomor 1 Tahun 1974 Tentang Perkawinan,” &lt;i&gt;Notes and Queries&lt;/i&gt; s2-IX, no. 215 (1974): 112, https://doi.org/10.1093/nq/s2-ix.215.112a.","plainTextFormattedCitation":"“Undang-Undang Republik Indonesia Nomor 1 Tahun 1974 Tentang Perkawinan,” Notes and Queries s2-IX, no. 215 (1974): 112, https://doi.org/10.1093/nq/s2-ix.215.112a.","previouslyFormattedCitation":"“Undang-Undang Republik Indonesia Nomor 1 Tahun 1974 Tentang Perkawinan,” &lt;i&gt;Notes and Queries&lt;/i&gt; s2-IX, no. 215 (1974): 112, https://doi.org/10.1093/nq/s2-ix.215.112a."},"properties":{"noteIndex":15},"schema":"https://github.com/citation-style-language/schema/raw/master/csl-citation.json"}</w:instrText>
      </w:r>
      <w:r w:rsidRPr="00991F03">
        <w:rPr>
          <w:rFonts w:ascii="Bookman Old Style" w:hAnsi="Bookman Old Style"/>
          <w:sz w:val="24"/>
          <w:szCs w:val="24"/>
        </w:rPr>
        <w:fldChar w:fldCharType="separate"/>
      </w:r>
      <w:r w:rsidRPr="00991F03">
        <w:rPr>
          <w:rFonts w:ascii="Bookman Old Style" w:hAnsi="Bookman Old Style"/>
          <w:noProof/>
          <w:sz w:val="24"/>
          <w:szCs w:val="24"/>
        </w:rPr>
        <w:t xml:space="preserve">“Undang-Undang Republik Indonesia Nomor 1 Tahun 1974 Tentang Perkawinan,” </w:t>
      </w:r>
      <w:r w:rsidRPr="00991F03">
        <w:rPr>
          <w:rFonts w:ascii="Bookman Old Style" w:hAnsi="Bookman Old Style"/>
          <w:i/>
          <w:noProof/>
          <w:sz w:val="24"/>
          <w:szCs w:val="24"/>
        </w:rPr>
        <w:t>Notes and Queries</w:t>
      </w:r>
      <w:r w:rsidRPr="00991F03">
        <w:rPr>
          <w:rFonts w:ascii="Bookman Old Style" w:hAnsi="Bookman Old Style"/>
          <w:noProof/>
          <w:sz w:val="24"/>
          <w:szCs w:val="24"/>
        </w:rPr>
        <w:t xml:space="preserve"> s2-IX, no. 215 (1974): 112, https://doi.org/10.1093/nq/s2-ix.215.112a.</w:t>
      </w:r>
      <w:r w:rsidRPr="00991F03">
        <w:rPr>
          <w:rFonts w:ascii="Bookman Old Style" w:hAnsi="Bookman Old Style"/>
          <w:sz w:val="24"/>
          <w:szCs w:val="24"/>
        </w:rPr>
        <w:fldChar w:fldCharType="end"/>
      </w:r>
    </w:p>
    <w:p w:rsidR="00991F03" w:rsidRDefault="00991F03" w:rsidP="00991F03">
      <w:pPr>
        <w:spacing w:before="240"/>
        <w:ind w:left="709" w:hanging="709"/>
        <w:jc w:val="both"/>
        <w:rPr>
          <w:rFonts w:ascii="Bookman Old Style" w:hAnsi="Bookman Old Style"/>
          <w:sz w:val="24"/>
          <w:szCs w:val="24"/>
        </w:rPr>
      </w:pPr>
      <w:r w:rsidRPr="00991F03">
        <w:rPr>
          <w:rFonts w:ascii="Bookman Old Style" w:hAnsi="Bookman Old Style"/>
          <w:sz w:val="24"/>
          <w:szCs w:val="24"/>
        </w:rPr>
        <w:fldChar w:fldCharType="begin" w:fldLock="1"/>
      </w:r>
      <w:r w:rsidRPr="00991F03">
        <w:rPr>
          <w:rFonts w:ascii="Bookman Old Style" w:hAnsi="Bookman Old Style"/>
          <w:sz w:val="24"/>
          <w:szCs w:val="24"/>
        </w:rPr>
        <w:instrText>ADDIN CSL_CITATION {"citationItems":[{"id":"ITEM-1","itemData":{"id":"ITEM-1","issue":"1","issued":{"date-parts":[["2023"]]},"page":"1-261","title":"Undang-Undang Republik Indonesia Nomor 1 Tahun 2023 Tentang Kitab Undang-Undang Hukum Pidana","type":"article-journal"},"uris":["http://www.mendeley.com/documents/?uuid=6e978fbc-50ba-4959-a193-dce01cfbc515"]}],"mendeley":{"formattedCitation":"“Undang-Undang Republik Indonesia Nomor 1 Tahun 2023 Tentang Kitab Undang-Undang Hukum Pidana,” no. 1 (2023): 1–261.","plainTextFormattedCitation":"“Undang-Undang Republik Indonesia Nomor 1 Tahun 2023 Tentang Kitab Undang-Undang Hukum Pidana,” no. 1 (2023): 1–261.","previouslyFormattedCitation":"“Undang-Undang Republik Indonesia Nomor 1 Tahun 2023 Tentang Kitab Undang-Undang Hukum Pidana,” no. 1 (2023): 1–261."},"properties":{"noteIndex":6},"schema":"https://github.com/citation-style-language/schema/raw/master/csl-citation.json"}</w:instrText>
      </w:r>
      <w:r w:rsidRPr="00991F03">
        <w:rPr>
          <w:rFonts w:ascii="Bookman Old Style" w:hAnsi="Bookman Old Style"/>
          <w:sz w:val="24"/>
          <w:szCs w:val="24"/>
        </w:rPr>
        <w:fldChar w:fldCharType="separate"/>
      </w:r>
      <w:r w:rsidRPr="00991F03">
        <w:rPr>
          <w:rFonts w:ascii="Bookman Old Style" w:hAnsi="Bookman Old Style"/>
          <w:noProof/>
          <w:sz w:val="24"/>
          <w:szCs w:val="24"/>
        </w:rPr>
        <w:t>“Undang-Undang Republik Indonesia Nomor 1 Tahun 2023 Tentang Kitab Undang-Undang Hukum Pidana,” No. 1 (2023): 1–261.</w:t>
      </w:r>
      <w:r w:rsidRPr="00991F03">
        <w:rPr>
          <w:rFonts w:ascii="Bookman Old Style" w:hAnsi="Bookman Old Style"/>
          <w:sz w:val="24"/>
          <w:szCs w:val="24"/>
        </w:rPr>
        <w:fldChar w:fldCharType="end"/>
      </w:r>
    </w:p>
    <w:p w:rsidR="00991F03" w:rsidRDefault="00991F03" w:rsidP="00991F03">
      <w:pPr>
        <w:spacing w:before="240"/>
        <w:ind w:left="709" w:hanging="709"/>
        <w:jc w:val="both"/>
        <w:rPr>
          <w:rFonts w:ascii="Bookman Old Style" w:hAnsi="Bookman Old Style"/>
          <w:sz w:val="24"/>
          <w:szCs w:val="24"/>
        </w:rPr>
      </w:pPr>
      <w:r w:rsidRPr="00991F03">
        <w:rPr>
          <w:rFonts w:ascii="Bookman Old Style" w:hAnsi="Bookman Old Style"/>
          <w:sz w:val="24"/>
          <w:szCs w:val="24"/>
        </w:rPr>
        <w:fldChar w:fldCharType="begin" w:fldLock="1"/>
      </w:r>
      <w:r w:rsidRPr="00991F03">
        <w:rPr>
          <w:rFonts w:ascii="Bookman Old Style" w:hAnsi="Bookman Old Style"/>
          <w:sz w:val="24"/>
          <w:szCs w:val="24"/>
        </w:rPr>
        <w:instrText>ADDIN CSL_CITATION {"citationItems":[{"id":"ITEM-1","itemData":{"ISBN":"0016087208","ISSN":"9590418198303","abstract":"… kasus pernikahan dini sebagai Implementasi UU Perkawinan di Desa Balun. Pernikahan dini … Hasil penelitian menunjukkan pandangan tentang pernikahan dini termasuk tindakan …","container-title":"Jurnalmahasiswa.Unesa.Ac.Id","id":"ITEM-1","issue":"1","issued":{"date-parts":[["2021"]]},"page":"764-778","title":"Undang-Undang Republik Indonesia Nomor 16 Tahun 2019 Tentang Perubahan Atas Undang-Undang Nomor 1 Tahun T974 Tentang Perkawinan","type":"article-journal","volume":"1"},"uris":["http://www.mendeley.com/documents/?uuid=767641b6-601d-4529-a4e3-294d2fa4a0c0"]}],"mendeley":{"formattedCitation":"“Undang-Undang Republik Indonesia Nomor 16 Tahun 2019 Tentang Perubahan Atas Undang-Undang Nomor 1 Tahun T974 Tentang Perkawinan,” &lt;i&gt;Jurnalmahasiswa.Unesa.Ac.Id&lt;/i&gt; 1, no. 1 (2021): 764–78, https://jurnalmahasiswa.unesa.ac.id/index.php/jurnal-pendidikan-kewarganegaraa/article/view/35779%0Ahttps://repository.ar-raniry.ac.id/id/eprint/20163/%0Ahttps://e-journal.uingusdur.ac.id/al-hukkam/article/view/587%0Ahttp://riset.unisma.ac.id/index.php/fa.","plainTextFormattedCitation":"“Undang-Undang Republik Indonesia Nomor 16 Tahun 2019 Tentang Perubahan Atas Undang-Undang Nomor 1 Tahun T974 Tentang Perkawinan,” Jurnalmahasiswa.Unesa.Ac.Id 1, no. 1 (2021): 764–78, https://jurnalmahasiswa.unesa.ac.id/index.php/jurnal-pendidikan-kewarganegaraa/article/view/35779%0Ahttps://repository.ar-raniry.ac.id/id/eprint/20163/%0Ahttps://e-journal.uingusdur.ac.id/al-hukkam/article/view/587%0Ahttp://riset.unisma.ac.id/index.php/fa.","previouslyFormattedCitation":"“Undang-Undang Republik Indonesia Nomor 16 Tahun 2019 Tentang Perubahan Atas Undang-Undang Nomor 1 Tahun T974 Tentang Perkawinan,” &lt;i&gt;Jurnalmahasiswa.Unesa.Ac.Id&lt;/i&gt; 1, no. 1 (2021): 764–78, https://jurnalmahasiswa.unesa.ac.id/index.php/jurnal-pendidikan-kewarganegaraa/article/view/35779%0Ahttps://repository.ar-raniry.ac.id/id/eprint/20163/%0Ahttps://e-journal.uingusdur.ac.id/al-hukkam/article/view/587%0Ahttp://riset.unisma.ac.id/index.php/fa."},"properties":{"noteIndex":11},"schema":"https://github.com/citation-style-language/schema/raw/master/csl-citation.json"}</w:instrText>
      </w:r>
      <w:r w:rsidRPr="00991F03">
        <w:rPr>
          <w:rFonts w:ascii="Bookman Old Style" w:hAnsi="Bookman Old Style"/>
          <w:sz w:val="24"/>
          <w:szCs w:val="24"/>
        </w:rPr>
        <w:fldChar w:fldCharType="separate"/>
      </w:r>
      <w:r w:rsidRPr="00991F03">
        <w:rPr>
          <w:rFonts w:ascii="Bookman Old Style" w:hAnsi="Bookman Old Style"/>
          <w:noProof/>
          <w:sz w:val="24"/>
          <w:szCs w:val="24"/>
        </w:rPr>
        <w:t xml:space="preserve">“Undang-Undang Republik Indonesia Nomor 16 Tahun 2019 Tentang Perubahan Atas Undang-Undang Nomor 1 Tahun T974 Tentang Perkawinan,” </w:t>
      </w:r>
      <w:r w:rsidRPr="00991F03">
        <w:rPr>
          <w:rFonts w:ascii="Bookman Old Style" w:hAnsi="Bookman Old Style"/>
          <w:i/>
          <w:noProof/>
          <w:sz w:val="24"/>
          <w:szCs w:val="24"/>
        </w:rPr>
        <w:t>Jurnalmahasiswa.Unesa.Ac.Id</w:t>
      </w:r>
      <w:r w:rsidRPr="00991F03">
        <w:rPr>
          <w:rFonts w:ascii="Bookman Old Style" w:hAnsi="Bookman Old Style"/>
          <w:noProof/>
          <w:sz w:val="24"/>
          <w:szCs w:val="24"/>
        </w:rPr>
        <w:t xml:space="preserve"> 1, no. 1 (2021): 764–78, https://jurnalmahasiswa.unesa.ac.id/index.php/jurnal-pendidikan </w:t>
      </w:r>
      <w:r w:rsidRPr="00991F03">
        <w:rPr>
          <w:rFonts w:ascii="Bookman Old Style" w:hAnsi="Bookman Old Style"/>
          <w:noProof/>
          <w:sz w:val="24"/>
          <w:szCs w:val="24"/>
        </w:rPr>
        <w:lastRenderedPageBreak/>
        <w:t>kewarganegaraa/article/view/35779%0Ahttps://repository.ar-raniry.ac.id/id/eprint/20163/%0Ahttps://e-journal.uingusdur.ac.id/al-hukkam/article/view/587%0Ahttp:/</w:t>
      </w:r>
      <w:r>
        <w:rPr>
          <w:rFonts w:ascii="Bookman Old Style" w:hAnsi="Bookman Old Style"/>
          <w:noProof/>
          <w:sz w:val="24"/>
          <w:szCs w:val="24"/>
        </w:rPr>
        <w:t>/riset.unisma.ac.id/index.php/f</w:t>
      </w:r>
      <w:r w:rsidRPr="00991F03">
        <w:rPr>
          <w:rFonts w:ascii="Bookman Old Style" w:hAnsi="Bookman Old Style"/>
          <w:noProof/>
          <w:sz w:val="24"/>
          <w:szCs w:val="24"/>
        </w:rPr>
        <w:t>.</w:t>
      </w:r>
      <w:r w:rsidRPr="00991F03">
        <w:rPr>
          <w:rFonts w:ascii="Bookman Old Style" w:hAnsi="Bookman Old Style"/>
          <w:sz w:val="24"/>
          <w:szCs w:val="24"/>
        </w:rPr>
        <w:fldChar w:fldCharType="end"/>
      </w:r>
    </w:p>
    <w:p w:rsidR="00991F03" w:rsidRDefault="00991F03" w:rsidP="00991F03">
      <w:pPr>
        <w:spacing w:before="240"/>
        <w:ind w:left="709" w:hanging="709"/>
        <w:jc w:val="both"/>
        <w:rPr>
          <w:rFonts w:ascii="Bookman Old Style" w:hAnsi="Bookman Old Style"/>
          <w:sz w:val="24"/>
          <w:szCs w:val="24"/>
        </w:rPr>
      </w:pPr>
      <w:r w:rsidRPr="00991F03">
        <w:rPr>
          <w:rFonts w:ascii="Bookman Old Style" w:hAnsi="Bookman Old Style"/>
          <w:sz w:val="24"/>
          <w:szCs w:val="24"/>
        </w:rPr>
        <w:fldChar w:fldCharType="begin" w:fldLock="1"/>
      </w:r>
      <w:r w:rsidRPr="00991F03">
        <w:rPr>
          <w:rFonts w:ascii="Bookman Old Style" w:hAnsi="Bookman Old Style"/>
          <w:sz w:val="24"/>
          <w:szCs w:val="24"/>
        </w:rPr>
        <w:instrText>ADDIN CSL_CITATION {"citationItems":[{"id":"ITEM-1","itemData":{"author":[{"dropping-particle":"","family":"Alfarisi","given":"Achmad Hasan","non-dropping-particle":"","parse-names":false,"suffix":""}],"id":"ITEM-1","issue":"03","issued":{"date-parts":[["2025"]]},"page":"1038-1045","title":"Kontribusi Hukum Islam dalam Bidang Hukum Pidana di Indonesia","type":"article-journal","volume":"02"},"uris":["http://www.mendeley.com/documents/?uuid=f078bdad-ee25-469c-bafd-f770040f6fd5"]}],"mendeley":{"formattedCitation":"Achmad Hasan Alfarisi, “Kontribusi Hukum Islam Dalam Bidang Hukum Pidana Di Indonesia” 02, no. 03 (2025): 1038–45.","plainTextFormattedCitation":"Achmad Hasan Alfarisi, “Kontribusi Hukum Islam Dalam Bidang Hukum Pidana Di Indonesia” 02, no. 03 (2025): 1038–45.","previouslyFormattedCitation":"Achmad Hasan Alfarisi, “Kontribusi Hukum Islam Dalam Bidang Hukum Pidana Di Indonesia” 02, no. 03 (2025): 1038–45."},"properties":{"noteIndex":3},"schema":"https://github.com/citation-style-language/schema/raw/master/csl-citation.json"}</w:instrText>
      </w:r>
      <w:r w:rsidRPr="00991F03">
        <w:rPr>
          <w:rFonts w:ascii="Bookman Old Style" w:hAnsi="Bookman Old Style"/>
          <w:sz w:val="24"/>
          <w:szCs w:val="24"/>
        </w:rPr>
        <w:fldChar w:fldCharType="separate"/>
      </w:r>
      <w:r w:rsidRPr="00991F03">
        <w:rPr>
          <w:rFonts w:ascii="Bookman Old Style" w:hAnsi="Bookman Old Style"/>
          <w:noProof/>
          <w:sz w:val="24"/>
          <w:szCs w:val="24"/>
        </w:rPr>
        <w:t>Achmad Hasan Alfarisi, “Kontribusi Hukum Islam Dalam Bidang Hukum Pidana Di Indonesia” 02, no. 03 (2025): 1038–45.</w:t>
      </w:r>
      <w:r w:rsidRPr="00991F03">
        <w:rPr>
          <w:rFonts w:ascii="Bookman Old Style" w:hAnsi="Bookman Old Style"/>
          <w:sz w:val="24"/>
          <w:szCs w:val="24"/>
        </w:rPr>
        <w:fldChar w:fldCharType="end"/>
      </w:r>
    </w:p>
    <w:p w:rsidR="00991F03" w:rsidRDefault="00991F03" w:rsidP="00991F03">
      <w:pPr>
        <w:spacing w:before="240"/>
        <w:ind w:left="709" w:hanging="709"/>
        <w:jc w:val="both"/>
        <w:rPr>
          <w:rFonts w:ascii="Bookman Old Style" w:hAnsi="Bookman Old Style"/>
          <w:sz w:val="24"/>
          <w:szCs w:val="24"/>
        </w:rPr>
      </w:pPr>
      <w:r w:rsidRPr="00991F03">
        <w:rPr>
          <w:rFonts w:ascii="Bookman Old Style" w:hAnsi="Bookman Old Style"/>
          <w:sz w:val="24"/>
          <w:szCs w:val="24"/>
        </w:rPr>
        <w:fldChar w:fldCharType="begin" w:fldLock="1"/>
      </w:r>
      <w:r w:rsidRPr="00991F03">
        <w:rPr>
          <w:rFonts w:ascii="Bookman Old Style" w:hAnsi="Bookman Old Style"/>
          <w:sz w:val="24"/>
          <w:szCs w:val="24"/>
        </w:rPr>
        <w:instrText>ADDIN CSL_CITATION {"citationItems":[{"id":"ITEM-1","itemData":{"author":[{"dropping-particle":"","family":"Hanapi","given":"Agustin","non-dropping-particle":"","parse-names":false,"suffix":""}],"id":"ITEM-1","issue":"2","issued":{"date-parts":[["2024"]]},"page":"123-141","title":"Resolution Of Polyandry Cases Through Customary Law (A Case Study In Darussalam District, Aceh Besar Regency)","type":"article-journal","volume":"1"},"uris":["http://www.mendeley.com/documents/?uuid=4959d8ac-1cbb-4855-bc61-673e9f43d6bb"]}],"mendeley":{"formattedCitation":"Agustin Hanapi, “Resolution Of Polyandry Cases Through Customary Law (A Case Study In Darussalam District, Aceh Besar Regency)” 1, no. 2 (2024): 123–41.","plainTextFormattedCitation":"Agustin Hanapi, “Resolution Of Polyandry Cases Through Customary Law (A Case Study In Darussalam District, Aceh Besar Regency)” 1, no. 2 (2024): 123–41.","previouslyFormattedCitation":"Agustin Hanapi, “Resolution Of Polyandry Cases Through Customary Law (A Case Study In Darussalam District, Aceh Besar Regency)” 1, no. 2 (2024): 123–41."},"properties":{"noteIndex":5},"schema":"https://github.com/citation-style-language/schema/raw/master/csl-citation.json"}</w:instrText>
      </w:r>
      <w:r w:rsidRPr="00991F03">
        <w:rPr>
          <w:rFonts w:ascii="Bookman Old Style" w:hAnsi="Bookman Old Style"/>
          <w:sz w:val="24"/>
          <w:szCs w:val="24"/>
        </w:rPr>
        <w:fldChar w:fldCharType="separate"/>
      </w:r>
      <w:r w:rsidRPr="00991F03">
        <w:rPr>
          <w:rFonts w:ascii="Bookman Old Style" w:hAnsi="Bookman Old Style"/>
          <w:noProof/>
          <w:sz w:val="24"/>
          <w:szCs w:val="24"/>
        </w:rPr>
        <w:t>Agustin Hanapi, “Resolution Of Polyandry Cases Through Customary Law (A Case Study In Darussalam District, Aceh Besar Regency)” 1, no. 2 (2024): 123–41.</w:t>
      </w:r>
      <w:r w:rsidRPr="00991F03">
        <w:rPr>
          <w:rFonts w:ascii="Bookman Old Style" w:hAnsi="Bookman Old Style"/>
          <w:sz w:val="24"/>
          <w:szCs w:val="24"/>
        </w:rPr>
        <w:fldChar w:fldCharType="end"/>
      </w:r>
    </w:p>
    <w:p w:rsidR="00991F03" w:rsidRDefault="00991F03" w:rsidP="00991F03">
      <w:pPr>
        <w:spacing w:before="240"/>
        <w:ind w:left="709" w:hanging="709"/>
        <w:jc w:val="both"/>
        <w:rPr>
          <w:rFonts w:ascii="Bookman Old Style" w:hAnsi="Bookman Old Style"/>
          <w:noProof/>
          <w:sz w:val="24"/>
          <w:szCs w:val="24"/>
        </w:rPr>
      </w:pPr>
      <w:r w:rsidRPr="00991F03">
        <w:rPr>
          <w:rFonts w:ascii="Bookman Old Style" w:hAnsi="Bookman Old Style"/>
          <w:noProof/>
          <w:sz w:val="24"/>
          <w:szCs w:val="24"/>
        </w:rPr>
        <w:t>Ahmad Muhammad et al., “Poliandri Dalam Perspektif Pancasila Dan Hukum Islam</w:t>
      </w:r>
      <w:r w:rsidRPr="00991F03">
        <w:rPr>
          <w:rFonts w:ascii="Times New Roman" w:hAnsi="Times New Roman"/>
          <w:noProof/>
          <w:sz w:val="24"/>
          <w:szCs w:val="24"/>
        </w:rPr>
        <w:t> </w:t>
      </w:r>
      <w:r w:rsidRPr="00991F03">
        <w:rPr>
          <w:rFonts w:ascii="Bookman Old Style" w:hAnsi="Bookman Old Style"/>
          <w:noProof/>
          <w:sz w:val="24"/>
          <w:szCs w:val="24"/>
        </w:rPr>
        <w:t>: Kajian Konstitusional Dan Nilai-Nilai Kebangsaan Polyandry in the Perspective of Pancasila and Islamic Law</w:t>
      </w:r>
      <w:r w:rsidRPr="00991F03">
        <w:rPr>
          <w:rFonts w:ascii="Times New Roman" w:hAnsi="Times New Roman"/>
          <w:noProof/>
          <w:sz w:val="24"/>
          <w:szCs w:val="24"/>
        </w:rPr>
        <w:t> </w:t>
      </w:r>
      <w:r w:rsidRPr="00991F03">
        <w:rPr>
          <w:rFonts w:ascii="Bookman Old Style" w:hAnsi="Bookman Old Style"/>
          <w:noProof/>
          <w:sz w:val="24"/>
          <w:szCs w:val="24"/>
        </w:rPr>
        <w:t>: Constitutional Studies and National Values</w:t>
      </w:r>
      <w:r w:rsidRPr="00991F03">
        <w:rPr>
          <w:rFonts w:ascii="Bookman Old Style" w:hAnsi="Bookman Old Style" w:cs="Bookman Old Style"/>
          <w:noProof/>
          <w:sz w:val="24"/>
          <w:szCs w:val="24"/>
        </w:rPr>
        <w:t>”</w:t>
      </w:r>
      <w:r w:rsidRPr="00991F03">
        <w:rPr>
          <w:rFonts w:ascii="Bookman Old Style" w:hAnsi="Bookman Old Style"/>
          <w:noProof/>
          <w:sz w:val="24"/>
          <w:szCs w:val="24"/>
        </w:rPr>
        <w:t xml:space="preserve"> 1, no. 2 (2024): 207</w:t>
      </w:r>
      <w:r w:rsidRPr="00991F03">
        <w:rPr>
          <w:rFonts w:ascii="Bookman Old Style" w:hAnsi="Bookman Old Style" w:cs="Bookman Old Style"/>
          <w:noProof/>
          <w:sz w:val="24"/>
          <w:szCs w:val="24"/>
        </w:rPr>
        <w:t>–</w:t>
      </w:r>
      <w:r w:rsidRPr="00991F03">
        <w:rPr>
          <w:rFonts w:ascii="Bookman Old Style" w:hAnsi="Bookman Old Style"/>
          <w:noProof/>
          <w:sz w:val="24"/>
          <w:szCs w:val="24"/>
        </w:rPr>
        <w:t>19</w:t>
      </w:r>
    </w:p>
    <w:p w:rsidR="00991F03" w:rsidRDefault="00991F03" w:rsidP="00991F03">
      <w:pPr>
        <w:spacing w:before="240"/>
        <w:ind w:left="709" w:hanging="709"/>
        <w:jc w:val="both"/>
        <w:rPr>
          <w:rFonts w:ascii="Bookman Old Style" w:hAnsi="Bookman Old Style"/>
          <w:noProof/>
          <w:sz w:val="24"/>
          <w:szCs w:val="24"/>
        </w:rPr>
      </w:pPr>
      <w:r w:rsidRPr="00991F03">
        <w:rPr>
          <w:rFonts w:ascii="Bookman Old Style" w:hAnsi="Bookman Old Style"/>
          <w:noProof/>
          <w:sz w:val="24"/>
          <w:szCs w:val="24"/>
        </w:rPr>
        <w:t>Daniel Indriadi, Vivian Nadienna, and Vidya Utami Naya, “Perbedaan Hukumantara Poligami Dan Poliandri Bedasarkan Konsep Keadil</w:t>
      </w:r>
    </w:p>
    <w:p w:rsidR="00991F03" w:rsidRDefault="00991F03" w:rsidP="00991F03">
      <w:pPr>
        <w:spacing w:before="240"/>
        <w:ind w:left="709" w:hanging="709"/>
        <w:jc w:val="both"/>
        <w:rPr>
          <w:rFonts w:ascii="Bookman Old Style" w:hAnsi="Bookman Old Style"/>
          <w:sz w:val="24"/>
          <w:szCs w:val="24"/>
        </w:rPr>
      </w:pPr>
      <w:r w:rsidRPr="00991F03">
        <w:rPr>
          <w:rFonts w:ascii="Bookman Old Style" w:hAnsi="Bookman Old Style"/>
          <w:sz w:val="24"/>
          <w:szCs w:val="24"/>
        </w:rPr>
        <w:fldChar w:fldCharType="begin" w:fldLock="1"/>
      </w:r>
      <w:r w:rsidRPr="00991F03">
        <w:rPr>
          <w:rFonts w:ascii="Bookman Old Style" w:hAnsi="Bookman Old Style"/>
          <w:sz w:val="24"/>
          <w:szCs w:val="24"/>
        </w:rPr>
        <w:instrText>ADDIN CSL_CITATION {"citationItems":[{"id":"ITEM-1","itemData":{"author":[{"dropping-particle":"","family":"Zuhroh","given":"Diana","non-dropping-particle":"","parse-names":false,"suffix":""}],"id":"ITEM-1","issued":{"date-parts":[["2025"]]},"title":"Husband-Wife Relations in Polyandry Households : Empirical Study of Polyandry in Plosorejo Village , Kismantoro District Wonogiri","type":"article-journal","volume":"5"},"uris":["http://www.mendeley.com/documents/?uuid=94078cb3-c263-4564-a5ee-dafd2d378c2e"]}],"mendeley":{"formattedCitation":"Diana Zuhroh, “Husband-Wife Relations in Polyandry Households</w:instrText>
      </w:r>
      <w:r w:rsidRPr="00991F03">
        <w:rPr>
          <w:rFonts w:ascii="Times New Roman" w:hAnsi="Times New Roman"/>
          <w:sz w:val="24"/>
          <w:szCs w:val="24"/>
        </w:rPr>
        <w:instrText> </w:instrText>
      </w:r>
      <w:r w:rsidRPr="00991F03">
        <w:rPr>
          <w:rFonts w:ascii="Bookman Old Style" w:hAnsi="Bookman Old Style"/>
          <w:sz w:val="24"/>
          <w:szCs w:val="24"/>
        </w:rPr>
        <w:instrText>: Empirical Study of Polyandry in Plosorejo Village , Kismantoro District Wonogiri” 5 (2025).","plainTextFormattedCitation":"Diana Zuhroh, “Husband-Wife Relations in Polyandry Households</w:instrText>
      </w:r>
      <w:r w:rsidRPr="00991F03">
        <w:rPr>
          <w:rFonts w:ascii="Times New Roman" w:hAnsi="Times New Roman"/>
          <w:sz w:val="24"/>
          <w:szCs w:val="24"/>
        </w:rPr>
        <w:instrText> </w:instrText>
      </w:r>
      <w:r w:rsidRPr="00991F03">
        <w:rPr>
          <w:rFonts w:ascii="Bookman Old Style" w:hAnsi="Bookman Old Style"/>
          <w:sz w:val="24"/>
          <w:szCs w:val="24"/>
        </w:rPr>
        <w:instrText>: Empirical Study of Polyandry in Plosorejo Village , Kismantoro District Wonogiri</w:instrText>
      </w:r>
      <w:r w:rsidRPr="00991F03">
        <w:rPr>
          <w:rFonts w:ascii="Bookman Old Style" w:hAnsi="Bookman Old Style" w:cs="Bookman Old Style"/>
          <w:sz w:val="24"/>
          <w:szCs w:val="24"/>
        </w:rPr>
        <w:instrText>”</w:instrText>
      </w:r>
      <w:r w:rsidRPr="00991F03">
        <w:rPr>
          <w:rFonts w:ascii="Bookman Old Style" w:hAnsi="Bookman Old Style"/>
          <w:sz w:val="24"/>
          <w:szCs w:val="24"/>
        </w:rPr>
        <w:instrText xml:space="preserve"> 5 (2025).","previouslyFormattedCitation":"Diana Zuhroh, “Husband-Wife Relations in Polyandry Households</w:instrText>
      </w:r>
      <w:r w:rsidRPr="00991F03">
        <w:rPr>
          <w:rFonts w:ascii="Times New Roman" w:hAnsi="Times New Roman"/>
          <w:sz w:val="24"/>
          <w:szCs w:val="24"/>
        </w:rPr>
        <w:instrText> </w:instrText>
      </w:r>
      <w:r w:rsidRPr="00991F03">
        <w:rPr>
          <w:rFonts w:ascii="Bookman Old Style" w:hAnsi="Bookman Old Style"/>
          <w:sz w:val="24"/>
          <w:szCs w:val="24"/>
        </w:rPr>
        <w:instrText>: Empirical Study of Polyandry in Plosorejo Village , Kismantoro District Wonogiri</w:instrText>
      </w:r>
      <w:r w:rsidRPr="00991F03">
        <w:rPr>
          <w:rFonts w:ascii="Bookman Old Style" w:hAnsi="Bookman Old Style" w:cs="Bookman Old Style"/>
          <w:sz w:val="24"/>
          <w:szCs w:val="24"/>
        </w:rPr>
        <w:instrText>”</w:instrText>
      </w:r>
      <w:r w:rsidRPr="00991F03">
        <w:rPr>
          <w:rFonts w:ascii="Bookman Old Style" w:hAnsi="Bookman Old Style"/>
          <w:sz w:val="24"/>
          <w:szCs w:val="24"/>
        </w:rPr>
        <w:instrText xml:space="preserve"> 5 (2025)."},"properties":{"noteIndex":9},"schema":"https://github.com/citation-style-language/schema/raw/master/csl-citation.json"}</w:instrText>
      </w:r>
      <w:r w:rsidRPr="00991F03">
        <w:rPr>
          <w:rFonts w:ascii="Bookman Old Style" w:hAnsi="Bookman Old Style"/>
          <w:sz w:val="24"/>
          <w:szCs w:val="24"/>
        </w:rPr>
        <w:fldChar w:fldCharType="separate"/>
      </w:r>
      <w:r w:rsidRPr="00991F03">
        <w:rPr>
          <w:rFonts w:ascii="Bookman Old Style" w:hAnsi="Bookman Old Style"/>
          <w:noProof/>
          <w:sz w:val="24"/>
          <w:szCs w:val="24"/>
        </w:rPr>
        <w:t>Diana Zuhroh, “Husband-Wife Relations in Polyandry Households</w:t>
      </w:r>
      <w:r w:rsidRPr="00991F03">
        <w:rPr>
          <w:rFonts w:ascii="Times New Roman" w:hAnsi="Times New Roman"/>
          <w:noProof/>
          <w:sz w:val="24"/>
          <w:szCs w:val="24"/>
        </w:rPr>
        <w:t> </w:t>
      </w:r>
      <w:r w:rsidRPr="00991F03">
        <w:rPr>
          <w:rFonts w:ascii="Bookman Old Style" w:hAnsi="Bookman Old Style"/>
          <w:noProof/>
          <w:sz w:val="24"/>
          <w:szCs w:val="24"/>
        </w:rPr>
        <w:t>: Empirical Study of Polyandry in Plosorejo Village , Kismantoro District Wonogiri</w:t>
      </w:r>
      <w:r w:rsidRPr="00991F03">
        <w:rPr>
          <w:rFonts w:ascii="Bookman Old Style" w:hAnsi="Bookman Old Style" w:cs="Bookman Old Style"/>
          <w:noProof/>
          <w:sz w:val="24"/>
          <w:szCs w:val="24"/>
        </w:rPr>
        <w:t>”</w:t>
      </w:r>
      <w:r w:rsidRPr="00991F03">
        <w:rPr>
          <w:rFonts w:ascii="Bookman Old Style" w:hAnsi="Bookman Old Style"/>
          <w:noProof/>
          <w:sz w:val="24"/>
          <w:szCs w:val="24"/>
        </w:rPr>
        <w:t xml:space="preserve"> 5 (2025).</w:t>
      </w:r>
      <w:r w:rsidRPr="00991F03">
        <w:rPr>
          <w:rFonts w:ascii="Bookman Old Style" w:hAnsi="Bookman Old Style"/>
          <w:sz w:val="24"/>
          <w:szCs w:val="24"/>
        </w:rPr>
        <w:fldChar w:fldCharType="end"/>
      </w:r>
    </w:p>
    <w:p w:rsidR="00991F03" w:rsidRDefault="00991F03" w:rsidP="00991F03">
      <w:pPr>
        <w:spacing w:before="240"/>
        <w:ind w:left="709" w:hanging="709"/>
        <w:jc w:val="both"/>
        <w:rPr>
          <w:rFonts w:ascii="Bookman Old Style" w:hAnsi="Bookman Old Style"/>
          <w:sz w:val="24"/>
          <w:szCs w:val="24"/>
        </w:rPr>
      </w:pPr>
      <w:r w:rsidRPr="00991F03">
        <w:rPr>
          <w:rFonts w:ascii="Bookman Old Style" w:hAnsi="Bookman Old Style"/>
          <w:sz w:val="24"/>
          <w:szCs w:val="24"/>
        </w:rPr>
        <w:fldChar w:fldCharType="begin" w:fldLock="1"/>
      </w:r>
      <w:r w:rsidRPr="00991F03">
        <w:rPr>
          <w:rFonts w:ascii="Bookman Old Style" w:hAnsi="Bookman Old Style"/>
          <w:sz w:val="24"/>
          <w:szCs w:val="24"/>
        </w:rPr>
        <w:instrText>ADDIN CSL_CITATION {"citationItems":[{"id":"ITEM-1","itemData":{"author":[{"dropping-particle":"","family":"MAKNUN","given":"LU’LUUL","non-dropping-particle":"","parse-names":false,"suffix":""}],"id":"ITEM-1","issued":{"date-parts":[["2025"]]},"publisher":"UNIVERSITAS BATANGHARI JAMBI","title":"PERLINDUNGAN HUKUM TERHADAP ISTRI YANG MENJADI KORBAN TINDAK PIDANA KEKERASAN DALAM RUMAH TANGGA OLEH SUAMI DIWILAYAH HUKUM KEPOLISIAN RESOR KOTA JAMBI","type":"article"},"uris":["http://www.mendeley.com/documents/?uuid=c252acea-5b00-4371-9b2a-da81e193ebfb"]}],"mendeley":{"formattedCitation":"LU’LUUL MAKNUN, “PERLINDUNGAN HUKUM TERHADAP ISTRI YANG MENJADI KORBAN TINDAK PIDANA KEKERASAN DALAM RUMAH TANGGA OLEH SUAMI DIWILAYAH HUKUM KEPOLISIAN RESOR KOTA JAMBI” (UNIVERSITAS BATANGHARI JAMBI, 2025).","plainTextFormattedCitation":"LU’LUUL MAKNUN, “PERLINDUNGAN HUKUM TERHADAP ISTRI YANG MENJADI KORBAN TINDAK PIDANA KEKERASAN DALAM RUMAH TANGGA OLEH SUAMI DIWILAYAH HUKUM KEPOLISIAN RESOR KOTA JAMBI” (UNIVERSITAS BATANGHARI JAMBI, 2025).","previouslyFormattedCitation":"LU’LUUL MAKNUN, “PERLINDUNGAN HUKUM TERHADAP ISTRI YANG MENJADI KORBAN TINDAK PIDANA KEKERASAN DALAM RUMAH TANGGA OLEH SUAMI DIWILAYAH HUKUM KEPOLISIAN RESOR KOTA JAMBI” (UNIVERSITAS BATANGHARI JAMBI, 2025)."},"properties":{"noteIndex":4},"schema":"https://github.com/citation-style-language/schema/raw/master/csl-citation.json"}</w:instrText>
      </w:r>
      <w:r w:rsidRPr="00991F03">
        <w:rPr>
          <w:rFonts w:ascii="Bookman Old Style" w:hAnsi="Bookman Old Style"/>
          <w:sz w:val="24"/>
          <w:szCs w:val="24"/>
        </w:rPr>
        <w:fldChar w:fldCharType="separate"/>
      </w:r>
      <w:r w:rsidRPr="00991F03">
        <w:rPr>
          <w:rFonts w:ascii="Bookman Old Style" w:hAnsi="Bookman Old Style"/>
          <w:noProof/>
          <w:sz w:val="24"/>
          <w:szCs w:val="24"/>
        </w:rPr>
        <w:t>Lu’luul Maknun, “Perlindungan Hukum Terhadap Istri Yang Menjadi Korban Tindak Pidana Kekerasan Dalam Rumah Tangga Oleh Suami Diwilayah Hukum Kepolisian Resor Kota Jambi” (Universitas Batanghari Jambi, 2025).</w:t>
      </w:r>
      <w:r w:rsidRPr="00991F03">
        <w:rPr>
          <w:rFonts w:ascii="Bookman Old Style" w:hAnsi="Bookman Old Style"/>
          <w:sz w:val="24"/>
          <w:szCs w:val="24"/>
        </w:rPr>
        <w:fldChar w:fldCharType="end"/>
      </w:r>
    </w:p>
    <w:p w:rsidR="00991F03" w:rsidRDefault="00991F03" w:rsidP="00991F03">
      <w:pPr>
        <w:spacing w:before="240"/>
        <w:ind w:left="709" w:hanging="709"/>
        <w:jc w:val="both"/>
        <w:rPr>
          <w:rFonts w:ascii="Bookman Old Style" w:hAnsi="Bookman Old Style"/>
          <w:sz w:val="24"/>
          <w:szCs w:val="24"/>
        </w:rPr>
      </w:pPr>
      <w:r w:rsidRPr="00991F03">
        <w:rPr>
          <w:rFonts w:ascii="Bookman Old Style" w:hAnsi="Bookman Old Style"/>
          <w:sz w:val="24"/>
          <w:szCs w:val="24"/>
        </w:rPr>
        <w:fldChar w:fldCharType="begin" w:fldLock="1"/>
      </w:r>
      <w:r w:rsidRPr="00991F03">
        <w:rPr>
          <w:rFonts w:ascii="Bookman Old Style" w:hAnsi="Bookman Old Style"/>
          <w:sz w:val="24"/>
          <w:szCs w:val="24"/>
        </w:rPr>
        <w:instrText>ADDIN CSL_CITATION {"citationItems":[{"id":"ITEM-1","itemData":{"author":[{"dropping-particle":"","family":"Maswandi","given":"","non-dropping-particle":"","parse-names":false,"suffix":""}],"id":"ITEM-1","issue":"4","issued":{"date-parts":[["2023"]]},"page":"163-168","title":"Community Views On Polygamy And Polyandry Islamic Legal Perspective","type":"article-journal","volume":"2"},"uris":["http://www.mendeley.com/documents/?uuid=d01f1942-27c2-4cc0-8dbe-cc60e6be1682"]}],"mendeley":{"formattedCitation":"Maswandi, “Community Views On Polygamy And Polyandry Islamic Legal Perspective” 2, no. 4 (2023): 163–68.","plainTextFormattedCitation":"Maswandi, “Community Views On Polygamy And Polyandry Islamic Legal Perspective” 2, no. 4 (2023): 163–68.","previouslyFormattedCitation":"Maswandi, “Community Views On Polygamy And Polyandry Islamic Legal Perspective” 2, no. 4 (2023): 163–68."},"properties":{"noteIndex":10},"schema":"https://github.com/citation-style-language/schema/raw/master/csl-citation.json"}</w:instrText>
      </w:r>
      <w:r w:rsidRPr="00991F03">
        <w:rPr>
          <w:rFonts w:ascii="Bookman Old Style" w:hAnsi="Bookman Old Style"/>
          <w:sz w:val="24"/>
          <w:szCs w:val="24"/>
        </w:rPr>
        <w:fldChar w:fldCharType="separate"/>
      </w:r>
      <w:r w:rsidRPr="00991F03">
        <w:rPr>
          <w:rFonts w:ascii="Bookman Old Style" w:hAnsi="Bookman Old Style"/>
          <w:noProof/>
          <w:sz w:val="24"/>
          <w:szCs w:val="24"/>
        </w:rPr>
        <w:t>Maswandi, “Community Views On Polygamy And Polyandry Islamic Legal Perspective” 2, no. 4 (2023): 163–68.</w:t>
      </w:r>
      <w:r w:rsidRPr="00991F03">
        <w:rPr>
          <w:rFonts w:ascii="Bookman Old Style" w:hAnsi="Bookman Old Style"/>
          <w:sz w:val="24"/>
          <w:szCs w:val="24"/>
        </w:rPr>
        <w:fldChar w:fldCharType="end"/>
      </w:r>
    </w:p>
    <w:p w:rsidR="00991F03" w:rsidRPr="00991F03" w:rsidRDefault="00991F03" w:rsidP="00991F03">
      <w:pPr>
        <w:spacing w:before="240"/>
        <w:ind w:left="709" w:hanging="709"/>
        <w:jc w:val="both"/>
        <w:rPr>
          <w:rFonts w:ascii="Bookman Old Style" w:hAnsi="Bookman Old Style"/>
          <w:sz w:val="24"/>
          <w:szCs w:val="24"/>
        </w:rPr>
      </w:pPr>
      <w:r w:rsidRPr="00991F03">
        <w:rPr>
          <w:rFonts w:ascii="Bookman Old Style" w:hAnsi="Bookman Old Style"/>
          <w:sz w:val="24"/>
          <w:szCs w:val="24"/>
        </w:rPr>
        <w:fldChar w:fldCharType="begin" w:fldLock="1"/>
      </w:r>
      <w:r w:rsidRPr="00991F03">
        <w:rPr>
          <w:rFonts w:ascii="Bookman Old Style" w:hAnsi="Bookman Old Style"/>
          <w:sz w:val="24"/>
          <w:szCs w:val="24"/>
        </w:rPr>
        <w:instrText>ADDIN CSL_CITATION {"citationItems":[{"id":"ITEM-1","itemData":{"author":[{"dropping-particle":"","family":"Muhammad","given":"Ahmad","non-dropping-particle":"","parse-names":false,"suffix":""},{"dropping-particle":"","family":"Nasoha","given":"Mustain","non-dropping-particle":"","parse-names":false,"suffix":""},{"dropping-particle":"","family":"Shakilla","given":"Marsha Cahya","non-dropping-particle":"","parse-names":false,"suffix":""},{"dropping-particle":"","family":"Agustin","given":"Isna Maziyah","non-dropping-particle":"","parse-names":false,"suffix":""}],"id":"ITEM-1","issue":"2","issued":{"date-parts":[["2024"]]},"page":"207-219","title":"Poliandri dalam Perspektif Pancasila dan Hukum Islam : Kajian Konstitusional dan Nilai-Nilai Kebangsaan Polyandry in the Perspective of Pancasila and Islamic Law : Constitutional Studies and National Values","type":"article-journal","volume":"1"},"uris":["http://www.mendeley.com/documents/?uuid=2f7b85a3-9a5c-4eef-b5c3-ae75bb14eb9d"]}],"mendeley":{"formattedCitation":"Ahmad Muhammad et al., “Poliandri Dalam Perspektif Pancasila Dan Hukum Islam</w:instrText>
      </w:r>
      <w:r w:rsidRPr="00991F03">
        <w:rPr>
          <w:rFonts w:ascii="Times New Roman" w:hAnsi="Times New Roman"/>
          <w:sz w:val="24"/>
          <w:szCs w:val="24"/>
        </w:rPr>
        <w:instrText> </w:instrText>
      </w:r>
      <w:r w:rsidRPr="00991F03">
        <w:rPr>
          <w:rFonts w:ascii="Bookman Old Style" w:hAnsi="Bookman Old Style"/>
          <w:sz w:val="24"/>
          <w:szCs w:val="24"/>
        </w:rPr>
        <w:instrText>: Kajian Konstitusional Dan Nilai-Nilai Kebangsaan Polyandry in the Perspective of Pancasila and Islamic Law</w:instrText>
      </w:r>
      <w:r w:rsidRPr="00991F03">
        <w:rPr>
          <w:rFonts w:ascii="Times New Roman" w:hAnsi="Times New Roman"/>
          <w:sz w:val="24"/>
          <w:szCs w:val="24"/>
        </w:rPr>
        <w:instrText> </w:instrText>
      </w:r>
      <w:r w:rsidRPr="00991F03">
        <w:rPr>
          <w:rFonts w:ascii="Bookman Old Style" w:hAnsi="Bookman Old Style"/>
          <w:sz w:val="24"/>
          <w:szCs w:val="24"/>
        </w:rPr>
        <w:instrText>: Constitutional Studies and National Values” 1, no. 2 (2024): 207–19.","plainTextFormattedCitation":"Ahmad Muhammad et al., “Poliandri Dalam Perspektif Pancasila Dan Hukum Islam</w:instrText>
      </w:r>
      <w:r w:rsidRPr="00991F03">
        <w:rPr>
          <w:rFonts w:ascii="Times New Roman" w:hAnsi="Times New Roman"/>
          <w:sz w:val="24"/>
          <w:szCs w:val="24"/>
        </w:rPr>
        <w:instrText> </w:instrText>
      </w:r>
      <w:r w:rsidRPr="00991F03">
        <w:rPr>
          <w:rFonts w:ascii="Bookman Old Style" w:hAnsi="Bookman Old Style"/>
          <w:sz w:val="24"/>
          <w:szCs w:val="24"/>
        </w:rPr>
        <w:instrText>: Kajian Konstitusional Dan Nilai-Nilai Kebangsaan Polyandry in the Perspective of Pancasila and Islamic Law</w:instrText>
      </w:r>
      <w:r w:rsidRPr="00991F03">
        <w:rPr>
          <w:rFonts w:ascii="Times New Roman" w:hAnsi="Times New Roman"/>
          <w:sz w:val="24"/>
          <w:szCs w:val="24"/>
        </w:rPr>
        <w:instrText> </w:instrText>
      </w:r>
      <w:r w:rsidRPr="00991F03">
        <w:rPr>
          <w:rFonts w:ascii="Bookman Old Style" w:hAnsi="Bookman Old Style"/>
          <w:sz w:val="24"/>
          <w:szCs w:val="24"/>
        </w:rPr>
        <w:instrText>: Constitutional Studies and National Values” 1, no. 2 (2024): 207–19.","previouslyFormattedCitation":"Ahmad Muhammad et al., “Poliandri Dalam Perspektif Pancasila Dan Hukum Islam</w:instrText>
      </w:r>
      <w:r w:rsidRPr="00991F03">
        <w:rPr>
          <w:rFonts w:ascii="Times New Roman" w:hAnsi="Times New Roman"/>
          <w:sz w:val="24"/>
          <w:szCs w:val="24"/>
        </w:rPr>
        <w:instrText> </w:instrText>
      </w:r>
      <w:r w:rsidRPr="00991F03">
        <w:rPr>
          <w:rFonts w:ascii="Bookman Old Style" w:hAnsi="Bookman Old Style"/>
          <w:sz w:val="24"/>
          <w:szCs w:val="24"/>
        </w:rPr>
        <w:instrText>: Kajian Konstitusional Dan Nilai-Nilai Kebangsaan Polyandry in the Perspective of Pancasila and Islamic Law</w:instrText>
      </w:r>
      <w:r w:rsidRPr="00991F03">
        <w:rPr>
          <w:rFonts w:ascii="Times New Roman" w:hAnsi="Times New Roman"/>
          <w:sz w:val="24"/>
          <w:szCs w:val="24"/>
        </w:rPr>
        <w:instrText> </w:instrText>
      </w:r>
      <w:r w:rsidRPr="00991F03">
        <w:rPr>
          <w:rFonts w:ascii="Bookman Old Style" w:hAnsi="Bookman Old Style"/>
          <w:sz w:val="24"/>
          <w:szCs w:val="24"/>
        </w:rPr>
        <w:instrText>: Constitutional Studies and National Values</w:instrText>
      </w:r>
      <w:r w:rsidRPr="00991F03">
        <w:rPr>
          <w:rFonts w:ascii="Bookman Old Style" w:hAnsi="Bookman Old Style" w:cs="Bookman Old Style"/>
          <w:sz w:val="24"/>
          <w:szCs w:val="24"/>
        </w:rPr>
        <w:instrText>”</w:instrText>
      </w:r>
      <w:r w:rsidRPr="00991F03">
        <w:rPr>
          <w:rFonts w:ascii="Bookman Old Style" w:hAnsi="Bookman Old Style"/>
          <w:sz w:val="24"/>
          <w:szCs w:val="24"/>
        </w:rPr>
        <w:instrText xml:space="preserve"> 1, no. 2 (2024): 207</w:instrText>
      </w:r>
      <w:r w:rsidRPr="00991F03">
        <w:rPr>
          <w:rFonts w:ascii="Bookman Old Style" w:hAnsi="Bookman Old Style" w:cs="Bookman Old Style"/>
          <w:sz w:val="24"/>
          <w:szCs w:val="24"/>
        </w:rPr>
        <w:instrText>–</w:instrText>
      </w:r>
      <w:r w:rsidRPr="00991F03">
        <w:rPr>
          <w:rFonts w:ascii="Bookman Old Style" w:hAnsi="Bookman Old Style"/>
          <w:sz w:val="24"/>
          <w:szCs w:val="24"/>
        </w:rPr>
        <w:instrText>19."},"properties":{"noteIndex":16},"schema":"https://github.com/citation-style-language/schema/raw/master/csl-citation.json"}</w:instrText>
      </w:r>
      <w:r w:rsidRPr="00991F03">
        <w:rPr>
          <w:rFonts w:ascii="Bookman Old Style" w:hAnsi="Bookman Old Style"/>
          <w:sz w:val="24"/>
          <w:szCs w:val="24"/>
        </w:rPr>
        <w:fldChar w:fldCharType="separate"/>
      </w:r>
      <w:r w:rsidRPr="00991F03">
        <w:rPr>
          <w:rFonts w:ascii="Bookman Old Style" w:hAnsi="Bookman Old Style"/>
          <w:sz w:val="24"/>
          <w:szCs w:val="24"/>
        </w:rPr>
        <w:fldChar w:fldCharType="begin" w:fldLock="1"/>
      </w:r>
      <w:r w:rsidRPr="00991F03">
        <w:rPr>
          <w:rFonts w:ascii="Bookman Old Style" w:hAnsi="Bookman Old Style"/>
          <w:sz w:val="24"/>
          <w:szCs w:val="24"/>
        </w:rPr>
        <w:instrText>ADDIN CSL_CITATION {"citationItems":[{"id":"ITEM-1","itemData":{"author":[{"dropping-particle":"","family":"Rosadi","given":"Otong","non-dropping-particle":"","parse-names":false,"suffix":""},{"dropping-particle":"","family":"Delmiati","given":"Susi","non-dropping-particle":"","parse-names":false,"suffix":""}],"id":"ITEM-1","issue":"2","issued":{"date-parts":[["2024"]]},"page":"57-65","title":"Perbedaan Hukumantara Poligami Dan Poliandri Bedasarkan Konsep Keadilan Dalam Islam","type":"article-journal","volume":"3"},"uris":["http://www.mendeley.com/documents/?uuid=fea733d4-3cd9-4ea9-8e75-0cda5a9b4a00"]}],"mendeley":{"formattedCitation":"Otong Rosadi and Susi Delmiati, “Perbedaan Hukumantara Poligami Dan Poliandri Bedasarkan Konsep Keadilan Dalam Islam” 3, no. 2 (2024): 57–65.","plainTextFormattedCitation":"Otong Rosadi and Susi Delmiati, “Perbedaan Hukumantara Poligami Dan Poliandri Bedasarkan Konsep Keadilan Dalam Islam” 3, no. 2 (2024): 57–65.","previouslyFormattedCitation":"Otong Rosadi and Susi Delmiati, “Perbedaan Hukumantara Poligami Dan Poliandri Bedasarkan Konsep Keadilan Dalam Islam” 3, no. 2 (2024): 57–65."},"properties":{"noteIndex":17},"schema":"https://github.com/citation-style-language/schema/raw/master/csl-citation.json"}</w:instrText>
      </w:r>
      <w:r w:rsidRPr="00991F03">
        <w:rPr>
          <w:rFonts w:ascii="Bookman Old Style" w:hAnsi="Bookman Old Style"/>
          <w:sz w:val="24"/>
          <w:szCs w:val="24"/>
        </w:rPr>
        <w:fldChar w:fldCharType="separate"/>
      </w:r>
      <w:r w:rsidRPr="00991F03">
        <w:rPr>
          <w:rFonts w:ascii="Bookman Old Style" w:hAnsi="Bookman Old Style"/>
          <w:noProof/>
          <w:sz w:val="24"/>
          <w:szCs w:val="24"/>
        </w:rPr>
        <w:t>Otong Rosadi and Susi Delmiati, “Perbedaan Hukumantara Poligami Dan Poliandri Bedasarkan Konsep Keadilan Dalam Islam” 3, no. 2 (2024): 57–65.</w:t>
      </w:r>
      <w:r w:rsidRPr="00991F03">
        <w:rPr>
          <w:rFonts w:ascii="Bookman Old Style" w:hAnsi="Bookman Old Style"/>
          <w:sz w:val="24"/>
          <w:szCs w:val="24"/>
        </w:rPr>
        <w:fldChar w:fldCharType="end"/>
      </w:r>
      <w:r w:rsidRPr="00991F03">
        <w:rPr>
          <w:rFonts w:ascii="Bookman Old Style" w:hAnsi="Bookman Old Style"/>
          <w:sz w:val="24"/>
          <w:szCs w:val="24"/>
        </w:rPr>
        <w:fldChar w:fldCharType="end"/>
      </w:r>
      <w:r w:rsidRPr="00991F03">
        <w:rPr>
          <w:rFonts w:ascii="Bookman Old Style" w:hAnsi="Bookman Old Style"/>
          <w:sz w:val="24"/>
          <w:szCs w:val="24"/>
        </w:rPr>
        <w:t xml:space="preserve"> </w:t>
      </w:r>
    </w:p>
    <w:p w:rsidR="00991F03" w:rsidRDefault="00991F03" w:rsidP="00991F03">
      <w:pPr>
        <w:spacing w:before="240"/>
        <w:ind w:left="709" w:hanging="709"/>
        <w:jc w:val="both"/>
        <w:rPr>
          <w:rFonts w:ascii="Bookman Old Style" w:hAnsi="Bookman Old Style"/>
          <w:sz w:val="24"/>
          <w:szCs w:val="24"/>
        </w:rPr>
      </w:pPr>
      <w:r w:rsidRPr="00991F03">
        <w:rPr>
          <w:rFonts w:ascii="Bookman Old Style" w:hAnsi="Bookman Old Style"/>
          <w:sz w:val="24"/>
          <w:szCs w:val="24"/>
        </w:rPr>
        <w:fldChar w:fldCharType="begin" w:fldLock="1"/>
      </w:r>
      <w:r w:rsidRPr="00991F03">
        <w:rPr>
          <w:rFonts w:ascii="Bookman Old Style" w:hAnsi="Bookman Old Style"/>
          <w:sz w:val="24"/>
          <w:szCs w:val="24"/>
        </w:rPr>
        <w:instrText>ADDIN CSL_CITATION {"citationItems":[{"id":"ITEM-1","itemData":{"author":[{"dropping-particle":"","family":"Elita","given":"Rya","non-dropping-particle":"","parse-names":false,"suffix":""}],"id":"ITEM-1","issued":{"date-parts":[["2026"]]},"page":"62-68","title":"Analisis Tindak Pidana Perzinaan Dalam Pembaharuan Hukum Pidana Dan Qanun Jinayat Di Aceh","type":"article-journal"},"uris":["http://www.mendeley.com/documents/?uuid=6d630d24-c93f-497a-a225-548286846f73"]}],"mendeley":{"formattedCitation":"Rya Elita, “Analisis Tindak Pidana Perzinaan Dalam Pembaharuan Hukum Pidana Dan Qanun Jinayat Di Aceh,” 2026, 62–68.","plainTextFormattedCitation":"Rya Elita, “Analisis Tindak Pidana Perzinaan Dalam Pembaharuan Hukum Pidana Dan Qanun Jinayat Di Aceh,” 2026, 62–68.","previouslyFormattedCitation":"Rya Elita, “Analisis Tindak Pidana Perzinaan Dalam Pembaharuan Hukum Pidana Dan Qanun Jinayat Di Aceh,” 2026, 62–68."},"properties":{"noteIndex":7},"schema":"https://github.com/citation-style-language/schema/raw/master/csl-citation.json"}</w:instrText>
      </w:r>
      <w:r w:rsidRPr="00991F03">
        <w:rPr>
          <w:rFonts w:ascii="Bookman Old Style" w:hAnsi="Bookman Old Style"/>
          <w:sz w:val="24"/>
          <w:szCs w:val="24"/>
        </w:rPr>
        <w:fldChar w:fldCharType="separate"/>
      </w:r>
      <w:r w:rsidRPr="00991F03">
        <w:rPr>
          <w:rFonts w:ascii="Bookman Old Style" w:hAnsi="Bookman Old Style"/>
          <w:noProof/>
          <w:sz w:val="24"/>
          <w:szCs w:val="24"/>
        </w:rPr>
        <w:t>Rya Elita, “Analisis Tindak Pidana Perzinaan Dalam Pembaharuan Hukum Pidana Dan Qanun Jinayat Di Aceh,” 2026, 62–68.</w:t>
      </w:r>
      <w:r w:rsidRPr="00991F03">
        <w:rPr>
          <w:rFonts w:ascii="Bookman Old Style" w:hAnsi="Bookman Old Style"/>
          <w:sz w:val="24"/>
          <w:szCs w:val="24"/>
        </w:rPr>
        <w:fldChar w:fldCharType="end"/>
      </w:r>
    </w:p>
    <w:p w:rsidR="00991F03" w:rsidRDefault="00991F03" w:rsidP="00991F03">
      <w:pPr>
        <w:spacing w:before="240"/>
        <w:ind w:left="709" w:hanging="709"/>
        <w:jc w:val="both"/>
        <w:rPr>
          <w:rFonts w:ascii="Bookman Old Style" w:hAnsi="Bookman Old Style"/>
          <w:sz w:val="24"/>
          <w:szCs w:val="24"/>
        </w:rPr>
      </w:pPr>
      <w:proofErr w:type="spellStart"/>
      <w:r w:rsidRPr="00991F03">
        <w:rPr>
          <w:rFonts w:ascii="Bookman Old Style" w:hAnsi="Bookman Old Style"/>
          <w:sz w:val="24"/>
          <w:szCs w:val="24"/>
        </w:rPr>
        <w:t>Sitompul</w:t>
      </w:r>
      <w:proofErr w:type="spellEnd"/>
      <w:r w:rsidRPr="00991F03">
        <w:rPr>
          <w:rFonts w:ascii="Bookman Old Style" w:hAnsi="Bookman Old Style"/>
          <w:sz w:val="24"/>
          <w:szCs w:val="24"/>
        </w:rPr>
        <w:t xml:space="preserve">, A. (2022). </w:t>
      </w:r>
      <w:proofErr w:type="spellStart"/>
      <w:r w:rsidRPr="00991F03">
        <w:rPr>
          <w:rFonts w:ascii="Bookman Old Style" w:hAnsi="Bookman Old Style"/>
          <w:sz w:val="24"/>
          <w:szCs w:val="24"/>
        </w:rPr>
        <w:t>Metode</w:t>
      </w:r>
      <w:proofErr w:type="spellEnd"/>
      <w:r w:rsidRPr="00991F03">
        <w:rPr>
          <w:rFonts w:ascii="Bookman Old Style" w:hAnsi="Bookman Old Style"/>
          <w:sz w:val="24"/>
          <w:szCs w:val="24"/>
        </w:rPr>
        <w:t xml:space="preserve"> </w:t>
      </w:r>
      <w:proofErr w:type="spellStart"/>
      <w:r w:rsidRPr="00991F03">
        <w:rPr>
          <w:rFonts w:ascii="Bookman Old Style" w:hAnsi="Bookman Old Style"/>
          <w:sz w:val="24"/>
          <w:szCs w:val="24"/>
        </w:rPr>
        <w:t>Penelitian</w:t>
      </w:r>
      <w:proofErr w:type="spellEnd"/>
      <w:r w:rsidRPr="00991F03">
        <w:rPr>
          <w:rFonts w:ascii="Bookman Old Style" w:hAnsi="Bookman Old Style"/>
          <w:sz w:val="24"/>
          <w:szCs w:val="24"/>
        </w:rPr>
        <w:t xml:space="preserve"> </w:t>
      </w:r>
      <w:proofErr w:type="spellStart"/>
      <w:r w:rsidRPr="00991F03">
        <w:rPr>
          <w:rFonts w:ascii="Bookman Old Style" w:hAnsi="Bookman Old Style"/>
          <w:sz w:val="24"/>
          <w:szCs w:val="24"/>
        </w:rPr>
        <w:t>Hukum</w:t>
      </w:r>
      <w:proofErr w:type="spellEnd"/>
      <w:r w:rsidRPr="00991F03">
        <w:rPr>
          <w:rFonts w:ascii="Bookman Old Style" w:hAnsi="Bookman Old Style"/>
          <w:sz w:val="24"/>
          <w:szCs w:val="24"/>
        </w:rPr>
        <w:t xml:space="preserve"> </w:t>
      </w:r>
      <w:proofErr w:type="spellStart"/>
      <w:r w:rsidRPr="00991F03">
        <w:rPr>
          <w:rFonts w:ascii="Bookman Old Style" w:hAnsi="Bookman Old Style"/>
          <w:sz w:val="24"/>
          <w:szCs w:val="24"/>
        </w:rPr>
        <w:t>Normatif</w:t>
      </w:r>
      <w:proofErr w:type="spellEnd"/>
      <w:r w:rsidRPr="00991F03">
        <w:rPr>
          <w:rFonts w:ascii="Bookman Old Style" w:hAnsi="Bookman Old Style"/>
          <w:sz w:val="24"/>
          <w:szCs w:val="24"/>
        </w:rPr>
        <w:t xml:space="preserve"> (</w:t>
      </w:r>
      <w:proofErr w:type="spellStart"/>
      <w:r w:rsidRPr="00991F03">
        <w:rPr>
          <w:rFonts w:ascii="Bookman Old Style" w:hAnsi="Bookman Old Style"/>
          <w:sz w:val="24"/>
          <w:szCs w:val="24"/>
        </w:rPr>
        <w:t>Strategi</w:t>
      </w:r>
      <w:proofErr w:type="spellEnd"/>
      <w:r w:rsidRPr="00991F03">
        <w:rPr>
          <w:rFonts w:ascii="Bookman Old Style" w:hAnsi="Bookman Old Style"/>
          <w:sz w:val="24"/>
          <w:szCs w:val="24"/>
        </w:rPr>
        <w:t xml:space="preserve"> </w:t>
      </w:r>
      <w:proofErr w:type="spellStart"/>
      <w:r w:rsidRPr="00991F03">
        <w:rPr>
          <w:rFonts w:ascii="Bookman Old Style" w:hAnsi="Bookman Old Style"/>
          <w:sz w:val="24"/>
          <w:szCs w:val="24"/>
        </w:rPr>
        <w:t>Praktis</w:t>
      </w:r>
      <w:proofErr w:type="spellEnd"/>
      <w:r w:rsidRPr="00991F03">
        <w:rPr>
          <w:rFonts w:ascii="Bookman Old Style" w:hAnsi="Bookman Old Style"/>
          <w:sz w:val="24"/>
          <w:szCs w:val="24"/>
        </w:rPr>
        <w:t xml:space="preserve"> </w:t>
      </w:r>
      <w:proofErr w:type="spellStart"/>
      <w:r w:rsidRPr="00991F03">
        <w:rPr>
          <w:rFonts w:ascii="Bookman Old Style" w:hAnsi="Bookman Old Style"/>
          <w:sz w:val="24"/>
          <w:szCs w:val="24"/>
        </w:rPr>
        <w:t>Penulisan</w:t>
      </w:r>
      <w:proofErr w:type="spellEnd"/>
      <w:r w:rsidRPr="00991F03">
        <w:rPr>
          <w:rFonts w:ascii="Bookman Old Style" w:hAnsi="Bookman Old Style"/>
          <w:sz w:val="24"/>
          <w:szCs w:val="24"/>
        </w:rPr>
        <w:t xml:space="preserve"> </w:t>
      </w:r>
      <w:proofErr w:type="spellStart"/>
      <w:r w:rsidRPr="00991F03">
        <w:rPr>
          <w:rFonts w:ascii="Bookman Old Style" w:hAnsi="Bookman Old Style"/>
          <w:sz w:val="24"/>
          <w:szCs w:val="24"/>
        </w:rPr>
        <w:t>Skripsi</w:t>
      </w:r>
      <w:proofErr w:type="spellEnd"/>
      <w:r w:rsidRPr="00991F03">
        <w:rPr>
          <w:rFonts w:ascii="Bookman Old Style" w:hAnsi="Bookman Old Style"/>
          <w:sz w:val="24"/>
          <w:szCs w:val="24"/>
        </w:rPr>
        <w:t xml:space="preserve">, </w:t>
      </w:r>
      <w:proofErr w:type="spellStart"/>
      <w:r w:rsidRPr="00991F03">
        <w:rPr>
          <w:rFonts w:ascii="Bookman Old Style" w:hAnsi="Bookman Old Style"/>
          <w:sz w:val="24"/>
          <w:szCs w:val="24"/>
        </w:rPr>
        <w:t>Tesis</w:t>
      </w:r>
      <w:proofErr w:type="spellEnd"/>
      <w:r w:rsidRPr="00991F03">
        <w:rPr>
          <w:rFonts w:ascii="Bookman Old Style" w:hAnsi="Bookman Old Style"/>
          <w:sz w:val="24"/>
          <w:szCs w:val="24"/>
        </w:rPr>
        <w:t xml:space="preserve">, </w:t>
      </w:r>
      <w:proofErr w:type="spellStart"/>
      <w:r w:rsidRPr="00991F03">
        <w:rPr>
          <w:rFonts w:ascii="Bookman Old Style" w:hAnsi="Bookman Old Style"/>
          <w:sz w:val="24"/>
          <w:szCs w:val="24"/>
        </w:rPr>
        <w:t>Disertasi</w:t>
      </w:r>
      <w:proofErr w:type="spellEnd"/>
      <w:r w:rsidRPr="00991F03">
        <w:rPr>
          <w:rFonts w:ascii="Bookman Old Style" w:hAnsi="Bookman Old Style"/>
          <w:sz w:val="24"/>
          <w:szCs w:val="24"/>
        </w:rPr>
        <w:t>).</w:t>
      </w:r>
    </w:p>
    <w:p w:rsidR="00991F03" w:rsidRDefault="00991F03" w:rsidP="00991F03">
      <w:pPr>
        <w:spacing w:before="240"/>
        <w:ind w:left="709" w:hanging="709"/>
        <w:jc w:val="both"/>
        <w:rPr>
          <w:rFonts w:ascii="Bookman Old Style" w:hAnsi="Bookman Old Style"/>
          <w:sz w:val="24"/>
          <w:szCs w:val="24"/>
        </w:rPr>
      </w:pPr>
      <w:r w:rsidRPr="00991F03">
        <w:rPr>
          <w:rFonts w:ascii="Bookman Old Style" w:hAnsi="Bookman Old Style"/>
          <w:sz w:val="24"/>
          <w:szCs w:val="24"/>
        </w:rPr>
        <w:fldChar w:fldCharType="begin" w:fldLock="1"/>
      </w:r>
      <w:r w:rsidRPr="00991F03">
        <w:rPr>
          <w:rFonts w:ascii="Bookman Old Style" w:hAnsi="Bookman Old Style"/>
          <w:sz w:val="24"/>
          <w:szCs w:val="24"/>
        </w:rPr>
        <w:instrText>ADDIN CSL_CITATION {"citationItems":[{"id":"ITEM-1","itemData":{"author":[{"dropping-particle":"","family":"Brawijaya","given":"Universitas","non-dropping-particle":"","parse-names":false,"suffix":""}],"id":"ITEM-1","issue":"6","issued":{"date-parts":[["2025"]]},"page":"1-35","title":"Pemidanaan Terhadap Pelaku Kawin Mut’ah (Kawin Kontrak) Dari Perspektif Hukum Islam Criminal Punishment Of Mut'ah (Contract) Marriage Perpetrators From The Perspective Of Islamic Law","type":"article-journal","volume":"6"},"uris":["http://www.mendeley.com/documents/?uuid=f49454a6-1729-4c56-bc45-bc93ae156b58"]}],"mendeley":{"formattedCitation":"Universitas Brawijaya, “Pemidanaan Terhadap Pelaku Kawin Mut’ah (Kawin Kontrak) Dari Perspektif Hukum Islam Criminal Punishment Of Mut’ah (Contract) Marriage Perpetrators From The Perspective Of Islamic Law” 6, no. 6 (2025): 1–35.","plainTextFormattedCitation":"Universitas Brawijaya, “Pemidanaan Terhadap Pelaku Kawin Mut’ah (Kawin Kontrak) Dari Perspektif Hukum Islam Criminal Punishment Of Mut’ah (Contract) Marriage Perpetrators From The Perspective Of Islamic Law” 6, no. 6 (2025): 1–35.","previouslyFormattedCitation":"Universitas Brawijaya, “Pemidanaan Terhadap Pelaku Kawin Mut’ah (Kawin Kontrak) Dari Perspektif Hukum Islam Criminal Punishment Of Mut’ah (Contract) Marriage Perpetrators From The Perspective Of Islamic Law” 6, no. 6 (2025): 1–35."},"properties":{"noteIndex":2},"schema":"https://github.com/citation-style-language/schema/raw/master/csl-citation.json"}</w:instrText>
      </w:r>
      <w:r w:rsidRPr="00991F03">
        <w:rPr>
          <w:rFonts w:ascii="Bookman Old Style" w:hAnsi="Bookman Old Style"/>
          <w:sz w:val="24"/>
          <w:szCs w:val="24"/>
        </w:rPr>
        <w:fldChar w:fldCharType="separate"/>
      </w:r>
      <w:r w:rsidRPr="00991F03">
        <w:rPr>
          <w:rFonts w:ascii="Bookman Old Style" w:hAnsi="Bookman Old Style"/>
          <w:noProof/>
          <w:sz w:val="24"/>
          <w:szCs w:val="24"/>
        </w:rPr>
        <w:t xml:space="preserve">Universitas Brawijaya, “Pemidanaan Terhadap Pelaku Kawin Mut’ah (Kawin Kontrak) Dari Perspektif Hukum Islam Criminal Punishment Of </w:t>
      </w:r>
      <w:r w:rsidRPr="00991F03">
        <w:rPr>
          <w:rFonts w:ascii="Bookman Old Style" w:hAnsi="Bookman Old Style"/>
          <w:noProof/>
          <w:sz w:val="24"/>
          <w:szCs w:val="24"/>
        </w:rPr>
        <w:lastRenderedPageBreak/>
        <w:t>Mut’ah (Contract) Marriage Perpetrators From The Perspective Of Islamic Law” 6, no. 6 (2025): 1–35.</w:t>
      </w:r>
      <w:r w:rsidRPr="00991F03">
        <w:rPr>
          <w:rFonts w:ascii="Bookman Old Style" w:hAnsi="Bookman Old Style"/>
          <w:sz w:val="24"/>
          <w:szCs w:val="24"/>
        </w:rPr>
        <w:fldChar w:fldCharType="end"/>
      </w:r>
    </w:p>
    <w:p w:rsidR="00991F03" w:rsidRPr="00991F03" w:rsidRDefault="00991F03" w:rsidP="00991F03">
      <w:pPr>
        <w:pStyle w:val="FootnoteText"/>
        <w:rPr>
          <w:rFonts w:ascii="Bookman Old Style" w:hAnsi="Bookman Old Style"/>
          <w:sz w:val="24"/>
          <w:szCs w:val="24"/>
        </w:rPr>
      </w:pPr>
    </w:p>
    <w:p w:rsidR="00991F03" w:rsidRPr="00991F03" w:rsidRDefault="00991F03" w:rsidP="00297F82">
      <w:pPr>
        <w:spacing w:before="240"/>
        <w:ind w:left="709" w:hanging="709"/>
        <w:jc w:val="both"/>
        <w:rPr>
          <w:rFonts w:ascii="Bookman Old Style" w:hAnsi="Bookman Old Style"/>
          <w:sz w:val="24"/>
          <w:szCs w:val="24"/>
        </w:rPr>
      </w:pPr>
    </w:p>
    <w:sectPr w:rsidR="00991F03" w:rsidRPr="00991F03" w:rsidSect="00522869">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288" w:footer="70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BE0" w:rsidRDefault="00397BE0" w:rsidP="00ED635A">
      <w:pPr>
        <w:spacing w:after="0" w:line="240" w:lineRule="auto"/>
      </w:pPr>
      <w:r>
        <w:separator/>
      </w:r>
    </w:p>
  </w:endnote>
  <w:endnote w:type="continuationSeparator" w:id="0">
    <w:p w:rsidR="00397BE0" w:rsidRDefault="00397BE0"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C46A18" w:rsidRPr="00EB3C89" w:rsidRDefault="00C46A18">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991F03">
          <w:rPr>
            <w:rFonts w:ascii="Bookman Old Style" w:hAnsi="Bookman Old Style"/>
            <w:noProof/>
            <w:sz w:val="18"/>
          </w:rPr>
          <w:t>2</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EndPr/>
    <w:sdtContent>
      <w:p w:rsidR="00C46A18" w:rsidRDefault="00C46A18">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991F03">
          <w:rPr>
            <w:rFonts w:ascii="Bookman Old Style" w:hAnsi="Bookman Old Style"/>
            <w:noProof/>
            <w:sz w:val="18"/>
          </w:rPr>
          <w:t>9</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C46A18" w:rsidRDefault="00C46A18">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991F03">
          <w:rPr>
            <w:rFonts w:ascii="Bookman Old Style" w:hAnsi="Bookman Old Style"/>
            <w:noProof/>
            <w:sz w:val="18"/>
          </w:rPr>
          <w:t>1</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BE0" w:rsidRDefault="00397BE0" w:rsidP="00ED635A">
      <w:pPr>
        <w:spacing w:after="0" w:line="240" w:lineRule="auto"/>
      </w:pPr>
      <w:r>
        <w:separator/>
      </w:r>
    </w:p>
  </w:footnote>
  <w:footnote w:type="continuationSeparator" w:id="0">
    <w:p w:rsidR="00397BE0" w:rsidRDefault="00397BE0" w:rsidP="00ED635A">
      <w:pPr>
        <w:spacing w:after="0" w:line="240" w:lineRule="auto"/>
      </w:pPr>
      <w:r>
        <w:continuationSeparator/>
      </w:r>
    </w:p>
  </w:footnote>
  <w:footnote w:id="1">
    <w:p w:rsidR="00C46A18" w:rsidRPr="007A5512" w:rsidRDefault="00C46A18" w:rsidP="00991F03">
      <w:pPr>
        <w:pStyle w:val="FootnoteText"/>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r w:rsidR="00917402">
        <w:rPr>
          <w:rFonts w:ascii="Bookman Old Style" w:hAnsi="Bookman Old Style" w:cs="Times New Roman"/>
          <w:sz w:val="18"/>
        </w:rPr>
        <w:t xml:space="preserve"> </w:t>
      </w:r>
      <w:hyperlink r:id="rId1" w:history="1"/>
      <w:hyperlink r:id="rId2" w:history="1">
        <w:r w:rsidR="00577BA6" w:rsidRPr="004814EC">
          <w:rPr>
            <w:rStyle w:val="Hyperlink"/>
            <w:rFonts w:ascii="Bookman Old Style" w:hAnsi="Bookman Old Style" w:cs="Times New Roman"/>
            <w:sz w:val="18"/>
          </w:rPr>
          <w:t>maswandi@staff.uma.ac.id</w:t>
        </w:r>
      </w:hyperlink>
      <w:r w:rsidR="00577BA6">
        <w:rPr>
          <w:rFonts w:ascii="Bookman Old Style" w:hAnsi="Bookman Old Style" w:cs="Times New Roman"/>
          <w:sz w:val="18"/>
        </w:rPr>
        <w:t xml:space="preserve"> </w:t>
      </w:r>
    </w:p>
  </w:footnote>
  <w:footnote w:id="2">
    <w:p w:rsidR="00577BA6" w:rsidRDefault="00577BA6" w:rsidP="00991F03">
      <w:pPr>
        <w:pStyle w:val="FootnoteText"/>
        <w:jc w:val="both"/>
      </w:pPr>
      <w:r>
        <w:rPr>
          <w:rStyle w:val="FootnoteReference"/>
        </w:rPr>
        <w:footnoteRef/>
      </w:r>
      <w:r>
        <w:t xml:space="preserve"> </w:t>
      </w:r>
      <w:r>
        <w:fldChar w:fldCharType="begin" w:fldLock="1"/>
      </w:r>
      <w:r>
        <w:instrText>ADDIN CSL_CITATION {"citationItems":[{"id":"ITEM-1","itemData":{"author":[{"dropping-particle":"","family":"Fathinnuddin","given":"Muhammad","non-dropping-particle":"","parse-names":false,"suffix":""}],"id":"ITEM-1","issue":"2023","issued":{"date-parts":[["2026"]]},"page":"19-24","title":"Analisis Yuridis Eksistensi Tindak Pidana Perkawinan di Indonesia Berdasarkan Undang-undang Nomor 1 Tahun 2023 tentang KUHPidana","type":"article-journal","volume":"1"},"uris":["http://www.mendeley.com/documents/?uuid=3e037e29-5fc3-4144-b239-f86ca408da91"]}],"mendeley":{"formattedCitation":"Muhammad Fathinnuddin, “Analisis Yuridis Eksistensi Tindak Pidana Perkawinan Di Indonesia Berdasarkan Undang-Undang Nomor 1 Tahun 2023 Tentang KUHPidana” 1, no. 2023 (2026): 19–24.","plainTextFormattedCitation":"Muhammad Fathinnuddin, “Analisis Yuridis Eksistensi Tindak Pidana Perkawinan Di Indonesia Berdasarkan Undang-Undang Nomor 1 Tahun 2023 Tentang KUHPidana” 1, no. 2023 (2026): 19–24.","previouslyFormattedCitation":"Muhammad Fathinnuddin, “Analisis Yuridis Eksistensi Tindak Pidana Perkawinan Di Indonesia Berdasarkan Undang-Undang Nomor 1 Tahun 2023 Tentang KUHPidana” 1, no. 2023 (2026): 19–24."},"properties":{"noteIndex":1},"schema":"https://github.com/citation-style-language/schema/raw/master/csl-citation.json"}</w:instrText>
      </w:r>
      <w:r>
        <w:fldChar w:fldCharType="separate"/>
      </w:r>
      <w:r w:rsidRPr="002E4010">
        <w:rPr>
          <w:noProof/>
        </w:rPr>
        <w:t>Muhammad Fathinnuddin, “Analisis Yuridis Eksistensi Tindak Pidana Perkawinan Di Indonesia Berdasarkan Undang-Undang Nomor 1 Ta</w:t>
      </w:r>
      <w:r>
        <w:rPr>
          <w:noProof/>
        </w:rPr>
        <w:t>hun 2023 Tentang KUHPidana” 1, N</w:t>
      </w:r>
      <w:r w:rsidRPr="002E4010">
        <w:rPr>
          <w:noProof/>
        </w:rPr>
        <w:t>o. 2023 (2026): 19–24.</w:t>
      </w:r>
      <w:r>
        <w:fldChar w:fldCharType="end"/>
      </w:r>
    </w:p>
  </w:footnote>
  <w:footnote w:id="3">
    <w:p w:rsidR="00577BA6" w:rsidRDefault="00577BA6" w:rsidP="00991F03">
      <w:pPr>
        <w:pStyle w:val="FootnoteText"/>
        <w:jc w:val="both"/>
      </w:pPr>
      <w:r>
        <w:rPr>
          <w:rStyle w:val="FootnoteReference"/>
        </w:rPr>
        <w:footnoteRef/>
      </w:r>
      <w:r>
        <w:t xml:space="preserve"> </w:t>
      </w:r>
      <w:r>
        <w:fldChar w:fldCharType="begin" w:fldLock="1"/>
      </w:r>
      <w:r>
        <w:instrText>ADDIN CSL_CITATION {"citationItems":[{"id":"ITEM-1","itemData":{"author":[{"dropping-particle":"","family":"Brawijaya","given":"Universitas","non-dropping-particle":"","parse-names":false,"suffix":""}],"id":"ITEM-1","issue":"6","issued":{"date-parts":[["2025"]]},"page":"1-35","title":"Pemidanaan Terhadap Pelaku Kawin Mut’ah (Kawin Kontrak) Dari Perspektif Hukum Islam Criminal Punishment Of Mut'ah (Contract) Marriage Perpetrators From The Perspective Of Islamic Law","type":"article-journal","volume":"6"},"uris":["http://www.mendeley.com/documents/?uuid=f49454a6-1729-4c56-bc45-bc93ae156b58"]}],"mendeley":{"formattedCitation":"Universitas Brawijaya, “Pemidanaan Terhadap Pelaku Kawin Mut’ah (Kawin Kontrak) Dari Perspektif Hukum Islam Criminal Punishment Of Mut’ah (Contract) Marriage Perpetrators From The Perspective Of Islamic Law” 6, no. 6 (2025): 1–35.","plainTextFormattedCitation":"Universitas Brawijaya, “Pemidanaan Terhadap Pelaku Kawin Mut’ah (Kawin Kontrak) Dari Perspektif Hukum Islam Criminal Punishment Of Mut’ah (Contract) Marriage Perpetrators From The Perspective Of Islamic Law” 6, no. 6 (2025): 1–35.","previouslyFormattedCitation":"Universitas Brawijaya, “Pemidanaan Terhadap Pelaku Kawin Mut’ah (Kawin Kontrak) Dari Perspektif Hukum Islam Criminal Punishment Of Mut’ah (Contract) Marriage Perpetrators From The Perspective Of Islamic Law” 6, no. 6 (2025): 1–35."},"properties":{"noteIndex":2},"schema":"https://github.com/citation-style-language/schema/raw/master/csl-citation.json"}</w:instrText>
      </w:r>
      <w:r>
        <w:fldChar w:fldCharType="separate"/>
      </w:r>
      <w:r w:rsidRPr="002E4010">
        <w:rPr>
          <w:noProof/>
        </w:rPr>
        <w:t>Universitas Brawijaya, “Pemidanaan Terhadap Pelaku Kawin Mut’ah (Kawin Kontrak) Dari Perspektif Hukum Islam Criminal Punishment Of Mut’ah (Contract) Marriage Perpetrators From The Perspective Of Islamic Law” 6, no. 6 (2025): 1–35.</w:t>
      </w:r>
      <w:r>
        <w:fldChar w:fldCharType="end"/>
      </w:r>
    </w:p>
  </w:footnote>
  <w:footnote w:id="4">
    <w:p w:rsidR="00577BA6" w:rsidRDefault="00577BA6" w:rsidP="00991F03">
      <w:pPr>
        <w:pStyle w:val="FootnoteText"/>
        <w:jc w:val="both"/>
      </w:pPr>
      <w:r>
        <w:rPr>
          <w:rStyle w:val="FootnoteReference"/>
        </w:rPr>
        <w:footnoteRef/>
      </w:r>
      <w:r>
        <w:t xml:space="preserve"> </w:t>
      </w:r>
      <w:r>
        <w:fldChar w:fldCharType="begin" w:fldLock="1"/>
      </w:r>
      <w:r>
        <w:instrText>ADDIN CSL_CITATION {"citationItems":[{"id":"ITEM-1","itemData":{"author":[{"dropping-particle":"","family":"Alfarisi","given":"Achmad Hasan","non-dropping-particle":"","parse-names":false,"suffix":""}],"id":"ITEM-1","issue":"03","issued":{"date-parts":[["2025"]]},"page":"1038-1045","title":"Kontribusi Hukum Islam dalam Bidang Hukum Pidana di Indonesia","type":"article-journal","volume":"02"},"uris":["http://www.mendeley.com/documents/?uuid=f078bdad-ee25-469c-bafd-f770040f6fd5"]}],"mendeley":{"formattedCitation":"Achmad Hasan Alfarisi, “Kontribusi Hukum Islam Dalam Bidang Hukum Pidana Di Indonesia” 02, no. 03 (2025): 1038–45.","plainTextFormattedCitation":"Achmad Hasan Alfarisi, “Kontribusi Hukum Islam Dalam Bidang Hukum Pidana Di Indonesia” 02, no. 03 (2025): 1038–45.","previouslyFormattedCitation":"Achmad Hasan Alfarisi, “Kontribusi Hukum Islam Dalam Bidang Hukum Pidana Di Indonesia” 02, no. 03 (2025): 1038–45."},"properties":{"noteIndex":3},"schema":"https://github.com/citation-style-language/schema/raw/master/csl-citation.json"}</w:instrText>
      </w:r>
      <w:r>
        <w:fldChar w:fldCharType="separate"/>
      </w:r>
      <w:r w:rsidRPr="002E4010">
        <w:rPr>
          <w:noProof/>
        </w:rPr>
        <w:t>Achmad Hasan Alfarisi, “Kontribusi Hukum Islam Dalam Bidang Hukum Pidana Di Indonesia” 02, no. 03 (2025): 1038–45.</w:t>
      </w:r>
      <w:r>
        <w:fldChar w:fldCharType="end"/>
      </w:r>
    </w:p>
  </w:footnote>
  <w:footnote w:id="5">
    <w:p w:rsidR="00577BA6" w:rsidRDefault="00577BA6" w:rsidP="00991F03">
      <w:pPr>
        <w:pStyle w:val="FootnoteText"/>
        <w:jc w:val="both"/>
      </w:pPr>
      <w:r>
        <w:rPr>
          <w:rStyle w:val="FootnoteReference"/>
        </w:rPr>
        <w:footnoteRef/>
      </w:r>
      <w:r>
        <w:t xml:space="preserve"> </w:t>
      </w:r>
      <w:r>
        <w:fldChar w:fldCharType="begin" w:fldLock="1"/>
      </w:r>
      <w:r>
        <w:instrText>ADDIN CSL_CITATION {"citationItems":[{"id":"ITEM-1","itemData":{"author":[{"dropping-particle":"","family":"MAKNUN","given":"LU’LUUL","non-dropping-particle":"","parse-names":false,"suffix":""}],"id":"ITEM-1","issued":{"date-parts":[["2025"]]},"publisher":"UNIVERSITAS BATANGHARI JAMBI","title":"PERLINDUNGAN HUKUM TERHADAP ISTRI YANG MENJADI KORBAN TINDAK PIDANA KEKERASAN DALAM RUMAH TANGGA OLEH SUAMI DIWILAYAH HUKUM KEPOLISIAN RESOR KOTA JAMBI","type":"article"},"uris":["http://www.mendeley.com/documents/?uuid=c252acea-5b00-4371-9b2a-da81e193ebfb"]}],"mendeley":{"formattedCitation":"LU’LUUL MAKNUN, “PERLINDUNGAN HUKUM TERHADAP ISTRI YANG MENJADI KORBAN TINDAK PIDANA KEKERASAN DALAM RUMAH TANGGA OLEH SUAMI DIWILAYAH HUKUM KEPOLISIAN RESOR KOTA JAMBI” (UNIVERSITAS BATANGHARI JAMBI, 2025).","plainTextFormattedCitation":"LU’LUUL MAKNUN, “PERLINDUNGAN HUKUM TERHADAP ISTRI YANG MENJADI KORBAN TINDAK PIDANA KEKERASAN DALAM RUMAH TANGGA OLEH SUAMI DIWILAYAH HUKUM KEPOLISIAN RESOR KOTA JAMBI” (UNIVERSITAS BATANGHARI JAMBI, 2025).","previouslyFormattedCitation":"LU’LUUL MAKNUN, “PERLINDUNGAN HUKUM TERHADAP ISTRI YANG MENJADI KORBAN TINDAK PIDANA KEKERASAN DALAM RUMAH TANGGA OLEH SUAMI DIWILAYAH HUKUM KEPOLISIAN RESOR KOTA JAMBI” (UNIVERSITAS BATANGHARI JAMBI, 2025)."},"properties":{"noteIndex":4},"schema":"https://github.com/citation-style-language/schema/raw/master/csl-citation.json"}</w:instrText>
      </w:r>
      <w:r>
        <w:fldChar w:fldCharType="separate"/>
      </w:r>
      <w:r w:rsidRPr="002E4010">
        <w:rPr>
          <w:noProof/>
        </w:rPr>
        <w:t>Lu’luul Maknun, “Perlindungan Hukum Terhadap Istri Yang Menjadi Korban Tindak Pidana Kekerasan Dalam Rumah Tangga Oleh Suami Diwilayah Hukum Kepolisian Resor Kota Jambi” (Universitas Batanghari Jambi, 2025).</w:t>
      </w:r>
      <w:r>
        <w:fldChar w:fldCharType="end"/>
      </w:r>
    </w:p>
  </w:footnote>
  <w:footnote w:id="6">
    <w:p w:rsidR="004B66C2" w:rsidRDefault="004B66C2" w:rsidP="00991F03">
      <w:pPr>
        <w:pStyle w:val="FootnoteText"/>
        <w:jc w:val="both"/>
      </w:pPr>
      <w:r>
        <w:rPr>
          <w:rStyle w:val="FootnoteReference"/>
        </w:rPr>
        <w:footnoteRef/>
      </w:r>
      <w:r>
        <w:t xml:space="preserve"> </w:t>
      </w:r>
      <w:r>
        <w:fldChar w:fldCharType="begin" w:fldLock="1"/>
      </w:r>
      <w:r>
        <w:instrText>ADDIN CSL_CITATION {"citationItems":[{"id":"ITEM-1","itemData":{"author":[{"dropping-particle":"","family":"Hanapi","given":"Agustin","non-dropping-particle":"","parse-names":false,"suffix":""}],"id":"ITEM-1","issue":"2","issued":{"date-parts":[["2024"]]},"page":"123-141","title":"Resolution Of Polyandry Cases Through Customary Law (A Case Study In Darussalam District, Aceh Besar Regency)","type":"article-journal","volume":"1"},"uris":["http://www.mendeley.com/documents/?uuid=4959d8ac-1cbb-4855-bc61-673e9f43d6bb"]}],"mendeley":{"formattedCitation":"Agustin Hanapi, “Resolution Of Polyandry Cases Through Customary Law (A Case Study In Darussalam District, Aceh Besar Regency)” 1, no. 2 (2024): 123–41.","plainTextFormattedCitation":"Agustin Hanapi, “Resolution Of Polyandry Cases Through Customary Law (A Case Study In Darussalam District, Aceh Besar Regency)” 1, no. 2 (2024): 123–41.","previouslyFormattedCitation":"Agustin Hanapi, “Resolution Of Polyandry Cases Through Customary Law (A Case Study In Darussalam District, Aceh Besar Regency)” 1, no. 2 (2024): 123–41."},"properties":{"noteIndex":5},"schema":"https://github.com/citation-style-language/schema/raw/master/csl-citation.json"}</w:instrText>
      </w:r>
      <w:r>
        <w:fldChar w:fldCharType="separate"/>
      </w:r>
      <w:r w:rsidRPr="002E4010">
        <w:rPr>
          <w:noProof/>
        </w:rPr>
        <w:t>Agustin Hanapi, “Resolution Of Polyandry Cases Through Customary Law (A Case Study In Darussalam District, Aceh Besar Regency)” 1, no. 2 (2024): 123–41.</w:t>
      </w:r>
      <w:r>
        <w:fldChar w:fldCharType="end"/>
      </w:r>
    </w:p>
  </w:footnote>
  <w:footnote w:id="7">
    <w:p w:rsidR="00F60074" w:rsidRDefault="00F60074" w:rsidP="00991F03">
      <w:pPr>
        <w:pStyle w:val="FootnoteText"/>
        <w:jc w:val="both"/>
      </w:pPr>
      <w:r>
        <w:rPr>
          <w:rStyle w:val="FootnoteReference"/>
        </w:rPr>
        <w:footnoteRef/>
      </w:r>
      <w:r>
        <w:t xml:space="preserve"> </w:t>
      </w:r>
      <w:proofErr w:type="spellStart"/>
      <w:r>
        <w:t>Sitompul</w:t>
      </w:r>
      <w:proofErr w:type="spellEnd"/>
      <w:r>
        <w:t xml:space="preserve">, A. (2022). </w:t>
      </w:r>
      <w:proofErr w:type="spellStart"/>
      <w:r>
        <w:t>Metode</w:t>
      </w:r>
      <w:proofErr w:type="spellEnd"/>
      <w:r>
        <w:t xml:space="preserve"> </w:t>
      </w:r>
      <w:proofErr w:type="spellStart"/>
      <w:r>
        <w:t>Penelitian</w:t>
      </w:r>
      <w:proofErr w:type="spellEnd"/>
      <w:r>
        <w:t xml:space="preserve"> </w:t>
      </w:r>
      <w:proofErr w:type="spellStart"/>
      <w:r>
        <w:t>Hukum</w:t>
      </w:r>
      <w:proofErr w:type="spellEnd"/>
      <w:r>
        <w:t xml:space="preserve"> </w:t>
      </w:r>
      <w:proofErr w:type="spellStart"/>
      <w:r>
        <w:t>Normatif</w:t>
      </w:r>
      <w:proofErr w:type="spellEnd"/>
      <w:r>
        <w:t xml:space="preserve"> (</w:t>
      </w:r>
      <w:proofErr w:type="spellStart"/>
      <w:r>
        <w:t>Strategi</w:t>
      </w:r>
      <w:proofErr w:type="spellEnd"/>
      <w:r>
        <w:t xml:space="preserve"> </w:t>
      </w:r>
      <w:proofErr w:type="spellStart"/>
      <w:r>
        <w:t>Praktis</w:t>
      </w:r>
      <w:proofErr w:type="spellEnd"/>
      <w:r>
        <w:t xml:space="preserve"> </w:t>
      </w:r>
      <w:proofErr w:type="spellStart"/>
      <w:r>
        <w:t>Penulisan</w:t>
      </w:r>
      <w:proofErr w:type="spellEnd"/>
      <w:r>
        <w:t xml:space="preserve"> </w:t>
      </w:r>
      <w:proofErr w:type="spellStart"/>
      <w:r>
        <w:t>Skripsi</w:t>
      </w:r>
      <w:proofErr w:type="spellEnd"/>
      <w:r>
        <w:t xml:space="preserve">, </w:t>
      </w:r>
      <w:proofErr w:type="spellStart"/>
      <w:r>
        <w:t>Tesis</w:t>
      </w:r>
      <w:proofErr w:type="spellEnd"/>
      <w:r>
        <w:t xml:space="preserve">, </w:t>
      </w:r>
      <w:proofErr w:type="spellStart"/>
      <w:r>
        <w:t>Disertasi</w:t>
      </w:r>
      <w:proofErr w:type="spellEnd"/>
      <w:r>
        <w:t>).</w:t>
      </w:r>
    </w:p>
  </w:footnote>
  <w:footnote w:id="8">
    <w:p w:rsidR="004B66C2" w:rsidRDefault="004B66C2" w:rsidP="00991F03">
      <w:pPr>
        <w:pStyle w:val="FootnoteText"/>
        <w:jc w:val="both"/>
      </w:pPr>
      <w:r>
        <w:rPr>
          <w:rStyle w:val="FootnoteReference"/>
        </w:rPr>
        <w:footnoteRef/>
      </w:r>
      <w:r>
        <w:t xml:space="preserve"> </w:t>
      </w:r>
      <w:r>
        <w:fldChar w:fldCharType="begin" w:fldLock="1"/>
      </w:r>
      <w:r>
        <w:instrText>ADDIN CSL_CITATION {"citationItems":[{"id":"ITEM-1","itemData":{"id":"ITEM-1","issue":"1","issued":{"date-parts":[["2023"]]},"page":"1-261","title":"Undang-Undang Republik Indonesia Nomor 1 Tahun 2023 Tentang Kitab Undang-Undang Hukum Pidana","type":"article-journal"},"uris":["http://www.mendeley.com/documents/?uuid=6e978fbc-50ba-4959-a193-dce01cfbc515"]}],"mendeley":{"formattedCitation":"“Undang-Undang Republik Indonesia Nomor 1 Tahun 2023 Tentang Kitab Undang-Undang Hukum Pidana,” no. 1 (2023): 1–261.","plainTextFormattedCitation":"“Undang-Undang Republik Indonesia Nomor 1 Tahun 2023 Tentang Kitab Undang-Undang Hukum Pidana,” no. 1 (2023): 1–261.","previouslyFormattedCitation":"“Undang-Undang Republik Indonesia Nomor 1 Tahun 2023 Tentang Kitab Undang-Undang Hukum Pidana,” no. 1 (2023): 1–261."},"properties":{"noteIndex":6},"schema":"https://github.com/citation-style-language/schema/raw/master/csl-citation.json"}</w:instrText>
      </w:r>
      <w:r>
        <w:fldChar w:fldCharType="separate"/>
      </w:r>
      <w:r w:rsidRPr="002E4010">
        <w:rPr>
          <w:noProof/>
        </w:rPr>
        <w:t>“Undang-Undang Republik Indonesia Nomor 1 Tahun 2023 Tentang Kita</w:t>
      </w:r>
      <w:r>
        <w:rPr>
          <w:noProof/>
        </w:rPr>
        <w:t>b Undang-Undang Hukum Pidana,” N</w:t>
      </w:r>
      <w:r w:rsidRPr="002E4010">
        <w:rPr>
          <w:noProof/>
        </w:rPr>
        <w:t>o. 1 (2023): 1–261.</w:t>
      </w:r>
      <w:r>
        <w:fldChar w:fldCharType="end"/>
      </w:r>
    </w:p>
  </w:footnote>
  <w:footnote w:id="9">
    <w:p w:rsidR="00523487" w:rsidRPr="002E4010" w:rsidRDefault="00523487" w:rsidP="00991F03">
      <w:pPr>
        <w:pStyle w:val="FootnoteText"/>
        <w:jc w:val="both"/>
      </w:pPr>
      <w:r>
        <w:rPr>
          <w:rStyle w:val="FootnoteReference"/>
        </w:rPr>
        <w:footnoteRef/>
      </w:r>
      <w:r>
        <w:t xml:space="preserve"> </w:t>
      </w:r>
      <w:r>
        <w:fldChar w:fldCharType="begin" w:fldLock="1"/>
      </w:r>
      <w:r>
        <w:instrText>ADDIN CSL_CITATION {"citationItems":[{"id":"ITEM-1","itemData":{"author":[{"dropping-particle":"","family":"Elita","given":"Rya","non-dropping-particle":"","parse-names":false,"suffix":""}],"id":"ITEM-1","issued":{"date-parts":[["2026"]]},"page":"62-68","title":"Analisis Tindak Pidana Perzinaan Dalam Pembaharuan Hukum Pidana Dan Qanun Jinayat Di Aceh","type":"article-journal"},"uris":["http://www.mendeley.com/documents/?uuid=6d630d24-c93f-497a-a225-548286846f73"]}],"mendeley":{"formattedCitation":"Rya Elita, “Analisis Tindak Pidana Perzinaan Dalam Pembaharuan Hukum Pidana Dan Qanun Jinayat Di Aceh,” 2026, 62–68.","plainTextFormattedCitation":"Rya Elita, “Analisis Tindak Pidana Perzinaan Dalam Pembaharuan Hukum Pidana Dan Qanun Jinayat Di Aceh,” 2026, 62–68.","previouslyFormattedCitation":"Rya Elita, “Analisis Tindak Pidana Perzinaan Dalam Pembaharuan Hukum Pidana Dan Qanun Jinayat Di Aceh,” 2026, 62–68."},"properties":{"noteIndex":7},"schema":"https://github.com/citation-style-language/schema/raw/master/csl-citation.json"}</w:instrText>
      </w:r>
      <w:r>
        <w:fldChar w:fldCharType="separate"/>
      </w:r>
      <w:r w:rsidRPr="002E4010">
        <w:rPr>
          <w:noProof/>
        </w:rPr>
        <w:t>Rya Elita, “Analisis Tindak Pidana Perzinaan Dalam Pembaharuan Hukum Pidana Dan Qanun Jinayat Di Aceh,” 2026, 62–68.</w:t>
      </w:r>
      <w:r>
        <w:fldChar w:fldCharType="end"/>
      </w:r>
    </w:p>
    <w:p w:rsidR="00523487" w:rsidRDefault="00523487" w:rsidP="00991F03">
      <w:pPr>
        <w:pStyle w:val="FootnoteText"/>
        <w:jc w:val="both"/>
      </w:pPr>
    </w:p>
  </w:footnote>
  <w:footnote w:id="10">
    <w:p w:rsidR="00523487" w:rsidRDefault="00523487" w:rsidP="00991F03">
      <w:pPr>
        <w:pStyle w:val="FootnoteText"/>
        <w:jc w:val="both"/>
      </w:pPr>
      <w:r>
        <w:rPr>
          <w:rStyle w:val="FootnoteReference"/>
        </w:rPr>
        <w:footnoteRef/>
      </w:r>
      <w:r>
        <w:t xml:space="preserve"> </w:t>
      </w:r>
      <w:r w:rsidRPr="002E4010">
        <w:rPr>
          <w:noProof/>
        </w:rPr>
        <w:t>Daniel Indriadi, Vivian Nadienna, and Vidya Utami Naya, “Perbedaan Hukumantara Poligami Dan Poliandri Bedasarkan Konsep Keadil</w:t>
      </w:r>
    </w:p>
  </w:footnote>
  <w:footnote w:id="11">
    <w:p w:rsidR="00523487" w:rsidRPr="002E4010" w:rsidRDefault="00523487" w:rsidP="00991F03">
      <w:pPr>
        <w:pStyle w:val="FootnoteText"/>
        <w:jc w:val="both"/>
      </w:pPr>
      <w:r>
        <w:rPr>
          <w:rStyle w:val="FootnoteReference"/>
        </w:rPr>
        <w:footnoteRef/>
      </w:r>
      <w:r>
        <w:t xml:space="preserve"> </w:t>
      </w:r>
      <w:r>
        <w:fldChar w:fldCharType="begin" w:fldLock="1"/>
      </w:r>
      <w:r>
        <w:instrText>ADDIN CSL_CITATION {"citationItems":[{"id":"ITEM-1","itemData":{"author":[{"dropping-particle":"","family":"Zuhroh","given":"Diana","non-dropping-particle":"","parse-names":false,"suffix":""}],"id":"ITEM-1","issued":{"date-parts":[["2025"]]},"title":"Husband-Wife Relations in Polyandry Households : Empirical Study of Polyandry in Plosorejo Village , Kismantoro District Wonogiri","type":"article-journal","volume":"5"},"uris":["http://www.mendeley.com/documents/?uuid=94078cb3-c263-4564-a5ee-dafd2d378c2e"]}],"mendeley":{"formattedCitation":"Diana Zuhroh, “Husband-Wife Relations in Polyandry Households : Empirical Study of Polyandry in Plosorejo Village , Kismantoro District Wonogiri” 5 (2025).","plainTextFormattedCitation":"Diana Zuhroh, “Husband-Wife Relations in Polyandry Households : Empirical Study of Polyandry in Plosorejo Village , Kismantoro District Wonogiri” 5 (2025).","previouslyFormattedCitation":"Diana Zuhroh, “Husband-Wife Relations in Polyandry Households : Empirical Study of Polyandry in Plosorejo Village , Kismantoro District Wonogiri” 5 (2025)."},"properties":{"noteIndex":9},"schema":"https://github.com/citation-style-language/schema/raw/master/csl-citation.json"}</w:instrText>
      </w:r>
      <w:r>
        <w:fldChar w:fldCharType="separate"/>
      </w:r>
      <w:r w:rsidRPr="002E4010">
        <w:rPr>
          <w:noProof/>
        </w:rPr>
        <w:t>Diana Zuhroh, “Husband-Wife Relations in Polyandry Households : Empirical Study of Polyandry in Plosorejo Village , Kismantoro District Wonogiri” 5 (2025).</w:t>
      </w:r>
      <w:r>
        <w:fldChar w:fldCharType="end"/>
      </w:r>
    </w:p>
    <w:p w:rsidR="00523487" w:rsidRDefault="00523487" w:rsidP="00991F03">
      <w:pPr>
        <w:pStyle w:val="FootnoteText"/>
        <w:jc w:val="both"/>
      </w:pPr>
    </w:p>
  </w:footnote>
  <w:footnote w:id="12">
    <w:p w:rsidR="00523487" w:rsidRDefault="00523487" w:rsidP="00991F03">
      <w:pPr>
        <w:pStyle w:val="FootnoteText"/>
        <w:jc w:val="both"/>
      </w:pPr>
      <w:r>
        <w:rPr>
          <w:rStyle w:val="FootnoteReference"/>
        </w:rPr>
        <w:footnoteRef/>
      </w:r>
      <w:r>
        <w:t xml:space="preserve"> </w:t>
      </w:r>
      <w:r>
        <w:fldChar w:fldCharType="begin" w:fldLock="1"/>
      </w:r>
      <w:r>
        <w:instrText>ADDIN CSL_CITATION {"citationItems":[{"id":"ITEM-1","itemData":{"author":[{"dropping-particle":"","family":"Maswandi","given":"","non-dropping-particle":"","parse-names":false,"suffix":""}],"id":"ITEM-1","issue":"4","issued":{"date-parts":[["2023"]]},"page":"163-168","title":"Community Views On Polygamy And Polyandry Islamic Legal Perspective","type":"article-journal","volume":"2"},"uris":["http://www.mendeley.com/documents/?uuid=d01f1942-27c2-4cc0-8dbe-cc60e6be1682"]}],"mendeley":{"formattedCitation":"Maswandi, “Community Views On Polygamy And Polyandry Islamic Legal Perspective” 2, no. 4 (2023): 163–68.","plainTextFormattedCitation":"Maswandi, “Community Views On Polygamy And Polyandry Islamic Legal Perspective” 2, no. 4 (2023): 163–68.","previouslyFormattedCitation":"Maswandi, “Community Views On Polygamy And Polyandry Islamic Legal Perspective” 2, no. 4 (2023): 163–68."},"properties":{"noteIndex":10},"schema":"https://github.com/citation-style-language/schema/raw/master/csl-citation.json"}</w:instrText>
      </w:r>
      <w:r>
        <w:fldChar w:fldCharType="separate"/>
      </w:r>
      <w:r w:rsidRPr="002E4010">
        <w:rPr>
          <w:noProof/>
        </w:rPr>
        <w:t>Maswandi, “Community Views On Polygamy And Polyandry Islamic Legal Perspective” 2, no. 4 (2023): 163–68.</w:t>
      </w:r>
      <w:r>
        <w:fldChar w:fldCharType="end"/>
      </w:r>
    </w:p>
  </w:footnote>
  <w:footnote w:id="13">
    <w:p w:rsidR="00523487" w:rsidRDefault="00523487" w:rsidP="00991F03">
      <w:pPr>
        <w:pStyle w:val="FootnoteText"/>
        <w:jc w:val="both"/>
      </w:pPr>
      <w:r>
        <w:rPr>
          <w:rStyle w:val="FootnoteReference"/>
        </w:rPr>
        <w:footnoteRef/>
      </w:r>
      <w:r>
        <w:t xml:space="preserve"> </w:t>
      </w:r>
      <w:r>
        <w:fldChar w:fldCharType="begin" w:fldLock="1"/>
      </w:r>
      <w:r>
        <w:instrText>ADDIN CSL_CITATION {"citationItems":[{"id":"ITEM-1","itemData":{"ISBN":"0016087208","ISSN":"9590418198303","abstract":"… kasus pernikahan dini sebagai Implementasi UU Perkawinan di Desa Balun. Pernikahan dini … Hasil penelitian menunjukkan pandangan tentang pernikahan dini termasuk tindakan …","container-title":"Jurnalmahasiswa.Unesa.Ac.Id","id":"ITEM-1","issue":"1","issued":{"date-parts":[["2021"]]},"page":"764-778","title":"Undang-Undang Republik Indonesia Nomor 16 Tahun 2019 Tentang Perubahan Atas Undang-Undang Nomor 1 Tahun T974 Tentang Perkawinan","type":"article-journal","volume":"1"},"uris":["http://www.mendeley.com/documents/?uuid=767641b6-601d-4529-a4e3-294d2fa4a0c0"]}],"mendeley":{"formattedCitation":"“Undang-Undang Republik Indonesia Nomor 16 Tahun 2019 Tentang Perubahan Atas Undang-Undang Nomor 1 Tahun T974 Tentang Perkawinan,” &lt;i&gt;Jurnalmahasiswa.Unesa.Ac.Id&lt;/i&gt; 1, no. 1 (2021): 764–78, https://jurnalmahasiswa.unesa.ac.id/index.php/jurnal-pendidikan-kewarganegaraa/article/view/35779%0Ahttps://repository.ar-raniry.ac.id/id/eprint/20163/%0Ahttps://e-journal.uingusdur.ac.id/al-hukkam/article/view/587%0Ahttp://riset.unisma.ac.id/index.php/fa.","plainTextFormattedCitation":"“Undang-Undang Republik Indonesia Nomor 16 Tahun 2019 Tentang Perubahan Atas Undang-Undang Nomor 1 Tahun T974 Tentang Perkawinan,” Jurnalmahasiswa.Unesa.Ac.Id 1, no. 1 (2021): 764–78, https://jurnalmahasiswa.unesa.ac.id/index.php/jurnal-pendidikan-kewarganegaraa/article/view/35779%0Ahttps://repository.ar-raniry.ac.id/id/eprint/20163/%0Ahttps://e-journal.uingusdur.ac.id/al-hukkam/article/view/587%0Ahttp://riset.unisma.ac.id/index.php/fa.","previouslyFormattedCitation":"“Undang-Undang Republik Indonesia Nomor 16 Tahun 2019 Tentang Perubahan Atas Undang-Undang Nomor 1 Tahun T974 Tentang Perkawinan,” &lt;i&gt;Jurnalmahasiswa.Unesa.Ac.Id&lt;/i&gt; 1, no. 1 (2021): 764–78, https://jurnalmahasiswa.unesa.ac.id/index.php/jurnal-pendidikan-kewarganegaraa/article/view/35779%0Ahttps://repository.ar-raniry.ac.id/id/eprint/20163/%0Ahttps://e-journal.uingusdur.ac.id/al-hukkam/article/view/587%0Ahttp://riset.unisma.ac.id/index.php/fa."},"properties":{"noteIndex":11},"schema":"https://github.com/citation-style-language/schema/raw/master/csl-citation.json"}</w:instrText>
      </w:r>
      <w:r>
        <w:fldChar w:fldCharType="separate"/>
      </w:r>
      <w:r w:rsidRPr="002E4010">
        <w:rPr>
          <w:noProof/>
        </w:rPr>
        <w:t xml:space="preserve">“Undang-Undang Republik Indonesia Nomor 16 Tahun 2019 Tentang Perubahan Atas Undang-Undang Nomor 1 Tahun T974 Tentang Perkawinan,” </w:t>
      </w:r>
      <w:r w:rsidRPr="002E4010">
        <w:rPr>
          <w:i/>
          <w:noProof/>
        </w:rPr>
        <w:t>Jurnalmahasiswa.Unesa.Ac.Id</w:t>
      </w:r>
      <w:r w:rsidRPr="002E4010">
        <w:rPr>
          <w:noProof/>
        </w:rPr>
        <w:t xml:space="preserve"> 1, no. 1 (2021): 764–78, https://jurnalmahasiswa.unesa.ac</w:t>
      </w:r>
      <w:r w:rsidR="00991F03">
        <w:rPr>
          <w:noProof/>
        </w:rPr>
        <w:t xml:space="preserve">.id/index.php/jurnal-pendidikan </w:t>
      </w:r>
      <w:r w:rsidRPr="002E4010">
        <w:rPr>
          <w:noProof/>
        </w:rPr>
        <w:t>kewarganegaraa/article/view/35779%0Ahttps://repository.ar-raniry.ac.id/id/eprint/20163/%0Ahttps://e-journal.uingusdur.ac.id/al-hukkam/article/view/587%0Ahttp://riset.unisma.ac.id/index.php/fa.</w:t>
      </w:r>
      <w:r>
        <w:fldChar w:fldCharType="end"/>
      </w:r>
    </w:p>
  </w:footnote>
  <w:footnote w:id="14">
    <w:p w:rsidR="00991F03" w:rsidRDefault="00991F03">
      <w:pPr>
        <w:pStyle w:val="FootnoteText"/>
      </w:pPr>
      <w:r>
        <w:rPr>
          <w:rStyle w:val="FootnoteReference"/>
        </w:rPr>
        <w:footnoteRef/>
      </w:r>
      <w:r>
        <w:t xml:space="preserve"> </w:t>
      </w:r>
      <w:r w:rsidRPr="002E4010">
        <w:rPr>
          <w:noProof/>
        </w:rPr>
        <w:t>Ahmad Muhammad et al., “Poliandri Dalam Perspektif Pancasila Dan Hukum Islam : Kajian Konstitusional Dan Nilai-Nilai Kebangsaan Polyandry in the Perspective of Pancasila and Islamic Law : Constitutional Studies and National Values” 1, no. 2 (2024): 207–19</w:t>
      </w:r>
    </w:p>
  </w:footnote>
  <w:footnote w:id="15">
    <w:p w:rsidR="00991F03" w:rsidRDefault="00991F03">
      <w:pPr>
        <w:pStyle w:val="FootnoteText"/>
      </w:pPr>
      <w:r>
        <w:rPr>
          <w:rStyle w:val="FootnoteReference"/>
        </w:rPr>
        <w:footnoteRef/>
      </w:r>
      <w:r>
        <w:t xml:space="preserve"> </w:t>
      </w:r>
      <w:r>
        <w:fldChar w:fldCharType="begin" w:fldLock="1"/>
      </w:r>
      <w:r>
        <w:instrText>ADDIN CSL_CITATION {"citationItems":[{"id":"ITEM-1","itemData":{"DOI":"10.1093/nq/s2-ix.215.112a","ISSN":"00293970","container-title":"Notes and Queries","id":"ITEM-1","issue":"215","issued":{"date-parts":[["1974"]]},"page":"112","title":"Undang-Undang Republik Indonesia Nomor 1 Tahun 1974 Tentang Perkawinan","type":"article-journal","volume":"s2-IX"},"uris":["http://www.mendeley.com/documents/?uuid=d3a708cb-20d4-4be1-abc2-b79fa4b27bff"]}],"mendeley":{"formattedCitation":"“Undang-Undang Republik Indonesia Nomor 1 Tahun 1974 Tentang Perkawinan,” &lt;i&gt;Notes and Queries&lt;/i&gt; s2-IX, no. 215 (1974): 112, https://doi.org/10.1093/nq/s2-ix.215.112a.","plainTextFormattedCitation":"“Undang-Undang Republik Indonesia Nomor 1 Tahun 1974 Tentang Perkawinan,” Notes and Queries s2-IX, no. 215 (1974): 112, https://doi.org/10.1093/nq/s2-ix.215.112a.","previouslyFormattedCitation":"“Undang-Undang Republik Indonesia Nomor 1 Tahun 1974 Tentang Perkawinan,” &lt;i&gt;Notes and Queries&lt;/i&gt; s2-IX, no. 215 (1974): 112, https://doi.org/10.1093/nq/s2-ix.215.112a."},"properties":{"noteIndex":15},"schema":"https://github.com/citation-style-language/schema/raw/master/csl-citation.json"}</w:instrText>
      </w:r>
      <w:r>
        <w:fldChar w:fldCharType="separate"/>
      </w:r>
      <w:r w:rsidRPr="002E4010">
        <w:rPr>
          <w:noProof/>
        </w:rPr>
        <w:t xml:space="preserve">“Undang-Undang Republik Indonesia Nomor 1 Tahun 1974 Tentang Perkawinan,” </w:t>
      </w:r>
      <w:r w:rsidRPr="002E4010">
        <w:rPr>
          <w:i/>
          <w:noProof/>
        </w:rPr>
        <w:t>Notes and Queries</w:t>
      </w:r>
      <w:r w:rsidRPr="002E4010">
        <w:rPr>
          <w:noProof/>
        </w:rPr>
        <w:t xml:space="preserve"> s2-IX, no. 215 (1974): 112, https://doi.org/10.1093/nq/s2-ix.215.112a.</w:t>
      </w:r>
      <w:r>
        <w:fldChar w:fldCharType="end"/>
      </w:r>
    </w:p>
  </w:footnote>
  <w:footnote w:id="16">
    <w:p w:rsidR="00991F03" w:rsidRPr="002E4010" w:rsidRDefault="00991F03" w:rsidP="00991F03">
      <w:pPr>
        <w:pStyle w:val="FootnoteText"/>
      </w:pPr>
      <w:r>
        <w:rPr>
          <w:rStyle w:val="FootnoteReference"/>
        </w:rPr>
        <w:footnoteRef/>
      </w:r>
      <w:r>
        <w:t xml:space="preserve"> </w:t>
      </w:r>
      <w:r>
        <w:fldChar w:fldCharType="begin" w:fldLock="1"/>
      </w:r>
      <w:r>
        <w:instrText>ADDIN CSL_CITATION {"citationItems":[{"id":"ITEM-1","itemData":{"author":[{"dropping-particle":"","family":"Muhammad","given":"Ahmad","non-dropping-particle":"","parse-names":false,"suffix":""},{"dropping-particle":"","family":"Nasoha","given":"Mustain","non-dropping-particle":"","parse-names":false,"suffix":""},{"dropping-particle":"","family":"Shakilla","given":"Marsha Cahya","non-dropping-particle":"","parse-names":false,"suffix":""},{"dropping-particle":"","family":"Agustin","given":"Isna Maziyah","non-dropping-particle":"","parse-names":false,"suffix":""}],"id":"ITEM-1","issue":"2","issued":{"date-parts":[["2024"]]},"page":"207-219","title":"Poliandri dalam Perspektif Pancasila dan Hukum Islam : Kajian Konstitusional dan Nilai-Nilai Kebangsaan Polyandry in the Perspective of Pancasila and Islamic Law : Constitutional Studies and National Values","type":"article-journal","volume":"1"},"uris":["http://www.mendeley.com/documents/?uuid=2f7b85a3-9a5c-4eef-b5c3-ae75bb14eb9d"]}],"mendeley":{"formattedCitation":"Ahmad Muhammad et al., “Poliandri Dalam Perspektif Pancasila Dan Hukum Islam : Kajian Konstitusional Dan Nilai-Nilai Kebangsaan Polyandry in the Perspective of Pancasila and Islamic Law : Constitutional Studies and National Values” 1, no. 2 (2024): 207–19.","plainTextFormattedCitation":"Ahmad Muhammad et al., “Poliandri Dalam Perspektif Pancasila Dan Hukum Islam : Kajian Konstitusional Dan Nilai-Nilai Kebangsaan Polyandry in the Perspective of Pancasila and Islamic Law : Constitutional Studies and National Values” 1, no. 2 (2024): 207–19.","previouslyFormattedCitation":"Ahmad Muhammad et al., “Poliandri Dalam Perspektif Pancasila Dan Hukum Islam : Kajian Konstitusional Dan Nilai-Nilai Kebangsaan Polyandry in the Perspective of Pancasila and Islamic Law : Constitutional Studies and National Values” 1, no. 2 (2024): 207–19."},"properties":{"noteIndex":16},"schema":"https://github.com/citation-style-language/schema/raw/master/csl-citation.json"}</w:instrText>
      </w:r>
      <w:r>
        <w:fldChar w:fldCharType="separate"/>
      </w:r>
      <w:r>
        <w:fldChar w:fldCharType="begin" w:fldLock="1"/>
      </w:r>
      <w:r>
        <w:instrText>ADDIN CSL_CITATION {"citationItems":[{"id":"ITEM-1","itemData":{"author":[{"dropping-particle":"","family":"Rosadi","given":"Otong","non-dropping-particle":"","parse-names":false,"suffix":""},{"dropping-particle":"","family":"Delmiati","given":"Susi","non-dropping-particle":"","parse-names":false,"suffix":""}],"id":"ITEM-1","issue":"2","issued":{"date-parts":[["2024"]]},"page":"57-65","title":"Perbedaan Hukumantara Poligami Dan Poliandri Bedasarkan Konsep Keadilan Dalam Islam","type":"article-journal","volume":"3"},"uris":["http://www.mendeley.com/documents/?uuid=fea733d4-3cd9-4ea9-8e75-0cda5a9b4a00"]}],"mendeley":{"formattedCitation":"Otong Rosadi and Susi Delmiati, “Perbedaan Hukumantara Poligami Dan Poliandri Bedasarkan Konsep Keadilan Dalam Islam” 3, no. 2 (2024): 57–65.","plainTextFormattedCitation":"Otong Rosadi and Susi Delmiati, “Perbedaan Hukumantara Poligami Dan Poliandri Bedasarkan Konsep Keadilan Dalam Islam” 3, no. 2 (2024): 57–65.","previouslyFormattedCitation":"Otong Rosadi and Susi Delmiati, “Perbedaan Hukumantara Poligami Dan Poliandri Bedasarkan Konsep Keadilan Dalam Islam” 3, no. 2 (2024): 57–65."},"properties":{"noteIndex":17},"schema":"https://github.com/citation-style-language/schema/raw/master/csl-citation.json"}</w:instrText>
      </w:r>
      <w:r>
        <w:fldChar w:fldCharType="separate"/>
      </w:r>
      <w:r w:rsidRPr="002E4010">
        <w:rPr>
          <w:noProof/>
        </w:rPr>
        <w:t>Otong Rosadi and Susi Delmiati, “Perbedaan Hukumantara Poligami Dan Poliandri Bedasarkan Konsep Keadilan Dalam Islam” 3, no. 2 (2024): 57–65.</w:t>
      </w:r>
      <w:r>
        <w:fldChar w:fldCharType="end"/>
      </w:r>
      <w:r>
        <w:fldChar w:fldCharType="end"/>
      </w:r>
      <w:r w:rsidRPr="002E4010">
        <w:t xml:space="preserve"> </w:t>
      </w:r>
    </w:p>
    <w:p w:rsidR="00991F03" w:rsidRDefault="00991F03">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1B6" w:rsidRDefault="000921B6" w:rsidP="004F38D2">
    <w:pPr>
      <w:pStyle w:val="Title"/>
      <w:jc w:val="left"/>
      <w:rPr>
        <w:rStyle w:val="ypks7kbdpwfgdykd3qb9"/>
        <w:rFonts w:ascii="Bookman Old Style" w:hAnsi="Bookman Old Style"/>
        <w:b w:val="0"/>
        <w:sz w:val="18"/>
        <w:szCs w:val="18"/>
      </w:rPr>
    </w:pPr>
  </w:p>
  <w:p w:rsidR="00716896" w:rsidRPr="00716896" w:rsidRDefault="00716896" w:rsidP="004F38D2">
    <w:pPr>
      <w:pStyle w:val="Title"/>
      <w:jc w:val="left"/>
      <w:rPr>
        <w:rFonts w:ascii="Bookman Old Style" w:hAnsi="Bookman Old Style"/>
        <w:b w:val="0"/>
        <w:sz w:val="18"/>
        <w:szCs w:val="18"/>
        <w:lang w:val="en-US"/>
      </w:rPr>
    </w:pPr>
    <w:r w:rsidRPr="00716896">
      <w:rPr>
        <w:rStyle w:val="ypks7kbdpwfgdykd3qb9"/>
        <w:rFonts w:ascii="Bookman Old Style" w:hAnsi="Bookman Old Style"/>
        <w:b w:val="0"/>
        <w:sz w:val="18"/>
        <w:szCs w:val="18"/>
      </w:rPr>
      <w:t>Theory And Practice Of Mediation In Enggano Customary Law Community</w:t>
    </w:r>
  </w:p>
  <w:p w:rsidR="004F38D2" w:rsidRPr="004F38D2" w:rsidRDefault="004F38D2" w:rsidP="00514FC1">
    <w:pPr>
      <w:pStyle w:val="Title"/>
      <w:jc w:val="left"/>
      <w:rPr>
        <w:rFonts w:ascii="Bookman Old Style" w:hAnsi="Bookman Old Style"/>
        <w:szCs w:val="28"/>
        <w:lang w:val="en-US"/>
      </w:rPr>
    </w:pPr>
  </w:p>
  <w:p w:rsidR="00C46A18" w:rsidRPr="00EB3C89" w:rsidRDefault="004F38D2" w:rsidP="00EB3C89">
    <w:pPr>
      <w:pStyle w:val="Header"/>
      <w:jc w:val="right"/>
      <w:rPr>
        <w:i/>
        <w:sz w:val="6"/>
        <w:lang w:val="en-US"/>
      </w:rPr>
    </w:pPr>
    <w:proofErr w:type="spellStart"/>
    <w:r>
      <w:rPr>
        <w:rFonts w:ascii="Bookman Old Style" w:hAnsi="Bookman Old Style"/>
        <w:b/>
        <w:bCs/>
        <w:i/>
        <w:iCs/>
        <w:color w:val="000000"/>
        <w:sz w:val="16"/>
        <w:szCs w:val="24"/>
        <w:lang w:val="en-US"/>
      </w:rPr>
      <w:t>Sabela</w:t>
    </w:r>
    <w:proofErr w:type="spellEnd"/>
    <w:r>
      <w:rPr>
        <w:rFonts w:ascii="Bookman Old Style" w:hAnsi="Bookman Old Style"/>
        <w:b/>
        <w:bCs/>
        <w:i/>
        <w:iCs/>
        <w:color w:val="000000"/>
        <w:sz w:val="16"/>
        <w:szCs w:val="24"/>
        <w:lang w:val="en-US"/>
      </w:rPr>
      <w:t xml:space="preserve"> </w:t>
    </w:r>
    <w:proofErr w:type="spellStart"/>
    <w:r>
      <w:rPr>
        <w:rFonts w:ascii="Bookman Old Style" w:hAnsi="Bookman Old Style"/>
        <w:b/>
        <w:bCs/>
        <w:i/>
        <w:iCs/>
        <w:color w:val="000000"/>
        <w:sz w:val="16"/>
        <w:szCs w:val="24"/>
        <w:lang w:val="en-US"/>
      </w:rPr>
      <w:t>Gayo</w:t>
    </w:r>
    <w:proofErr w:type="spellEnd"/>
  </w:p>
  <w:p w:rsidR="00C46A18" w:rsidRDefault="00C46A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A18" w:rsidRDefault="00C46A18" w:rsidP="00EB3C89">
    <w:pPr>
      <w:pStyle w:val="Heading1"/>
      <w:spacing w:line="240" w:lineRule="auto"/>
      <w:jc w:val="right"/>
      <w:rPr>
        <w:rFonts w:ascii="Bookman Old Style" w:hAnsi="Bookman Old Style"/>
        <w:b w:val="0"/>
        <w:sz w:val="16"/>
        <w:szCs w:val="24"/>
      </w:rPr>
    </w:pPr>
  </w:p>
  <w:p w:rsidR="00C46A18" w:rsidRDefault="00C46A18" w:rsidP="00EB3C89">
    <w:pPr>
      <w:pStyle w:val="Heading1"/>
      <w:spacing w:line="240" w:lineRule="auto"/>
      <w:jc w:val="right"/>
      <w:rPr>
        <w:rFonts w:ascii="Bookman Old Style" w:hAnsi="Bookman Old Style"/>
        <w:b w:val="0"/>
        <w:sz w:val="16"/>
        <w:szCs w:val="24"/>
      </w:rPr>
    </w:pPr>
  </w:p>
  <w:p w:rsidR="00C46A18" w:rsidRPr="00FD5C18" w:rsidRDefault="00C46A18"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 xml:space="preserve">Legal </w:t>
    </w:r>
    <w:proofErr w:type="spellStart"/>
    <w:r>
      <w:rPr>
        <w:rFonts w:ascii="Bookman Old Style" w:hAnsi="Bookman Old Style" w:cs="Arial"/>
        <w:sz w:val="16"/>
        <w:szCs w:val="24"/>
        <w:lang w:val="en-US"/>
      </w:rPr>
      <w:t>Preneur</w:t>
    </w:r>
    <w:proofErr w:type="spellEnd"/>
    <w:r>
      <w:rPr>
        <w:rFonts w:ascii="Bookman Old Style" w:hAnsi="Bookman Old Style" w:cs="Arial"/>
        <w:sz w:val="16"/>
        <w:szCs w:val="24"/>
        <w:lang w:val="en-US"/>
      </w:rPr>
      <w:t xml:space="preserve"> Journal</w:t>
    </w:r>
  </w:p>
  <w:p w:rsidR="00C46A18" w:rsidRPr="00EB3C89" w:rsidRDefault="00C46A18"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sidR="004F3905">
      <w:rPr>
        <w:rFonts w:ascii="Bookman Old Style" w:hAnsi="Bookman Old Style" w:cs="Arial"/>
        <w:sz w:val="16"/>
        <w:szCs w:val="24"/>
        <w:lang w:val="en-US"/>
      </w:rPr>
      <w:t>4</w:t>
    </w:r>
    <w:r w:rsidRPr="00EB3C89">
      <w:rPr>
        <w:rFonts w:ascii="Bookman Old Style" w:hAnsi="Bookman Old Style" w:cs="Arial"/>
        <w:sz w:val="16"/>
        <w:szCs w:val="24"/>
        <w:lang w:val="id-ID"/>
      </w:rPr>
      <w:t xml:space="preserve"> No. </w:t>
    </w:r>
    <w:r w:rsidR="002B7537">
      <w:rPr>
        <w:rFonts w:ascii="Bookman Old Style" w:hAnsi="Bookman Old Style" w:cs="Arial"/>
        <w:sz w:val="16"/>
        <w:szCs w:val="24"/>
        <w:lang w:val="en-US"/>
      </w:rPr>
      <w:t>2</w:t>
    </w:r>
    <w:r>
      <w:rPr>
        <w:rFonts w:ascii="Bookman Old Style" w:hAnsi="Bookman Old Style" w:cs="Arial"/>
        <w:sz w:val="16"/>
        <w:szCs w:val="24"/>
        <w:lang w:val="en-US"/>
      </w:rPr>
      <w:t xml:space="preserve"> </w:t>
    </w:r>
    <w:r w:rsidR="002B7537">
      <w:rPr>
        <w:rFonts w:ascii="Bookman Old Style" w:hAnsi="Bookman Old Style" w:cs="Arial"/>
        <w:sz w:val="16"/>
        <w:szCs w:val="24"/>
        <w:lang w:val="en-US"/>
      </w:rPr>
      <w:t>April</w:t>
    </w:r>
    <w:r w:rsidR="004F3905">
      <w:rPr>
        <w:rFonts w:ascii="Bookman Old Style" w:hAnsi="Bookman Old Style" w:cs="Arial"/>
        <w:sz w:val="16"/>
        <w:szCs w:val="24"/>
        <w:lang w:val="en-US"/>
      </w:rPr>
      <w:t xml:space="preserve"> </w:t>
    </w:r>
    <w:r w:rsidR="002B7537">
      <w:rPr>
        <w:rFonts w:ascii="Bookman Old Style" w:hAnsi="Bookman Old Style" w:cs="Arial"/>
        <w:sz w:val="16"/>
        <w:szCs w:val="24"/>
        <w:lang w:val="en-US"/>
      </w:rPr>
      <w:t>2026</w:t>
    </w:r>
  </w:p>
  <w:p w:rsidR="00C46A18" w:rsidRPr="00EB3C89" w:rsidRDefault="00C46A18"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A18" w:rsidRDefault="00C46A18">
    <w:pPr>
      <w:pStyle w:val="Header"/>
    </w:pPr>
    <w:r>
      <w:rPr>
        <w:rFonts w:ascii="Times New Roman" w:hAnsi="Times New Roman"/>
        <w:noProof/>
        <w:sz w:val="24"/>
        <w:szCs w:val="24"/>
        <w:lang w:val="en-US"/>
      </w:rPr>
      <mc:AlternateContent>
        <mc:Choice Requires="wps">
          <w:drawing>
            <wp:anchor distT="0" distB="0" distL="114300" distR="114300" simplePos="0" relativeHeight="251657216"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C46A18" w:rsidRDefault="00C46A18"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C46A18" w:rsidRDefault="00C46A18"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C46A18" w:rsidRPr="008612D9" w:rsidTr="00EB31D3">
      <w:trPr>
        <w:trHeight w:val="1446"/>
      </w:trPr>
      <w:tc>
        <w:tcPr>
          <w:tcW w:w="8208" w:type="dxa"/>
        </w:tcPr>
        <w:p w:rsidR="00C46A18" w:rsidRPr="008612D9" w:rsidRDefault="00C46A18" w:rsidP="00BF7BF6">
          <w:pPr>
            <w:spacing w:after="0" w:line="240" w:lineRule="auto"/>
            <w:jc w:val="right"/>
            <w:rPr>
              <w:rFonts w:asciiTheme="minorHAnsi" w:hAnsiTheme="minorHAnsi" w:cstheme="minorBidi"/>
              <w:lang w:val="id-ID"/>
            </w:rPr>
          </w:pPr>
        </w:p>
        <w:p w:rsidR="00C46A18" w:rsidRPr="008612D9" w:rsidRDefault="00C46A18" w:rsidP="008612D9">
          <w:pPr>
            <w:spacing w:after="0" w:line="240" w:lineRule="auto"/>
            <w:rPr>
              <w:rFonts w:asciiTheme="minorHAnsi" w:hAnsiTheme="minorHAnsi" w:cstheme="minorBidi"/>
              <w:b/>
              <w:bCs/>
              <w:color w:val="FF5050"/>
              <w:sz w:val="6"/>
              <w:szCs w:val="6"/>
              <w:lang w:val="id-ID"/>
            </w:rPr>
          </w:pPr>
        </w:p>
        <w:p w:rsidR="00C46A18" w:rsidRPr="00BD513B" w:rsidRDefault="00C46A18"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C46A18" w:rsidRPr="00A80B85" w:rsidRDefault="00C46A18"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C46A18" w:rsidRPr="00A80B85" w:rsidRDefault="00C46A18"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Pr>
              <w:rFonts w:ascii="Bookman Old Style" w:hAnsi="Bookman Old Style" w:cstheme="minorBidi"/>
              <w:bCs/>
              <w:sz w:val="18"/>
              <w:szCs w:val="18"/>
              <w:lang w:val="en-US"/>
            </w:rPr>
            <w:t>4</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1 </w:t>
          </w:r>
          <w:proofErr w:type="spellStart"/>
          <w:r>
            <w:rPr>
              <w:rFonts w:ascii="Bookman Old Style" w:hAnsi="Bookman Old Style" w:cstheme="minorBidi"/>
              <w:bCs/>
              <w:sz w:val="18"/>
              <w:szCs w:val="18"/>
              <w:lang w:val="en-US"/>
            </w:rPr>
            <w:t>Oktober</w:t>
          </w:r>
          <w:proofErr w:type="spellEnd"/>
          <w:r>
            <w:rPr>
              <w:rFonts w:ascii="Bookman Old Style" w:hAnsi="Bookman Old Style" w:cstheme="minorBidi"/>
              <w:bCs/>
              <w:sz w:val="18"/>
              <w:szCs w:val="18"/>
              <w:lang w:val="en-US"/>
            </w:rPr>
            <w:t xml:space="preserve">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Pr>
              <w:rFonts w:ascii="Bookman Old Style" w:hAnsi="Bookman Old Style" w:cstheme="minorBidi"/>
              <w:bCs/>
              <w:sz w:val="18"/>
              <w:szCs w:val="18"/>
              <w:lang w:val="en-US"/>
            </w:rPr>
            <w:t>5</w:t>
          </w:r>
        </w:p>
        <w:p w:rsidR="00C46A18" w:rsidRDefault="00C46A18"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C46A18" w:rsidRPr="005B4BF2" w:rsidRDefault="00C46A18"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 xml:space="preserve">Attribution </w:t>
          </w:r>
          <w:proofErr w:type="spellStart"/>
          <w:r w:rsidRPr="00A661E3">
            <w:rPr>
              <w:rFonts w:ascii="Bookman Old Style" w:hAnsi="Bookman Old Style" w:cs="AdvOTf9433e2d"/>
              <w:color w:val="000000"/>
              <w:sz w:val="14"/>
              <w:szCs w:val="16"/>
              <w:lang w:val="en-US"/>
            </w:rPr>
            <w:t>licence</w:t>
          </w:r>
          <w:proofErr w:type="spellEnd"/>
          <w:r w:rsidRPr="00A661E3">
            <w:rPr>
              <w:rFonts w:ascii="Bookman Old Style" w:hAnsi="Bookman Old Style" w:cs="AdvOTf9433e2d"/>
              <w:color w:val="000000"/>
              <w:sz w:val="14"/>
              <w:szCs w:val="16"/>
              <w:lang w:val="en-US"/>
            </w:rPr>
            <w:t xml:space="preserv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C46A18" w:rsidRPr="00171AA2" w:rsidRDefault="00C46A18"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C46A18" w:rsidRDefault="00C46A18"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22BE9"/>
    <w:multiLevelType w:val="hybridMultilevel"/>
    <w:tmpl w:val="7ECE47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068969EF"/>
    <w:multiLevelType w:val="hybridMultilevel"/>
    <w:tmpl w:val="AA6A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099704E9"/>
    <w:multiLevelType w:val="hybridMultilevel"/>
    <w:tmpl w:val="F8CC5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EE7DA8"/>
    <w:multiLevelType w:val="hybridMultilevel"/>
    <w:tmpl w:val="E6D63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4443EF"/>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785EBC"/>
    <w:multiLevelType w:val="hybridMultilevel"/>
    <w:tmpl w:val="50E27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203C5BE9"/>
    <w:multiLevelType w:val="hybridMultilevel"/>
    <w:tmpl w:val="9378E1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1">
    <w:nsid w:val="23EB1C6E"/>
    <w:multiLevelType w:val="hybridMultilevel"/>
    <w:tmpl w:val="359860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6CA3FA6"/>
    <w:multiLevelType w:val="hybridMultilevel"/>
    <w:tmpl w:val="5A1A3248"/>
    <w:lvl w:ilvl="0" w:tplc="9AF4FBB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87379E5"/>
    <w:multiLevelType w:val="hybridMultilevel"/>
    <w:tmpl w:val="106C7D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F7062E"/>
    <w:multiLevelType w:val="hybridMultilevel"/>
    <w:tmpl w:val="5F66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503984"/>
    <w:multiLevelType w:val="hybridMultilevel"/>
    <w:tmpl w:val="52F298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7">
    <w:nsid w:val="2D7F175A"/>
    <w:multiLevelType w:val="hybridMultilevel"/>
    <w:tmpl w:val="02FE30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2E2744DE"/>
    <w:multiLevelType w:val="multilevel"/>
    <w:tmpl w:val="8B10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E9D03C7"/>
    <w:multiLevelType w:val="hybridMultilevel"/>
    <w:tmpl w:val="F45057B2"/>
    <w:lvl w:ilvl="0" w:tplc="A8C2992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DD0822"/>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0B3D74"/>
    <w:multiLevelType w:val="hybridMultilevel"/>
    <w:tmpl w:val="1918310A"/>
    <w:lvl w:ilvl="0" w:tplc="C8FE2B5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420BA5"/>
    <w:multiLevelType w:val="hybridMultilevel"/>
    <w:tmpl w:val="DE70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0C2B9C"/>
    <w:multiLevelType w:val="hybridMultilevel"/>
    <w:tmpl w:val="52D41E64"/>
    <w:lvl w:ilvl="0" w:tplc="62F25FD0">
      <w:start w:val="1"/>
      <w:numFmt w:val="upperLetter"/>
      <w:lvlText w:val="%1."/>
      <w:lvlJc w:val="left"/>
      <w:pPr>
        <w:ind w:left="720" w:hanging="360"/>
      </w:pPr>
      <w:rPr>
        <w:rFonts w:ascii="Bookman Old Style" w:hAnsi="Bookman Old Style"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nsid w:val="3F847C06"/>
    <w:multiLevelType w:val="hybridMultilevel"/>
    <w:tmpl w:val="B1046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EC0931"/>
    <w:multiLevelType w:val="hybridMultilevel"/>
    <w:tmpl w:val="52F298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43D0E94"/>
    <w:multiLevelType w:val="hybridMultilevel"/>
    <w:tmpl w:val="FA96D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4C5F6C"/>
    <w:multiLevelType w:val="hybridMultilevel"/>
    <w:tmpl w:val="C25481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9A169D3"/>
    <w:multiLevelType w:val="hybridMultilevel"/>
    <w:tmpl w:val="164E31FE"/>
    <w:lvl w:ilvl="0" w:tplc="9AF4FBB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32E521B"/>
    <w:multiLevelType w:val="hybridMultilevel"/>
    <w:tmpl w:val="F79CE0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75530E2"/>
    <w:multiLevelType w:val="hybridMultilevel"/>
    <w:tmpl w:val="F2462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EC0CFA"/>
    <w:multiLevelType w:val="hybridMultilevel"/>
    <w:tmpl w:val="AD3668E4"/>
    <w:lvl w:ilvl="0" w:tplc="70F0120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467234"/>
    <w:multiLevelType w:val="hybridMultilevel"/>
    <w:tmpl w:val="8AF08158"/>
    <w:lvl w:ilvl="0" w:tplc="0DE0A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CC0E3B"/>
    <w:multiLevelType w:val="hybridMultilevel"/>
    <w:tmpl w:val="77C8AA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2B748D6"/>
    <w:multiLevelType w:val="hybridMultilevel"/>
    <w:tmpl w:val="1B3080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D17BAF"/>
    <w:multiLevelType w:val="hybridMultilevel"/>
    <w:tmpl w:val="69E60E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0C1B92"/>
    <w:multiLevelType w:val="hybridMultilevel"/>
    <w:tmpl w:val="C5BC306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1">
    <w:nsid w:val="66F10A02"/>
    <w:multiLevelType w:val="hybridMultilevel"/>
    <w:tmpl w:val="6466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2E117D"/>
    <w:multiLevelType w:val="hybridMultilevel"/>
    <w:tmpl w:val="3DAA0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6"/>
  </w:num>
  <w:num w:numId="7">
    <w:abstractNumId w:val="27"/>
  </w:num>
  <w:num w:numId="8">
    <w:abstractNumId w:val="3"/>
  </w:num>
  <w:num w:numId="9">
    <w:abstractNumId w:val="1"/>
  </w:num>
  <w:num w:numId="10">
    <w:abstractNumId w:val="43"/>
  </w:num>
  <w:num w:numId="11">
    <w:abstractNumId w:val="28"/>
  </w:num>
  <w:num w:numId="12">
    <w:abstractNumId w:val="26"/>
  </w:num>
  <w:num w:numId="13">
    <w:abstractNumId w:val="41"/>
  </w:num>
  <w:num w:numId="14">
    <w:abstractNumId w:val="14"/>
  </w:num>
  <w:num w:numId="15">
    <w:abstractNumId w:val="7"/>
  </w:num>
  <w:num w:numId="16">
    <w:abstractNumId w:val="40"/>
  </w:num>
  <w:num w:numId="17">
    <w:abstractNumId w:val="2"/>
  </w:num>
  <w:num w:numId="18">
    <w:abstractNumId w:val="5"/>
  </w:num>
  <w:num w:numId="19">
    <w:abstractNumId w:val="36"/>
  </w:num>
  <w:num w:numId="20">
    <w:abstractNumId w:val="19"/>
  </w:num>
  <w:num w:numId="21">
    <w:abstractNumId w:val="24"/>
  </w:num>
  <w:num w:numId="22">
    <w:abstractNumId w:val="30"/>
  </w:num>
  <w:num w:numId="23">
    <w:abstractNumId w:val="6"/>
  </w:num>
  <w:num w:numId="24">
    <w:abstractNumId w:val="23"/>
  </w:num>
  <w:num w:numId="25">
    <w:abstractNumId w:val="21"/>
  </w:num>
  <w:num w:numId="26">
    <w:abstractNumId w:val="13"/>
  </w:num>
  <w:num w:numId="27">
    <w:abstractNumId w:val="42"/>
  </w:num>
  <w:num w:numId="28">
    <w:abstractNumId w:val="9"/>
  </w:num>
  <w:num w:numId="29">
    <w:abstractNumId w:val="17"/>
  </w:num>
  <w:num w:numId="30">
    <w:abstractNumId w:val="35"/>
  </w:num>
  <w:num w:numId="31">
    <w:abstractNumId w:val="20"/>
  </w:num>
  <w:num w:numId="32">
    <w:abstractNumId w:val="22"/>
  </w:num>
  <w:num w:numId="33">
    <w:abstractNumId w:val="34"/>
  </w:num>
  <w:num w:numId="34">
    <w:abstractNumId w:val="38"/>
  </w:num>
  <w:num w:numId="35">
    <w:abstractNumId w:val="39"/>
  </w:num>
  <w:num w:numId="36">
    <w:abstractNumId w:val="31"/>
  </w:num>
  <w:num w:numId="37">
    <w:abstractNumId w:val="4"/>
  </w:num>
  <w:num w:numId="38">
    <w:abstractNumId w:val="32"/>
  </w:num>
  <w:num w:numId="39">
    <w:abstractNumId w:val="33"/>
  </w:num>
  <w:num w:numId="40">
    <w:abstractNumId w:val="12"/>
  </w:num>
  <w:num w:numId="41">
    <w:abstractNumId w:val="15"/>
  </w:num>
  <w:num w:numId="42">
    <w:abstractNumId w:val="37"/>
  </w:num>
  <w:num w:numId="43">
    <w:abstractNumId w:val="11"/>
  </w:num>
  <w:num w:numId="44">
    <w:abstractNumId w:val="0"/>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hideGrammatical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7B05"/>
    <w:rsid w:val="00012554"/>
    <w:rsid w:val="0001273D"/>
    <w:rsid w:val="000137A8"/>
    <w:rsid w:val="00016705"/>
    <w:rsid w:val="00052638"/>
    <w:rsid w:val="0005360C"/>
    <w:rsid w:val="00060257"/>
    <w:rsid w:val="00061CBD"/>
    <w:rsid w:val="000663B6"/>
    <w:rsid w:val="000921B6"/>
    <w:rsid w:val="00094F1E"/>
    <w:rsid w:val="000A5E8D"/>
    <w:rsid w:val="000B0FFD"/>
    <w:rsid w:val="000D0D4C"/>
    <w:rsid w:val="000E3688"/>
    <w:rsid w:val="000E7085"/>
    <w:rsid w:val="00104409"/>
    <w:rsid w:val="001220D4"/>
    <w:rsid w:val="00126F95"/>
    <w:rsid w:val="001358E6"/>
    <w:rsid w:val="00135C28"/>
    <w:rsid w:val="001370A2"/>
    <w:rsid w:val="001542B1"/>
    <w:rsid w:val="0015496A"/>
    <w:rsid w:val="00162093"/>
    <w:rsid w:val="00171AA2"/>
    <w:rsid w:val="001735D9"/>
    <w:rsid w:val="00190782"/>
    <w:rsid w:val="001B1B0A"/>
    <w:rsid w:val="001C090D"/>
    <w:rsid w:val="001D0903"/>
    <w:rsid w:val="001D25A3"/>
    <w:rsid w:val="001D52FA"/>
    <w:rsid w:val="001D73D8"/>
    <w:rsid w:val="001D7EDC"/>
    <w:rsid w:val="001E28D4"/>
    <w:rsid w:val="001E71D1"/>
    <w:rsid w:val="002021F8"/>
    <w:rsid w:val="002169D2"/>
    <w:rsid w:val="00227EB6"/>
    <w:rsid w:val="00235E00"/>
    <w:rsid w:val="00236AE9"/>
    <w:rsid w:val="0024186A"/>
    <w:rsid w:val="00253A33"/>
    <w:rsid w:val="00255178"/>
    <w:rsid w:val="00267B7B"/>
    <w:rsid w:val="002716A4"/>
    <w:rsid w:val="0028461B"/>
    <w:rsid w:val="00285732"/>
    <w:rsid w:val="00297F82"/>
    <w:rsid w:val="002B7537"/>
    <w:rsid w:val="002C2ECA"/>
    <w:rsid w:val="002C363B"/>
    <w:rsid w:val="002C6371"/>
    <w:rsid w:val="002D0C86"/>
    <w:rsid w:val="002D5939"/>
    <w:rsid w:val="002D5A10"/>
    <w:rsid w:val="002E076E"/>
    <w:rsid w:val="002E45A0"/>
    <w:rsid w:val="002E4E47"/>
    <w:rsid w:val="002E5162"/>
    <w:rsid w:val="002F0D27"/>
    <w:rsid w:val="003004C8"/>
    <w:rsid w:val="0031493F"/>
    <w:rsid w:val="00316A3D"/>
    <w:rsid w:val="00320378"/>
    <w:rsid w:val="00333F09"/>
    <w:rsid w:val="003415CA"/>
    <w:rsid w:val="00342895"/>
    <w:rsid w:val="0034499E"/>
    <w:rsid w:val="00345C43"/>
    <w:rsid w:val="0034658C"/>
    <w:rsid w:val="00353CFC"/>
    <w:rsid w:val="00371857"/>
    <w:rsid w:val="003728F4"/>
    <w:rsid w:val="00374F6F"/>
    <w:rsid w:val="003750E9"/>
    <w:rsid w:val="003832CA"/>
    <w:rsid w:val="00383DBC"/>
    <w:rsid w:val="00391D78"/>
    <w:rsid w:val="00397BE0"/>
    <w:rsid w:val="003A0C26"/>
    <w:rsid w:val="003A155D"/>
    <w:rsid w:val="003A533B"/>
    <w:rsid w:val="003A537A"/>
    <w:rsid w:val="003B44A4"/>
    <w:rsid w:val="003C61FF"/>
    <w:rsid w:val="003D2C40"/>
    <w:rsid w:val="003D7842"/>
    <w:rsid w:val="003E2242"/>
    <w:rsid w:val="003E7851"/>
    <w:rsid w:val="003F0938"/>
    <w:rsid w:val="00405D4C"/>
    <w:rsid w:val="00423817"/>
    <w:rsid w:val="00424788"/>
    <w:rsid w:val="00425306"/>
    <w:rsid w:val="00434F16"/>
    <w:rsid w:val="00441021"/>
    <w:rsid w:val="00441701"/>
    <w:rsid w:val="0044368D"/>
    <w:rsid w:val="00443D71"/>
    <w:rsid w:val="00455BFA"/>
    <w:rsid w:val="004711F8"/>
    <w:rsid w:val="0048046F"/>
    <w:rsid w:val="00482CD3"/>
    <w:rsid w:val="004830E0"/>
    <w:rsid w:val="0048426F"/>
    <w:rsid w:val="00487D69"/>
    <w:rsid w:val="004923A6"/>
    <w:rsid w:val="0049296A"/>
    <w:rsid w:val="00492B70"/>
    <w:rsid w:val="00496615"/>
    <w:rsid w:val="00497E41"/>
    <w:rsid w:val="004A288C"/>
    <w:rsid w:val="004A2B13"/>
    <w:rsid w:val="004A7F6A"/>
    <w:rsid w:val="004B0058"/>
    <w:rsid w:val="004B297F"/>
    <w:rsid w:val="004B41A2"/>
    <w:rsid w:val="004B53AC"/>
    <w:rsid w:val="004B66C2"/>
    <w:rsid w:val="004C02C9"/>
    <w:rsid w:val="004C057B"/>
    <w:rsid w:val="004C0B7C"/>
    <w:rsid w:val="004C16EC"/>
    <w:rsid w:val="004C21CE"/>
    <w:rsid w:val="004D2910"/>
    <w:rsid w:val="004E1450"/>
    <w:rsid w:val="004E6FA4"/>
    <w:rsid w:val="004F0B22"/>
    <w:rsid w:val="004F1D13"/>
    <w:rsid w:val="004F38D2"/>
    <w:rsid w:val="004F3905"/>
    <w:rsid w:val="00500B90"/>
    <w:rsid w:val="00500DA8"/>
    <w:rsid w:val="005129CA"/>
    <w:rsid w:val="00514FC1"/>
    <w:rsid w:val="00516E57"/>
    <w:rsid w:val="00521C4D"/>
    <w:rsid w:val="00522869"/>
    <w:rsid w:val="00523487"/>
    <w:rsid w:val="00536F71"/>
    <w:rsid w:val="00547CC6"/>
    <w:rsid w:val="00553F63"/>
    <w:rsid w:val="00554BBE"/>
    <w:rsid w:val="00556184"/>
    <w:rsid w:val="00563860"/>
    <w:rsid w:val="00565D35"/>
    <w:rsid w:val="00573545"/>
    <w:rsid w:val="00577002"/>
    <w:rsid w:val="00577BA6"/>
    <w:rsid w:val="00583ED4"/>
    <w:rsid w:val="005865B7"/>
    <w:rsid w:val="00596281"/>
    <w:rsid w:val="005A07E8"/>
    <w:rsid w:val="005A0ECB"/>
    <w:rsid w:val="005A25A1"/>
    <w:rsid w:val="005B3625"/>
    <w:rsid w:val="005B4BF2"/>
    <w:rsid w:val="005C285A"/>
    <w:rsid w:val="005C5A98"/>
    <w:rsid w:val="005D4CB1"/>
    <w:rsid w:val="005D67E5"/>
    <w:rsid w:val="005E2BD9"/>
    <w:rsid w:val="005E3DDE"/>
    <w:rsid w:val="005F5D21"/>
    <w:rsid w:val="00600CD3"/>
    <w:rsid w:val="00611BD3"/>
    <w:rsid w:val="00612C37"/>
    <w:rsid w:val="00616078"/>
    <w:rsid w:val="0063189C"/>
    <w:rsid w:val="00642B77"/>
    <w:rsid w:val="00646634"/>
    <w:rsid w:val="00651447"/>
    <w:rsid w:val="00651E7D"/>
    <w:rsid w:val="00660DDB"/>
    <w:rsid w:val="006616C6"/>
    <w:rsid w:val="00663352"/>
    <w:rsid w:val="0066542C"/>
    <w:rsid w:val="00666BBF"/>
    <w:rsid w:val="006709CA"/>
    <w:rsid w:val="00674FA1"/>
    <w:rsid w:val="0069274E"/>
    <w:rsid w:val="006930B8"/>
    <w:rsid w:val="006A7A07"/>
    <w:rsid w:val="006B69C8"/>
    <w:rsid w:val="006C5914"/>
    <w:rsid w:val="006D5439"/>
    <w:rsid w:val="006F3FF5"/>
    <w:rsid w:val="006F61F3"/>
    <w:rsid w:val="00700FF2"/>
    <w:rsid w:val="00712F67"/>
    <w:rsid w:val="00716896"/>
    <w:rsid w:val="00717085"/>
    <w:rsid w:val="00717C8E"/>
    <w:rsid w:val="00720381"/>
    <w:rsid w:val="007320AC"/>
    <w:rsid w:val="00733D83"/>
    <w:rsid w:val="00735FF1"/>
    <w:rsid w:val="0074368E"/>
    <w:rsid w:val="00765BC6"/>
    <w:rsid w:val="00774718"/>
    <w:rsid w:val="00782D5D"/>
    <w:rsid w:val="00784044"/>
    <w:rsid w:val="00787435"/>
    <w:rsid w:val="007A1C7F"/>
    <w:rsid w:val="007A5512"/>
    <w:rsid w:val="007B1C81"/>
    <w:rsid w:val="007C7EA5"/>
    <w:rsid w:val="007D3730"/>
    <w:rsid w:val="007D6588"/>
    <w:rsid w:val="007E2716"/>
    <w:rsid w:val="007E4126"/>
    <w:rsid w:val="008039B1"/>
    <w:rsid w:val="00805A96"/>
    <w:rsid w:val="00812195"/>
    <w:rsid w:val="00812828"/>
    <w:rsid w:val="008135FC"/>
    <w:rsid w:val="00815AAA"/>
    <w:rsid w:val="0081662D"/>
    <w:rsid w:val="00827FDB"/>
    <w:rsid w:val="00830028"/>
    <w:rsid w:val="0083240E"/>
    <w:rsid w:val="008612D9"/>
    <w:rsid w:val="00865150"/>
    <w:rsid w:val="008A56C5"/>
    <w:rsid w:val="008B25A9"/>
    <w:rsid w:val="008B5DBA"/>
    <w:rsid w:val="008C17BC"/>
    <w:rsid w:val="008C5207"/>
    <w:rsid w:val="008C5BA5"/>
    <w:rsid w:val="008C651B"/>
    <w:rsid w:val="008D1CBC"/>
    <w:rsid w:val="008E413A"/>
    <w:rsid w:val="008F486B"/>
    <w:rsid w:val="00903EC4"/>
    <w:rsid w:val="00906576"/>
    <w:rsid w:val="00911E66"/>
    <w:rsid w:val="00911E72"/>
    <w:rsid w:val="009132E4"/>
    <w:rsid w:val="00917402"/>
    <w:rsid w:val="00930FD0"/>
    <w:rsid w:val="00933150"/>
    <w:rsid w:val="009333DC"/>
    <w:rsid w:val="00937975"/>
    <w:rsid w:val="009411D6"/>
    <w:rsid w:val="009500B7"/>
    <w:rsid w:val="0095576E"/>
    <w:rsid w:val="00972273"/>
    <w:rsid w:val="00973F3A"/>
    <w:rsid w:val="00980E78"/>
    <w:rsid w:val="00991F03"/>
    <w:rsid w:val="00992228"/>
    <w:rsid w:val="00996F3E"/>
    <w:rsid w:val="009B4958"/>
    <w:rsid w:val="009C1672"/>
    <w:rsid w:val="009D16B1"/>
    <w:rsid w:val="009E0806"/>
    <w:rsid w:val="009E2CE2"/>
    <w:rsid w:val="009F6D6D"/>
    <w:rsid w:val="00A059AD"/>
    <w:rsid w:val="00A079B0"/>
    <w:rsid w:val="00A1651E"/>
    <w:rsid w:val="00A219E1"/>
    <w:rsid w:val="00A22DC7"/>
    <w:rsid w:val="00A242F3"/>
    <w:rsid w:val="00A30357"/>
    <w:rsid w:val="00A30514"/>
    <w:rsid w:val="00A31119"/>
    <w:rsid w:val="00A31CD0"/>
    <w:rsid w:val="00A33968"/>
    <w:rsid w:val="00A42B84"/>
    <w:rsid w:val="00A45624"/>
    <w:rsid w:val="00A52B3C"/>
    <w:rsid w:val="00A64B3E"/>
    <w:rsid w:val="00A661E3"/>
    <w:rsid w:val="00A7535A"/>
    <w:rsid w:val="00A80B85"/>
    <w:rsid w:val="00A830A7"/>
    <w:rsid w:val="00A840A8"/>
    <w:rsid w:val="00A86AC4"/>
    <w:rsid w:val="00A966C0"/>
    <w:rsid w:val="00AB2ED0"/>
    <w:rsid w:val="00AB725F"/>
    <w:rsid w:val="00AC7C46"/>
    <w:rsid w:val="00AD0B06"/>
    <w:rsid w:val="00AE6841"/>
    <w:rsid w:val="00B03440"/>
    <w:rsid w:val="00B03451"/>
    <w:rsid w:val="00B1742B"/>
    <w:rsid w:val="00B32843"/>
    <w:rsid w:val="00B400A7"/>
    <w:rsid w:val="00B606BC"/>
    <w:rsid w:val="00B622BB"/>
    <w:rsid w:val="00B738F9"/>
    <w:rsid w:val="00B81974"/>
    <w:rsid w:val="00BA541A"/>
    <w:rsid w:val="00BC3DAD"/>
    <w:rsid w:val="00BC7233"/>
    <w:rsid w:val="00BD513B"/>
    <w:rsid w:val="00BE5BD2"/>
    <w:rsid w:val="00BE5EC9"/>
    <w:rsid w:val="00BE5ED7"/>
    <w:rsid w:val="00BF7BF6"/>
    <w:rsid w:val="00C03F5D"/>
    <w:rsid w:val="00C06DD3"/>
    <w:rsid w:val="00C13985"/>
    <w:rsid w:val="00C173CC"/>
    <w:rsid w:val="00C26D5E"/>
    <w:rsid w:val="00C26F33"/>
    <w:rsid w:val="00C34AB7"/>
    <w:rsid w:val="00C449B3"/>
    <w:rsid w:val="00C46A18"/>
    <w:rsid w:val="00C55719"/>
    <w:rsid w:val="00C746BC"/>
    <w:rsid w:val="00C80C06"/>
    <w:rsid w:val="00C81E78"/>
    <w:rsid w:val="00C912D0"/>
    <w:rsid w:val="00C9510C"/>
    <w:rsid w:val="00CA0BE2"/>
    <w:rsid w:val="00CA3CC4"/>
    <w:rsid w:val="00CC1C7F"/>
    <w:rsid w:val="00CC41D6"/>
    <w:rsid w:val="00CD084B"/>
    <w:rsid w:val="00CD1E74"/>
    <w:rsid w:val="00CF4803"/>
    <w:rsid w:val="00D31655"/>
    <w:rsid w:val="00D366A4"/>
    <w:rsid w:val="00D56712"/>
    <w:rsid w:val="00D6245F"/>
    <w:rsid w:val="00D6440B"/>
    <w:rsid w:val="00D71E63"/>
    <w:rsid w:val="00D72973"/>
    <w:rsid w:val="00D730A1"/>
    <w:rsid w:val="00D75C61"/>
    <w:rsid w:val="00D77B86"/>
    <w:rsid w:val="00D81B33"/>
    <w:rsid w:val="00D82F84"/>
    <w:rsid w:val="00D901A4"/>
    <w:rsid w:val="00D91E7D"/>
    <w:rsid w:val="00D92735"/>
    <w:rsid w:val="00D955CA"/>
    <w:rsid w:val="00DB1A42"/>
    <w:rsid w:val="00DB2984"/>
    <w:rsid w:val="00DB434B"/>
    <w:rsid w:val="00DB4B19"/>
    <w:rsid w:val="00DC05F4"/>
    <w:rsid w:val="00DC26C7"/>
    <w:rsid w:val="00DC521E"/>
    <w:rsid w:val="00DC5E04"/>
    <w:rsid w:val="00DD3D2A"/>
    <w:rsid w:val="00DD4E1C"/>
    <w:rsid w:val="00DD76D8"/>
    <w:rsid w:val="00DE40EA"/>
    <w:rsid w:val="00DE7406"/>
    <w:rsid w:val="00DF280D"/>
    <w:rsid w:val="00DF322C"/>
    <w:rsid w:val="00DF3EC3"/>
    <w:rsid w:val="00DF6AAB"/>
    <w:rsid w:val="00E02162"/>
    <w:rsid w:val="00E031C8"/>
    <w:rsid w:val="00E03D4A"/>
    <w:rsid w:val="00E1114C"/>
    <w:rsid w:val="00E113AD"/>
    <w:rsid w:val="00E66ED1"/>
    <w:rsid w:val="00E71F4D"/>
    <w:rsid w:val="00E72D0D"/>
    <w:rsid w:val="00E75A59"/>
    <w:rsid w:val="00E8650A"/>
    <w:rsid w:val="00E95FE6"/>
    <w:rsid w:val="00E9747E"/>
    <w:rsid w:val="00EA2618"/>
    <w:rsid w:val="00EB31D3"/>
    <w:rsid w:val="00EB3653"/>
    <w:rsid w:val="00EB3C89"/>
    <w:rsid w:val="00EB505C"/>
    <w:rsid w:val="00ED635A"/>
    <w:rsid w:val="00EE007E"/>
    <w:rsid w:val="00EE4700"/>
    <w:rsid w:val="00EE4AA0"/>
    <w:rsid w:val="00EE68ED"/>
    <w:rsid w:val="00EE6B0D"/>
    <w:rsid w:val="00EE7079"/>
    <w:rsid w:val="00F03E27"/>
    <w:rsid w:val="00F05752"/>
    <w:rsid w:val="00F11CC4"/>
    <w:rsid w:val="00F20884"/>
    <w:rsid w:val="00F2390F"/>
    <w:rsid w:val="00F27751"/>
    <w:rsid w:val="00F41200"/>
    <w:rsid w:val="00F60074"/>
    <w:rsid w:val="00F612E1"/>
    <w:rsid w:val="00F67B51"/>
    <w:rsid w:val="00F7320C"/>
    <w:rsid w:val="00F936A2"/>
    <w:rsid w:val="00F95E44"/>
    <w:rsid w:val="00FA3DA9"/>
    <w:rsid w:val="00FA799F"/>
    <w:rsid w:val="00FB5E12"/>
    <w:rsid w:val="00FB6A75"/>
    <w:rsid w:val="00FD0AD6"/>
    <w:rsid w:val="00FD35D4"/>
    <w:rsid w:val="00FD5C18"/>
    <w:rsid w:val="00FE3B04"/>
    <w:rsid w:val="00FF2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F63"/>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qFormat/>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qFormat/>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uiPriority w:val="99"/>
    <w:semiHidden/>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5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973F3A"/>
  </w:style>
  <w:style w:type="paragraph" w:styleId="Bibliography">
    <w:name w:val="Bibliography"/>
    <w:basedOn w:val="Normal"/>
    <w:next w:val="Normal"/>
    <w:uiPriority w:val="37"/>
    <w:unhideWhenUsed/>
    <w:rsid w:val="00903EC4"/>
    <w:rPr>
      <w:rFonts w:asciiTheme="minorHAnsi" w:eastAsiaTheme="minorHAnsi" w:hAnsiTheme="minorHAnsi" w:cstheme="minorBidi"/>
      <w:lang w:val="en-US"/>
    </w:rPr>
  </w:style>
  <w:style w:type="character" w:customStyle="1" w:styleId="ypks7kbdpwfgdykd3qb9">
    <w:name w:val="ypks7kbdpwfgdykd3qb9"/>
    <w:basedOn w:val="DefaultParagraphFont"/>
    <w:rsid w:val="003B4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maswandi@staff.uma.ac.id" TargetMode="External"/><Relationship Id="rId1" Type="http://schemas.openxmlformats.org/officeDocument/2006/relationships/hyperlink" Target="mailto:sabela.gayo@gmail.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Ros19</b:Tag>
    <b:SourceType>JournalArticle</b:SourceType>
    <b:Guid>{718D8290-75E7-4742-938A-AD490F66C07C}</b:Guid>
    <b:Author>
      <b:Author>
        <b:NameList>
          <b:Person>
            <b:Last>Rosady</b:Last>
            <b:First>R.</b:First>
            <b:Middle>S. R.</b:Middle>
          </b:Person>
        </b:NameList>
      </b:Author>
    </b:Author>
    <b:Title>Tindak Pidana dan Pertanggungjawaban Pidana Pelaku Penyalahgunaan Senjata Tajam</b:Title>
    <b:Year>2019</b:Year>
    <b:Pages>1-7</b:Pages>
    <b:RefOrder>2</b:RefOrder>
  </b:Source>
  <b:Source>
    <b:Tag>Ars22</b:Tag>
    <b:SourceType>JournalArticle</b:SourceType>
    <b:Guid>{47D31714-26FB-49F4-941C-F072E1E6313C}</b:Guid>
    <b:Author>
      <b:Author>
        <b:NameList>
          <b:Person>
            <b:Last>Arsad</b:Last>
            <b:First>A.</b:First>
            <b:Middle>N. ,</b:Middle>
          </b:Person>
        </b:NameList>
      </b:Author>
    </b:Author>
    <b:Title>Faktor Kriminogen Penyalahgunaan Senjata Tajam Di Muka Umum</b:Title>
    <b:JournalName>Journal Justiciabellen</b:JournalName>
    <b:Year>2022</b:Year>
    <b:Pages>1</b:Pages>
    <b:RefOrder>3</b:RefOrder>
  </b:Source>
  <b:Source>
    <b:Tag>Har23</b:Tag>
    <b:SourceType>JournalArticle</b:SourceType>
    <b:Guid>{C23FD389-1D2E-4478-A5B3-8F9ED9F6761F}</b:Guid>
    <b:Author>
      <b:Author>
        <b:NameList>
          <b:Person>
            <b:Last>Haris</b:Last>
            <b:First>O.</b:First>
            <b:Middle>K., Hidayat, S., Sinapoy, M. S., &amp; Rahmat, N.</b:Middle>
          </b:Person>
        </b:NameList>
      </b:Author>
    </b:Author>
    <b:Title>Penegakan Hukum Pidana terhadap Penyalahgunaan Senjata Tajam Tradisional.</b:Title>
    <b:JournalName>Oleo Legal Research</b:JournalName>
    <b:Year>2023</b:Year>
    <b:Pages>374</b:Pages>
    <b:RefOrder>4</b:RefOrder>
  </b:Source>
  <b:Source>
    <b:Tag>Wij21</b:Tag>
    <b:SourceType>JournalArticle</b:SourceType>
    <b:Guid>{80CF9BDF-C210-46B7-8B3E-5F44651151B7}</b:Guid>
    <b:Author>
      <b:Author>
        <b:NameList>
          <b:Person>
            <b:Last>Wijaya</b:Last>
            <b:First>H.,</b:First>
            <b:Middle>Arsyad, N., &amp; Mappaselleng, N. F.</b:Middle>
          </b:Person>
        </b:NameList>
      </b:Author>
    </b:Author>
    <b:Title>Tinjauan Yuridis Terhadap Pelaku Tindak Pidana Kepemilikan Senjata Tajam</b:Title>
    <b:JournalName>Qawanin Jurnal Ilmu Hukum</b:JournalName>
    <b:Year>2021</b:Year>
    <b:Pages>1</b:Pages>
    <b:RefOrder>5</b:RefOrder>
  </b:Source>
  <b:Source>
    <b:Tag>Azm17</b:Tag>
    <b:SourceType>JournalArticle</b:SourceType>
    <b:Guid>{A58F8DD3-5881-45BC-AC06-C2514D7083D8}</b:Guid>
    <b:Author>
      <b:Author>
        <b:NameList>
          <b:Person>
            <b:Last>Azmi</b:Last>
            <b:First>D.</b:First>
            <b:Middle>S.</b:Middle>
          </b:Person>
        </b:NameList>
      </b:Author>
    </b:Author>
    <b:Title>PENEGAKAN HUKUM PIDANA TERHADAP PENGGUNAAN SENJATA TAJAM UNTUK MENUNJANG PEKERJAAN DIHUBUNGKAN DENGAN ASAS MANFAAT DAN UU DARURAT NO. 12 TAHUN 1951 TENTANG SENJATA TAJAM</b:Title>
    <b:Year>2017</b:Year>
    <b:Pages>1</b:Pages>
    <b:RefOrder>6</b:RefOrder>
  </b:Source>
  <b:Source>
    <b:Tag>PRA20</b:Tag>
    <b:SourceType>JournalArticle</b:SourceType>
    <b:Guid>{B7C39AEC-F4F6-4531-8A4D-56FC0EEED766}</b:Guid>
    <b:Author>
      <b:Author>
        <b:NameList>
          <b:Person>
            <b:Last>PRAMUDIA</b:Last>
            <b:First>G.</b:First>
          </b:Person>
        </b:NameList>
      </b:Author>
    </b:Author>
    <b:Title>Analisa Hukum Terhadap Tindak Pidana Penyalahgunaan Senjata Tajam Tradisional</b:Title>
    <b:Year>2020</b:Year>
    <b:Pages>4</b:Pages>
    <b:RefOrder>1</b:RefOrder>
  </b:Source>
</b:Sources>
</file>

<file path=customXml/itemProps1.xml><?xml version="1.0" encoding="utf-8"?>
<ds:datastoreItem xmlns:ds="http://schemas.openxmlformats.org/officeDocument/2006/customXml" ds:itemID="{438A52D2-8E17-4DC5-8D1B-3E80CD3B3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522</TotalTime>
  <Pages>9</Pages>
  <Words>5192</Words>
  <Characters>29597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172</cp:revision>
  <cp:lastPrinted>2022-12-21T01:28:00Z</cp:lastPrinted>
  <dcterms:created xsi:type="dcterms:W3CDTF">2022-11-02T02:16:00Z</dcterms:created>
  <dcterms:modified xsi:type="dcterms:W3CDTF">2026-04-24T03:37:00Z</dcterms:modified>
</cp:coreProperties>
</file>