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974" w:rsidRPr="000137A8" w:rsidRDefault="00642B77" w:rsidP="000137A8">
      <w:pPr>
        <w:pStyle w:val="Title"/>
        <w:jc w:val="left"/>
        <w:rPr>
          <w:rFonts w:ascii="Bookman Old Style" w:hAnsi="Bookman Old Style"/>
          <w:b w:val="0"/>
          <w:sz w:val="32"/>
          <w:szCs w:val="28"/>
          <w:lang w:val="en-US"/>
        </w:rPr>
      </w:pPr>
      <w:r>
        <w:rPr>
          <w:noProof/>
          <w:lang w:val="en-US"/>
        </w:rPr>
        <mc:AlternateContent>
          <mc:Choice Requires="wps">
            <w:drawing>
              <wp:anchor distT="0" distB="0" distL="114300" distR="114300" simplePos="0" relativeHeight="251660288" behindDoc="0" locked="0" layoutInCell="1" allowOverlap="1" wp14:anchorId="32E77761" wp14:editId="74DBA5CB">
                <wp:simplePos x="0" y="0"/>
                <wp:positionH relativeFrom="column">
                  <wp:posOffset>5010785</wp:posOffset>
                </wp:positionH>
                <wp:positionV relativeFrom="paragraph">
                  <wp:posOffset>-1033245</wp:posOffset>
                </wp:positionV>
                <wp:extent cx="1132700" cy="50038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32700" cy="500380"/>
                        </a:xfrm>
                        <a:prstGeom prst="rect">
                          <a:avLst/>
                        </a:prstGeom>
                        <a:noFill/>
                        <a:ln>
                          <a:noFill/>
                        </a:ln>
                        <a:effectLst/>
                      </wps:spPr>
                      <wps:txbx>
                        <w:txbxContent>
                          <w:p w:rsidR="00A77E5C" w:rsidRPr="00BA541A" w:rsidRDefault="00A77E5C" w:rsidP="00642B77">
                            <w:pPr>
                              <w:pStyle w:val="Title"/>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LPJ</w:t>
                            </w:r>
                          </w:p>
                          <w:p w:rsidR="00A77E5C" w:rsidRDefault="00A77E5C"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A77E5C" w:rsidRPr="00642B77" w:rsidRDefault="00A77E5C"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32E77761" id="_x0000_t202" coordsize="21600,21600" o:spt="202" path="m,l,21600r21600,l21600,xe">
                <v:stroke joinstyle="miter"/>
                <v:path gradientshapeok="t" o:connecttype="rect"/>
              </v:shapetype>
              <v:shape id="Text Box 1" o:spid="_x0000_s1026" type="#_x0000_t202" style="position:absolute;margin-left:394.55pt;margin-top:-81.35pt;width:89.2pt;height:3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" filled="f" stroked="f">
                <v:textbox>
                  <w:txbxContent>
                    <w:p w:rsidR="00A77E5C" w:rsidRPr="00BA541A" w:rsidRDefault="00A77E5C" w:rsidP="00642B77">
                      <w:pPr>
                        <w:pStyle w:val="Title"/>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LPJ</w:t>
                      </w:r>
                    </w:p>
                    <w:p w:rsidR="00A77E5C" w:rsidRDefault="00A77E5C"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A77E5C" w:rsidRPr="00642B77" w:rsidRDefault="00A77E5C"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v:textbox>
              </v:shape>
            </w:pict>
          </mc:Fallback>
        </mc:AlternateContent>
      </w:r>
    </w:p>
    <w:p w:rsidR="00FF5F23" w:rsidRPr="00537106" w:rsidRDefault="00370905" w:rsidP="00370905">
      <w:pPr>
        <w:spacing w:after="0"/>
        <w:jc w:val="both"/>
        <w:rPr>
          <w:rFonts w:ascii="Bookman Old Style" w:hAnsi="Bookman Old Style"/>
          <w:b/>
          <w:bCs/>
          <w:sz w:val="26"/>
          <w:szCs w:val="26"/>
        </w:rPr>
      </w:pPr>
      <w:r w:rsidRPr="00537106">
        <w:rPr>
          <w:rStyle w:val="ypks7kbdpwfgdykd3qb9"/>
          <w:rFonts w:ascii="Bookman Old Style" w:hAnsi="Bookman Old Style"/>
          <w:b/>
          <w:sz w:val="26"/>
          <w:szCs w:val="26"/>
        </w:rPr>
        <w:t>Juridical</w:t>
      </w:r>
      <w:r w:rsidRPr="00537106">
        <w:rPr>
          <w:rFonts w:ascii="Bookman Old Style" w:hAnsi="Bookman Old Style"/>
          <w:b/>
          <w:sz w:val="26"/>
          <w:szCs w:val="26"/>
        </w:rPr>
        <w:t xml:space="preserve"> </w:t>
      </w:r>
      <w:r w:rsidRPr="00537106">
        <w:rPr>
          <w:rStyle w:val="ypks7kbdpwfgdykd3qb9"/>
          <w:rFonts w:ascii="Bookman Old Style" w:hAnsi="Bookman Old Style"/>
          <w:b/>
          <w:sz w:val="26"/>
          <w:szCs w:val="26"/>
        </w:rPr>
        <w:t>Analysis</w:t>
      </w:r>
      <w:r w:rsidRPr="00537106">
        <w:rPr>
          <w:rFonts w:ascii="Bookman Old Style" w:hAnsi="Bookman Old Style"/>
          <w:b/>
          <w:sz w:val="26"/>
          <w:szCs w:val="26"/>
        </w:rPr>
        <w:t xml:space="preserve"> </w:t>
      </w:r>
      <w:r w:rsidRPr="00537106">
        <w:rPr>
          <w:rStyle w:val="ypks7kbdpwfgdykd3qb9"/>
          <w:rFonts w:ascii="Bookman Old Style" w:hAnsi="Bookman Old Style"/>
          <w:b/>
          <w:sz w:val="26"/>
          <w:szCs w:val="26"/>
        </w:rPr>
        <w:t>Of</w:t>
      </w:r>
      <w:r w:rsidRPr="00537106">
        <w:rPr>
          <w:rFonts w:ascii="Bookman Old Style" w:hAnsi="Bookman Old Style"/>
          <w:b/>
          <w:sz w:val="26"/>
          <w:szCs w:val="26"/>
        </w:rPr>
        <w:t xml:space="preserve"> </w:t>
      </w:r>
      <w:r w:rsidRPr="00537106">
        <w:rPr>
          <w:rStyle w:val="ypks7kbdpwfgdykd3qb9"/>
          <w:rFonts w:ascii="Bookman Old Style" w:hAnsi="Bookman Old Style"/>
          <w:b/>
          <w:sz w:val="26"/>
          <w:szCs w:val="26"/>
        </w:rPr>
        <w:t>The Application</w:t>
      </w:r>
      <w:r w:rsidRPr="00537106">
        <w:rPr>
          <w:rFonts w:ascii="Bookman Old Style" w:hAnsi="Bookman Old Style"/>
          <w:b/>
          <w:sz w:val="26"/>
          <w:szCs w:val="26"/>
        </w:rPr>
        <w:t xml:space="preserve"> </w:t>
      </w:r>
      <w:r w:rsidRPr="00537106">
        <w:rPr>
          <w:rStyle w:val="ypks7kbdpwfgdykd3qb9"/>
          <w:rFonts w:ascii="Bookman Old Style" w:hAnsi="Bookman Old Style"/>
          <w:b/>
          <w:sz w:val="26"/>
          <w:szCs w:val="26"/>
        </w:rPr>
        <w:t>For Cancellation</w:t>
      </w:r>
      <w:r w:rsidRPr="00537106">
        <w:rPr>
          <w:rFonts w:ascii="Bookman Old Style" w:hAnsi="Bookman Old Style"/>
          <w:b/>
          <w:sz w:val="26"/>
          <w:szCs w:val="26"/>
        </w:rPr>
        <w:t xml:space="preserve"> </w:t>
      </w:r>
      <w:r w:rsidRPr="00537106">
        <w:rPr>
          <w:rStyle w:val="ypks7kbdpwfgdykd3qb9"/>
          <w:rFonts w:ascii="Bookman Old Style" w:hAnsi="Bookman Old Style"/>
          <w:b/>
          <w:sz w:val="26"/>
          <w:szCs w:val="26"/>
        </w:rPr>
        <w:t>Of The Arbitration</w:t>
      </w:r>
      <w:r w:rsidRPr="00537106">
        <w:rPr>
          <w:rFonts w:ascii="Bookman Old Style" w:hAnsi="Bookman Old Style"/>
          <w:b/>
          <w:sz w:val="26"/>
          <w:szCs w:val="26"/>
        </w:rPr>
        <w:t xml:space="preserve"> </w:t>
      </w:r>
      <w:r w:rsidRPr="00537106">
        <w:rPr>
          <w:rStyle w:val="ypks7kbdpwfgdykd3qb9"/>
          <w:rFonts w:ascii="Bookman Old Style" w:hAnsi="Bookman Old Style"/>
          <w:b/>
          <w:sz w:val="26"/>
          <w:szCs w:val="26"/>
        </w:rPr>
        <w:t>Award</w:t>
      </w:r>
      <w:r w:rsidRPr="00537106">
        <w:rPr>
          <w:rFonts w:ascii="Bookman Old Style" w:hAnsi="Bookman Old Style"/>
          <w:b/>
          <w:sz w:val="26"/>
          <w:szCs w:val="26"/>
        </w:rPr>
        <w:t xml:space="preserve"> </w:t>
      </w:r>
      <w:r w:rsidR="00537106" w:rsidRPr="00537106">
        <w:rPr>
          <w:rStyle w:val="ypks7kbdpwfgdykd3qb9"/>
          <w:rFonts w:ascii="Bookman Old Style" w:hAnsi="Bookman Old Style"/>
          <w:b/>
          <w:sz w:val="26"/>
          <w:szCs w:val="26"/>
        </w:rPr>
        <w:t xml:space="preserve">Of The Indonesian National </w:t>
      </w:r>
      <w:r w:rsidRPr="00537106">
        <w:rPr>
          <w:rStyle w:val="ypks7kbdpwfgdykd3qb9"/>
          <w:rFonts w:ascii="Bookman Old Style" w:hAnsi="Bookman Old Style"/>
          <w:b/>
          <w:sz w:val="26"/>
          <w:szCs w:val="26"/>
        </w:rPr>
        <w:t>Arbitration Board</w:t>
      </w:r>
      <w:r w:rsidRPr="00537106">
        <w:rPr>
          <w:rFonts w:ascii="Bookman Old Style" w:hAnsi="Bookman Old Style"/>
          <w:b/>
          <w:sz w:val="26"/>
          <w:szCs w:val="26"/>
        </w:rPr>
        <w:t xml:space="preserve"> </w:t>
      </w:r>
      <w:r w:rsidRPr="00537106">
        <w:rPr>
          <w:rStyle w:val="ypks7kbdpwfgdykd3qb9"/>
          <w:rFonts w:ascii="Bookman Old Style" w:hAnsi="Bookman Old Style"/>
          <w:b/>
          <w:sz w:val="26"/>
          <w:szCs w:val="26"/>
        </w:rPr>
        <w:t>(Decision Study</w:t>
      </w:r>
      <w:r w:rsidRPr="00537106">
        <w:rPr>
          <w:rFonts w:ascii="Bookman Old Style" w:hAnsi="Bookman Old Style"/>
          <w:b/>
          <w:sz w:val="26"/>
          <w:szCs w:val="26"/>
        </w:rPr>
        <w:t xml:space="preserve"> </w:t>
      </w:r>
      <w:r w:rsidRPr="00537106">
        <w:rPr>
          <w:rStyle w:val="ypks7kbdpwfgdykd3qb9"/>
          <w:rFonts w:ascii="Bookman Old Style" w:hAnsi="Bookman Old Style"/>
          <w:b/>
          <w:sz w:val="26"/>
          <w:szCs w:val="26"/>
        </w:rPr>
        <w:t>Number</w:t>
      </w:r>
      <w:r w:rsidRPr="00537106">
        <w:rPr>
          <w:rFonts w:ascii="Bookman Old Style" w:hAnsi="Bookman Old Style"/>
          <w:b/>
          <w:sz w:val="26"/>
          <w:szCs w:val="26"/>
        </w:rPr>
        <w:t xml:space="preserve"> </w:t>
      </w:r>
      <w:r w:rsidRPr="00537106">
        <w:rPr>
          <w:rStyle w:val="ypks7kbdpwfgdykd3qb9"/>
          <w:rFonts w:ascii="Bookman Old Style" w:hAnsi="Bookman Old Style"/>
          <w:b/>
          <w:sz w:val="26"/>
          <w:szCs w:val="26"/>
        </w:rPr>
        <w:t>531</w:t>
      </w:r>
      <w:r w:rsidRPr="00537106">
        <w:rPr>
          <w:rFonts w:ascii="Bookman Old Style" w:hAnsi="Bookman Old Style"/>
          <w:b/>
          <w:sz w:val="26"/>
          <w:szCs w:val="26"/>
        </w:rPr>
        <w:t xml:space="preserve"> </w:t>
      </w:r>
      <w:r w:rsidRPr="00537106">
        <w:rPr>
          <w:rStyle w:val="ypks7kbdpwfgdykd3qb9"/>
          <w:rFonts w:ascii="Bookman Old Style" w:hAnsi="Bookman Old Style"/>
          <w:b/>
          <w:sz w:val="26"/>
          <w:szCs w:val="26"/>
        </w:rPr>
        <w:t>/ Pdt.Sus-Arb</w:t>
      </w:r>
      <w:r w:rsidRPr="00537106">
        <w:rPr>
          <w:rFonts w:ascii="Bookman Old Style" w:hAnsi="Bookman Old Style"/>
          <w:b/>
          <w:sz w:val="26"/>
          <w:szCs w:val="26"/>
        </w:rPr>
        <w:t>/</w:t>
      </w:r>
      <w:r w:rsidRPr="00537106">
        <w:rPr>
          <w:rStyle w:val="ypks7kbdpwfgdykd3qb9"/>
          <w:rFonts w:ascii="Bookman Old Style" w:hAnsi="Bookman Old Style"/>
          <w:b/>
          <w:sz w:val="26"/>
          <w:szCs w:val="26"/>
        </w:rPr>
        <w:t>2023</w:t>
      </w:r>
      <w:r w:rsidRPr="00537106">
        <w:rPr>
          <w:rFonts w:ascii="Bookman Old Style" w:hAnsi="Bookman Old Style"/>
          <w:b/>
          <w:sz w:val="26"/>
          <w:szCs w:val="26"/>
        </w:rPr>
        <w:t xml:space="preserve"> </w:t>
      </w:r>
      <w:r w:rsidRPr="00537106">
        <w:rPr>
          <w:rStyle w:val="ypks7kbdpwfgdykd3qb9"/>
          <w:rFonts w:ascii="Bookman Old Style" w:hAnsi="Bookman Old Style"/>
          <w:b/>
          <w:sz w:val="26"/>
          <w:szCs w:val="26"/>
        </w:rPr>
        <w:t>/ PN Bks</w:t>
      </w:r>
      <w:r w:rsidRPr="00537106">
        <w:rPr>
          <w:rFonts w:ascii="Bookman Old Style" w:hAnsi="Bookman Old Style"/>
          <w:b/>
          <w:sz w:val="26"/>
          <w:szCs w:val="26"/>
        </w:rPr>
        <w:t>)</w:t>
      </w:r>
    </w:p>
    <w:p w:rsidR="00EE6B0D" w:rsidRDefault="00EE6B0D" w:rsidP="002C2ECA">
      <w:pPr>
        <w:spacing w:after="0" w:line="240" w:lineRule="auto"/>
        <w:rPr>
          <w:rFonts w:ascii="Bookman Old Style" w:hAnsi="Bookman Old Style"/>
          <w:b/>
          <w:bCs/>
        </w:rPr>
      </w:pPr>
    </w:p>
    <w:p w:rsidR="00651447" w:rsidRPr="00965698" w:rsidRDefault="00795446" w:rsidP="002C2ECA">
      <w:pPr>
        <w:spacing w:after="0" w:line="240" w:lineRule="auto"/>
        <w:rPr>
          <w:rFonts w:ascii="Bookman Old Style" w:hAnsi="Bookman Old Style"/>
          <w:b/>
          <w:bCs/>
          <w:lang w:val="id-ID"/>
        </w:rPr>
      </w:pPr>
      <w:r>
        <w:rPr>
          <w:rFonts w:ascii="Bookman Old Style" w:hAnsi="Bookman Old Style"/>
          <w:b/>
          <w:bCs/>
        </w:rPr>
        <w:t>Mhd. Hasbi</w:t>
      </w:r>
      <w:r w:rsidR="00DC26C7" w:rsidRPr="00DC26C7">
        <w:rPr>
          <w:rFonts w:ascii="Bookman Old Style" w:hAnsi="Bookman Old Style"/>
          <w:b/>
          <w:bCs/>
          <w:vertAlign w:val="superscript"/>
        </w:rPr>
        <w:t>1</w:t>
      </w:r>
      <w:r w:rsidR="00DC26C7">
        <w:rPr>
          <w:rStyle w:val="FootnoteReference"/>
          <w:rFonts w:ascii="Bookman Old Style" w:hAnsi="Bookman Old Style"/>
          <w:b/>
          <w:bCs/>
        </w:rPr>
        <w:footnoteReference w:customMarkFollows="1" w:id="1"/>
        <w:t>*</w:t>
      </w:r>
      <w:r w:rsidR="00965698">
        <w:rPr>
          <w:rStyle w:val="FootnoteReference"/>
          <w:rFonts w:ascii="Bookman Old Style" w:hAnsi="Bookman Old Style"/>
          <w:b/>
          <w:bCs/>
        </w:rPr>
        <w:t xml:space="preserve"> </w:t>
      </w:r>
      <w:r w:rsidR="00965698">
        <w:rPr>
          <w:rFonts w:ascii="Bookman Old Style" w:hAnsi="Bookman Old Style"/>
          <w:b/>
          <w:bCs/>
        </w:rPr>
        <w:t>Dody Safnul</w:t>
      </w:r>
      <w:r w:rsidR="00965698">
        <w:rPr>
          <w:rStyle w:val="FootnoteReference"/>
          <w:rFonts w:ascii="Bookman Old Style" w:hAnsi="Bookman Old Style"/>
          <w:b/>
          <w:bCs/>
        </w:rPr>
        <w:t>2</w:t>
      </w:r>
    </w:p>
    <w:p w:rsidR="00651447" w:rsidRDefault="00163151" w:rsidP="002C2ECA">
      <w:pPr>
        <w:spacing w:after="0" w:line="240" w:lineRule="auto"/>
        <w:rPr>
          <w:rFonts w:ascii="Bookman Old Style" w:hAnsi="Bookman Old Style"/>
          <w:bCs/>
        </w:rPr>
      </w:pPr>
      <w:r w:rsidRPr="00163151">
        <w:rPr>
          <w:rFonts w:ascii="Bookman Old Style" w:hAnsi="Bookman Old Style"/>
          <w:bCs/>
          <w:vertAlign w:val="superscript"/>
        </w:rPr>
        <w:t>1</w:t>
      </w:r>
      <w:r w:rsidR="00795446">
        <w:rPr>
          <w:rFonts w:ascii="Bookman Old Style" w:hAnsi="Bookman Old Style"/>
          <w:bCs/>
        </w:rPr>
        <w:t xml:space="preserve">Fakultas </w:t>
      </w:r>
      <w:r w:rsidR="00FA3DA9">
        <w:rPr>
          <w:rFonts w:ascii="Bookman Old Style" w:hAnsi="Bookman Old Style"/>
          <w:bCs/>
        </w:rPr>
        <w:t>Hukum</w:t>
      </w:r>
      <w:r w:rsidR="00126F95">
        <w:rPr>
          <w:rFonts w:ascii="Bookman Old Style" w:hAnsi="Bookman Old Style"/>
          <w:bCs/>
        </w:rPr>
        <w:t xml:space="preserve">, </w:t>
      </w:r>
      <w:r w:rsidR="007A5512" w:rsidRPr="007A5512">
        <w:rPr>
          <w:rFonts w:ascii="Bookman Old Style" w:hAnsi="Bookman Old Style"/>
          <w:bCs/>
        </w:rPr>
        <w:t xml:space="preserve">Universitas </w:t>
      </w:r>
      <w:r w:rsidR="00795446">
        <w:rPr>
          <w:rFonts w:ascii="Bookman Old Style" w:hAnsi="Bookman Old Style"/>
          <w:bCs/>
          <w:lang w:val="en-US"/>
        </w:rPr>
        <w:t>Haji Sumatera Utara</w:t>
      </w:r>
      <w:r w:rsidR="003B44A4">
        <w:rPr>
          <w:rFonts w:ascii="Bookman Old Style" w:hAnsi="Bookman Old Style"/>
          <w:bCs/>
          <w:lang w:val="en-US"/>
        </w:rPr>
        <w:t>,</w:t>
      </w:r>
      <w:r w:rsidR="00255178">
        <w:rPr>
          <w:rFonts w:ascii="Bookman Old Style" w:hAnsi="Bookman Old Style"/>
          <w:bCs/>
        </w:rPr>
        <w:t xml:space="preserve"> </w:t>
      </w:r>
      <w:r w:rsidR="000137A8">
        <w:rPr>
          <w:rFonts w:ascii="Bookman Old Style" w:hAnsi="Bookman Old Style"/>
          <w:bCs/>
        </w:rPr>
        <w:t>Indonesia</w:t>
      </w:r>
      <w:r w:rsidR="00255178">
        <w:rPr>
          <w:rFonts w:ascii="Bookman Old Style" w:hAnsi="Bookman Old Style"/>
          <w:bCs/>
        </w:rPr>
        <w:t>.</w:t>
      </w:r>
    </w:p>
    <w:p w:rsidR="00965698" w:rsidRDefault="00163151" w:rsidP="002C2ECA">
      <w:pPr>
        <w:spacing w:after="0" w:line="240" w:lineRule="auto"/>
        <w:rPr>
          <w:rFonts w:ascii="Bookman Old Style" w:hAnsi="Bookman Old Style"/>
          <w:bCs/>
        </w:rPr>
      </w:pPr>
      <w:r w:rsidRPr="00163151">
        <w:rPr>
          <w:rFonts w:ascii="Bookman Old Style" w:hAnsi="Bookman Old Style"/>
          <w:bCs/>
          <w:vertAlign w:val="superscript"/>
        </w:rPr>
        <w:t>2</w:t>
      </w:r>
      <w:r w:rsidR="00965698">
        <w:rPr>
          <w:rFonts w:ascii="Bookman Old Style" w:hAnsi="Bookman Old Style"/>
          <w:bCs/>
        </w:rPr>
        <w:t>Fakultas Hukum, Universitas Dharmawangsa, Indonesia</w:t>
      </w:r>
    </w:p>
    <w:p w:rsidR="00ED635A" w:rsidRPr="00674FA1" w:rsidRDefault="00ED635A" w:rsidP="007A1C7F">
      <w:pPr>
        <w:tabs>
          <w:tab w:val="left" w:pos="7503"/>
        </w:tabs>
        <w:spacing w:after="0" w:line="240" w:lineRule="auto"/>
        <w:rPr>
          <w:rFonts w:ascii="Bookman Old Style" w:hAnsi="Bookman Old Style"/>
          <w:b/>
          <w:bCs/>
        </w:rPr>
      </w:pPr>
    </w:p>
    <w:p w:rsidR="00ED635A" w:rsidRPr="00674FA1" w:rsidRDefault="00443D71" w:rsidP="00455BFA">
      <w:pPr>
        <w:spacing w:after="0"/>
        <w:rPr>
          <w:rFonts w:ascii="Bookman Old Style" w:hAnsi="Bookman Old Style"/>
          <w:b/>
          <w:bCs/>
          <w:i/>
          <w:iCs/>
          <w:color w:val="000000"/>
          <w:sz w:val="24"/>
          <w:szCs w:val="24"/>
        </w:rPr>
      </w:pPr>
      <w:r>
        <w:rPr>
          <w:rFonts w:ascii="Bookman Old Style" w:hAnsi="Bookman Old Style"/>
          <w:b/>
          <w:bCs/>
          <w:i/>
          <w:iCs/>
          <w:noProof/>
          <w:color w:val="000000"/>
          <w:sz w:val="24"/>
          <w:szCs w:val="24"/>
          <w:lang w:val="en-US"/>
        </w:rPr>
        <mc:AlternateContent>
          <mc:Choice Requires="wps">
            <w:drawing>
              <wp:anchor distT="0" distB="0" distL="114300" distR="114300" simplePos="0" relativeHeight="251658240" behindDoc="0" locked="0" layoutInCell="1" allowOverlap="1">
                <wp:simplePos x="0" y="0"/>
                <wp:positionH relativeFrom="column">
                  <wp:posOffset>-8255</wp:posOffset>
                </wp:positionH>
                <wp:positionV relativeFrom="paragraph">
                  <wp:posOffset>86995</wp:posOffset>
                </wp:positionV>
                <wp:extent cx="5807710" cy="8255"/>
                <wp:effectExtent l="10795" t="11430" r="10795" b="1841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7710" cy="825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A40970" id="_x0000_t32" coordsize="21600,21600" o:spt="32" o:oned="t" path="m,l21600,21600e" filled="f">
                <v:path arrowok="t" fillok="f" o:connecttype="none"/>
                <o:lock v:ext="edit" shapetype="t"/>
              </v:shapetype>
              <v:shape id="AutoShape 2" o:spid="_x0000_s1026" type="#_x0000_t32" style="position:absolute;margin-left:-.65pt;margin-top:6.85pt;width:457.3pt;height:.6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" strokeweight="1.5pt"/>
            </w:pict>
          </mc:Fallback>
        </mc:AlternateContent>
      </w:r>
    </w:p>
    <w:p w:rsidR="00ED635A" w:rsidRPr="00674FA1" w:rsidRDefault="00ED635A" w:rsidP="00126F95">
      <w:pPr>
        <w:spacing w:after="0"/>
        <w:rPr>
          <w:rFonts w:ascii="Bookman Old Style" w:hAnsi="Bookman Old Style"/>
          <w:b/>
          <w:bCs/>
          <w:i/>
          <w:iCs/>
          <w:color w:val="000000"/>
          <w:sz w:val="20"/>
          <w:szCs w:val="20"/>
        </w:rPr>
      </w:pPr>
      <w:r w:rsidRPr="00674FA1">
        <w:rPr>
          <w:rFonts w:ascii="Bookman Old Style" w:hAnsi="Bookman Old Style"/>
          <w:b/>
          <w:bCs/>
          <w:i/>
          <w:iCs/>
          <w:color w:val="000000"/>
          <w:sz w:val="20"/>
          <w:szCs w:val="20"/>
        </w:rPr>
        <w:t>Abstract</w:t>
      </w:r>
    </w:p>
    <w:p w:rsidR="00370905" w:rsidRPr="00370905" w:rsidRDefault="00370905" w:rsidP="00651E7D">
      <w:pPr>
        <w:spacing w:after="0" w:line="240" w:lineRule="auto"/>
        <w:jc w:val="both"/>
        <w:rPr>
          <w:rFonts w:ascii="Bookman Old Style" w:hAnsi="Bookman Old Style"/>
          <w:sz w:val="20"/>
          <w:szCs w:val="20"/>
        </w:rPr>
      </w:pPr>
      <w:r w:rsidRPr="00370905">
        <w:rPr>
          <w:rStyle w:val="ypks7kbdpwfgdykd3qb9"/>
          <w:rFonts w:ascii="Bookman Old Style" w:hAnsi="Bookman Old Style"/>
          <w:sz w:val="20"/>
          <w:szCs w:val="20"/>
        </w:rPr>
        <w:t>This paper examines the juridical</w:t>
      </w:r>
      <w:r w:rsidRPr="00370905">
        <w:rPr>
          <w:rFonts w:ascii="Bookman Old Style" w:hAnsi="Bookman Old Style"/>
          <w:sz w:val="20"/>
          <w:szCs w:val="20"/>
        </w:rPr>
        <w:t xml:space="preserve"> </w:t>
      </w:r>
      <w:r w:rsidRPr="00370905">
        <w:rPr>
          <w:rStyle w:val="ypks7kbdpwfgdykd3qb9"/>
          <w:rFonts w:ascii="Bookman Old Style" w:hAnsi="Bookman Old Style"/>
          <w:sz w:val="20"/>
          <w:szCs w:val="20"/>
        </w:rPr>
        <w:t>application</w:t>
      </w:r>
      <w:r w:rsidRPr="00370905">
        <w:rPr>
          <w:rFonts w:ascii="Bookman Old Style" w:hAnsi="Bookman Old Style"/>
          <w:sz w:val="20"/>
          <w:szCs w:val="20"/>
        </w:rPr>
        <w:t xml:space="preserve"> </w:t>
      </w:r>
      <w:r w:rsidRPr="00370905">
        <w:rPr>
          <w:rStyle w:val="ypks7kbdpwfgdykd3qb9"/>
          <w:rFonts w:ascii="Bookman Old Style" w:hAnsi="Bookman Old Style"/>
          <w:sz w:val="20"/>
          <w:szCs w:val="20"/>
        </w:rPr>
        <w:t>for cancellation</w:t>
      </w:r>
      <w:r w:rsidRPr="00370905">
        <w:rPr>
          <w:rFonts w:ascii="Bookman Old Style" w:hAnsi="Bookman Old Style"/>
          <w:sz w:val="20"/>
          <w:szCs w:val="20"/>
        </w:rPr>
        <w:t xml:space="preserve"> </w:t>
      </w:r>
      <w:r w:rsidRPr="00370905">
        <w:rPr>
          <w:rStyle w:val="ypks7kbdpwfgdykd3qb9"/>
          <w:rFonts w:ascii="Bookman Old Style" w:hAnsi="Bookman Old Style"/>
          <w:sz w:val="20"/>
          <w:szCs w:val="20"/>
        </w:rPr>
        <w:t>of the arbitration award of</w:t>
      </w:r>
      <w:r w:rsidRPr="00370905">
        <w:rPr>
          <w:rFonts w:ascii="Bookman Old Style" w:hAnsi="Bookman Old Style"/>
          <w:sz w:val="20"/>
          <w:szCs w:val="20"/>
        </w:rPr>
        <w:t xml:space="preserve"> </w:t>
      </w:r>
      <w:r w:rsidRPr="00370905">
        <w:rPr>
          <w:rStyle w:val="ypks7kbdpwfgdykd3qb9"/>
          <w:rFonts w:ascii="Bookman Old Style" w:hAnsi="Bookman Old Style"/>
          <w:sz w:val="20"/>
          <w:szCs w:val="20"/>
        </w:rPr>
        <w:t>the Indonesian National Arbitration Board</w:t>
      </w:r>
      <w:r w:rsidRPr="00370905">
        <w:rPr>
          <w:rFonts w:ascii="Bookman Old Style" w:hAnsi="Bookman Old Style"/>
          <w:sz w:val="20"/>
          <w:szCs w:val="20"/>
        </w:rPr>
        <w:t xml:space="preserve"> </w:t>
      </w:r>
      <w:r w:rsidRPr="00370905">
        <w:rPr>
          <w:rStyle w:val="ypks7kbdpwfgdykd3qb9"/>
          <w:rFonts w:ascii="Bookman Old Style" w:hAnsi="Bookman Old Style"/>
          <w:sz w:val="20"/>
          <w:szCs w:val="20"/>
        </w:rPr>
        <w:t>(BANI) Surabaya in the case between PT Adhi Persada Properti against Haryono Soebagio and Budi Said.</w:t>
      </w:r>
      <w:r w:rsidRPr="00370905">
        <w:rPr>
          <w:rFonts w:ascii="Bookman Old Style" w:hAnsi="Bookman Old Style"/>
          <w:sz w:val="20"/>
          <w:szCs w:val="20"/>
        </w:rPr>
        <w:t xml:space="preserve"> </w:t>
      </w:r>
      <w:r w:rsidRPr="00370905">
        <w:rPr>
          <w:rStyle w:val="ypks7kbdpwfgdykd3qb9"/>
          <w:rFonts w:ascii="Bookman Old Style" w:hAnsi="Bookman Old Style"/>
          <w:sz w:val="20"/>
          <w:szCs w:val="20"/>
        </w:rPr>
        <w:t>This dispute</w:t>
      </w:r>
      <w:r w:rsidRPr="00370905">
        <w:rPr>
          <w:rFonts w:ascii="Bookman Old Style" w:hAnsi="Bookman Old Style"/>
          <w:sz w:val="20"/>
          <w:szCs w:val="20"/>
        </w:rPr>
        <w:t xml:space="preserve"> </w:t>
      </w:r>
      <w:r w:rsidRPr="00370905">
        <w:rPr>
          <w:rStyle w:val="ypks7kbdpwfgdykd3qb9"/>
          <w:rFonts w:ascii="Bookman Old Style" w:hAnsi="Bookman Old Style"/>
          <w:sz w:val="20"/>
          <w:szCs w:val="20"/>
        </w:rPr>
        <w:t>stems</w:t>
      </w:r>
      <w:r w:rsidRPr="00370905">
        <w:rPr>
          <w:rFonts w:ascii="Bookman Old Style" w:hAnsi="Bookman Old Style"/>
          <w:sz w:val="20"/>
          <w:szCs w:val="20"/>
        </w:rPr>
        <w:t xml:space="preserve"> </w:t>
      </w:r>
      <w:r w:rsidRPr="00370905">
        <w:rPr>
          <w:rStyle w:val="ypks7kbdpwfgdykd3qb9"/>
          <w:rFonts w:ascii="Bookman Old Style" w:hAnsi="Bookman Old Style"/>
          <w:sz w:val="20"/>
          <w:szCs w:val="20"/>
        </w:rPr>
        <w:t>from default in the implementation of the deed of binding agreement of sale and purchase (PPJB) No.</w:t>
      </w:r>
      <w:r w:rsidRPr="00370905">
        <w:rPr>
          <w:rFonts w:ascii="Bookman Old Style" w:hAnsi="Bookman Old Style"/>
          <w:sz w:val="20"/>
          <w:szCs w:val="20"/>
        </w:rPr>
        <w:t xml:space="preserve"> </w:t>
      </w:r>
      <w:r w:rsidRPr="00370905">
        <w:rPr>
          <w:rStyle w:val="ypks7kbdpwfgdykd3qb9"/>
          <w:rFonts w:ascii="Bookman Old Style" w:hAnsi="Bookman Old Style"/>
          <w:sz w:val="20"/>
          <w:szCs w:val="20"/>
        </w:rPr>
        <w:t>008/2017, which was then terminated</w:t>
      </w:r>
      <w:r w:rsidRPr="00370905">
        <w:rPr>
          <w:rFonts w:ascii="Bookman Old Style" w:hAnsi="Bookman Old Style"/>
          <w:sz w:val="20"/>
          <w:szCs w:val="20"/>
        </w:rPr>
        <w:t xml:space="preserve"> </w:t>
      </w:r>
      <w:r w:rsidRPr="00370905">
        <w:rPr>
          <w:rStyle w:val="ypks7kbdpwfgdykd3qb9"/>
          <w:rFonts w:ascii="Bookman Old Style" w:hAnsi="Bookman Old Style"/>
          <w:sz w:val="20"/>
          <w:szCs w:val="20"/>
        </w:rPr>
        <w:t>through</w:t>
      </w:r>
      <w:r w:rsidRPr="00370905">
        <w:rPr>
          <w:rFonts w:ascii="Bookman Old Style" w:hAnsi="Bookman Old Style"/>
          <w:sz w:val="20"/>
          <w:szCs w:val="20"/>
        </w:rPr>
        <w:t xml:space="preserve"> </w:t>
      </w:r>
      <w:r w:rsidRPr="00370905">
        <w:rPr>
          <w:rStyle w:val="ypks7kbdpwfgdykd3qb9"/>
          <w:rFonts w:ascii="Bookman Old Style" w:hAnsi="Bookman Old Style"/>
          <w:sz w:val="20"/>
          <w:szCs w:val="20"/>
        </w:rPr>
        <w:t>the BANI</w:t>
      </w:r>
      <w:r w:rsidRPr="00370905">
        <w:rPr>
          <w:rFonts w:ascii="Bookman Old Style" w:hAnsi="Bookman Old Style"/>
          <w:sz w:val="20"/>
          <w:szCs w:val="20"/>
        </w:rPr>
        <w:t xml:space="preserve"> </w:t>
      </w:r>
      <w:r w:rsidRPr="00370905">
        <w:rPr>
          <w:rStyle w:val="ypks7kbdpwfgdykd3qb9"/>
          <w:rFonts w:ascii="Bookman Old Style" w:hAnsi="Bookman Old Style"/>
          <w:sz w:val="20"/>
          <w:szCs w:val="20"/>
        </w:rPr>
        <w:t>Surabaya Arbitration</w:t>
      </w:r>
      <w:r w:rsidRPr="00370905">
        <w:rPr>
          <w:rFonts w:ascii="Bookman Old Style" w:hAnsi="Bookman Old Style"/>
          <w:sz w:val="20"/>
          <w:szCs w:val="20"/>
        </w:rPr>
        <w:t xml:space="preserve"> </w:t>
      </w:r>
      <w:r w:rsidRPr="00370905">
        <w:rPr>
          <w:rStyle w:val="ypks7kbdpwfgdykd3qb9"/>
          <w:rFonts w:ascii="Bookman Old Style" w:hAnsi="Bookman Old Style"/>
          <w:sz w:val="20"/>
          <w:szCs w:val="20"/>
        </w:rPr>
        <w:t>forum</w:t>
      </w:r>
      <w:r w:rsidRPr="00370905">
        <w:rPr>
          <w:rFonts w:ascii="Bookman Old Style" w:hAnsi="Bookman Old Style"/>
          <w:sz w:val="20"/>
          <w:szCs w:val="20"/>
        </w:rPr>
        <w:t xml:space="preserve">. </w:t>
      </w:r>
      <w:r w:rsidRPr="00370905">
        <w:rPr>
          <w:rStyle w:val="ypks7kbdpwfgdykd3qb9"/>
          <w:rFonts w:ascii="Bookman Old Style" w:hAnsi="Bookman Old Style"/>
          <w:sz w:val="20"/>
          <w:szCs w:val="20"/>
        </w:rPr>
        <w:t>The applicant</w:t>
      </w:r>
      <w:r w:rsidRPr="00370905">
        <w:rPr>
          <w:rFonts w:ascii="Bookman Old Style" w:hAnsi="Bookman Old Style"/>
          <w:sz w:val="20"/>
          <w:szCs w:val="20"/>
        </w:rPr>
        <w:t xml:space="preserve"> </w:t>
      </w:r>
      <w:r w:rsidRPr="00370905">
        <w:rPr>
          <w:rStyle w:val="ypks7kbdpwfgdykd3qb9"/>
          <w:rFonts w:ascii="Bookman Old Style" w:hAnsi="Bookman Old Style"/>
          <w:sz w:val="20"/>
          <w:szCs w:val="20"/>
        </w:rPr>
        <w:t>filed</w:t>
      </w:r>
      <w:r w:rsidRPr="00370905">
        <w:rPr>
          <w:rFonts w:ascii="Bookman Old Style" w:hAnsi="Bookman Old Style"/>
          <w:sz w:val="20"/>
          <w:szCs w:val="20"/>
        </w:rPr>
        <w:t xml:space="preserve"> </w:t>
      </w:r>
      <w:r w:rsidRPr="00370905">
        <w:rPr>
          <w:rStyle w:val="ypks7kbdpwfgdykd3qb9"/>
          <w:rFonts w:ascii="Bookman Old Style" w:hAnsi="Bookman Old Style"/>
          <w:sz w:val="20"/>
          <w:szCs w:val="20"/>
        </w:rPr>
        <w:t>a cancellation</w:t>
      </w:r>
      <w:r w:rsidRPr="00370905">
        <w:rPr>
          <w:rFonts w:ascii="Bookman Old Style" w:hAnsi="Bookman Old Style"/>
          <w:sz w:val="20"/>
          <w:szCs w:val="20"/>
        </w:rPr>
        <w:t xml:space="preserve"> </w:t>
      </w:r>
      <w:r w:rsidRPr="00370905">
        <w:rPr>
          <w:rStyle w:val="ypks7kbdpwfgdykd3qb9"/>
          <w:rFonts w:ascii="Bookman Old Style" w:hAnsi="Bookman Old Style"/>
          <w:sz w:val="20"/>
          <w:szCs w:val="20"/>
        </w:rPr>
        <w:t>of the arbitration</w:t>
      </w:r>
      <w:r w:rsidRPr="00370905">
        <w:rPr>
          <w:rFonts w:ascii="Bookman Old Style" w:hAnsi="Bookman Old Style"/>
          <w:sz w:val="20"/>
          <w:szCs w:val="20"/>
        </w:rPr>
        <w:t xml:space="preserve"> </w:t>
      </w:r>
      <w:r w:rsidRPr="00370905">
        <w:rPr>
          <w:rStyle w:val="ypks7kbdpwfgdykd3qb9"/>
          <w:rFonts w:ascii="Bookman Old Style" w:hAnsi="Bookman Old Style"/>
          <w:sz w:val="20"/>
          <w:szCs w:val="20"/>
        </w:rPr>
        <w:t>award</w:t>
      </w:r>
      <w:r w:rsidRPr="00370905">
        <w:rPr>
          <w:rFonts w:ascii="Bookman Old Style" w:hAnsi="Bookman Old Style"/>
          <w:sz w:val="20"/>
          <w:szCs w:val="20"/>
        </w:rPr>
        <w:t xml:space="preserve"> </w:t>
      </w:r>
      <w:r w:rsidRPr="00370905">
        <w:rPr>
          <w:rStyle w:val="ypks7kbdpwfgdykd3qb9"/>
          <w:rFonts w:ascii="Bookman Old Style" w:hAnsi="Bookman Old Style"/>
          <w:sz w:val="20"/>
          <w:szCs w:val="20"/>
        </w:rPr>
        <w:t>under</w:t>
      </w:r>
      <w:r w:rsidRPr="00370905">
        <w:rPr>
          <w:rFonts w:ascii="Bookman Old Style" w:hAnsi="Bookman Old Style"/>
          <w:sz w:val="20"/>
          <w:szCs w:val="20"/>
        </w:rPr>
        <w:t xml:space="preserve"> </w:t>
      </w:r>
      <w:r w:rsidRPr="00370905">
        <w:rPr>
          <w:rStyle w:val="ypks7kbdpwfgdykd3qb9"/>
          <w:rFonts w:ascii="Bookman Old Style" w:hAnsi="Bookman Old Style"/>
          <w:sz w:val="20"/>
          <w:szCs w:val="20"/>
        </w:rPr>
        <w:t>Articles</w:t>
      </w:r>
      <w:r w:rsidRPr="00370905">
        <w:rPr>
          <w:rFonts w:ascii="Bookman Old Style" w:hAnsi="Bookman Old Style"/>
          <w:sz w:val="20"/>
          <w:szCs w:val="20"/>
        </w:rPr>
        <w:t xml:space="preserve"> </w:t>
      </w:r>
      <w:r w:rsidRPr="00370905">
        <w:rPr>
          <w:rStyle w:val="ypks7kbdpwfgdykd3qb9"/>
          <w:rFonts w:ascii="Bookman Old Style" w:hAnsi="Bookman Old Style"/>
          <w:sz w:val="20"/>
          <w:szCs w:val="20"/>
        </w:rPr>
        <w:t>70</w:t>
      </w:r>
      <w:r w:rsidRPr="00370905">
        <w:rPr>
          <w:rFonts w:ascii="Bookman Old Style" w:hAnsi="Bookman Old Style"/>
          <w:sz w:val="20"/>
          <w:szCs w:val="20"/>
        </w:rPr>
        <w:t xml:space="preserve"> </w:t>
      </w:r>
      <w:r w:rsidRPr="00370905">
        <w:rPr>
          <w:rStyle w:val="ypks7kbdpwfgdykd3qb9"/>
          <w:rFonts w:ascii="Bookman Old Style" w:hAnsi="Bookman Old Style"/>
          <w:sz w:val="20"/>
          <w:szCs w:val="20"/>
        </w:rPr>
        <w:t>and</w:t>
      </w:r>
      <w:r w:rsidRPr="00370905">
        <w:rPr>
          <w:rFonts w:ascii="Bookman Old Style" w:hAnsi="Bookman Old Style"/>
          <w:sz w:val="20"/>
          <w:szCs w:val="20"/>
        </w:rPr>
        <w:t xml:space="preserve"> </w:t>
      </w:r>
      <w:r w:rsidRPr="00370905">
        <w:rPr>
          <w:rStyle w:val="ypks7kbdpwfgdykd3qb9"/>
          <w:rFonts w:ascii="Bookman Old Style" w:hAnsi="Bookman Old Style"/>
          <w:sz w:val="20"/>
          <w:szCs w:val="20"/>
        </w:rPr>
        <w:t>71</w:t>
      </w:r>
      <w:r w:rsidRPr="00370905">
        <w:rPr>
          <w:rFonts w:ascii="Bookman Old Style" w:hAnsi="Bookman Old Style"/>
          <w:sz w:val="20"/>
          <w:szCs w:val="20"/>
        </w:rPr>
        <w:t xml:space="preserve"> </w:t>
      </w:r>
      <w:r w:rsidRPr="00370905">
        <w:rPr>
          <w:rStyle w:val="ypks7kbdpwfgdykd3qb9"/>
          <w:rFonts w:ascii="Bookman Old Style" w:hAnsi="Bookman Old Style"/>
          <w:sz w:val="20"/>
          <w:szCs w:val="20"/>
        </w:rPr>
        <w:t>of</w:t>
      </w:r>
      <w:r w:rsidRPr="00370905">
        <w:rPr>
          <w:rFonts w:ascii="Bookman Old Style" w:hAnsi="Bookman Old Style"/>
          <w:sz w:val="20"/>
          <w:szCs w:val="20"/>
        </w:rPr>
        <w:t xml:space="preserve"> </w:t>
      </w:r>
      <w:r w:rsidRPr="00370905">
        <w:rPr>
          <w:rStyle w:val="ypks7kbdpwfgdykd3qb9"/>
          <w:rFonts w:ascii="Bookman Old Style" w:hAnsi="Bookman Old Style"/>
          <w:sz w:val="20"/>
          <w:szCs w:val="20"/>
        </w:rPr>
        <w:t>Law</w:t>
      </w:r>
      <w:r w:rsidRPr="00370905">
        <w:rPr>
          <w:rFonts w:ascii="Bookman Old Style" w:hAnsi="Bookman Old Style"/>
          <w:sz w:val="20"/>
          <w:szCs w:val="20"/>
        </w:rPr>
        <w:t xml:space="preserve"> </w:t>
      </w:r>
      <w:r w:rsidRPr="00370905">
        <w:rPr>
          <w:rStyle w:val="ypks7kbdpwfgdykd3qb9"/>
          <w:rFonts w:ascii="Bookman Old Style" w:hAnsi="Bookman Old Style"/>
          <w:sz w:val="20"/>
          <w:szCs w:val="20"/>
        </w:rPr>
        <w:t>Number</w:t>
      </w:r>
      <w:r w:rsidRPr="00370905">
        <w:rPr>
          <w:rFonts w:ascii="Bookman Old Style" w:hAnsi="Bookman Old Style"/>
          <w:sz w:val="20"/>
          <w:szCs w:val="20"/>
        </w:rPr>
        <w:t xml:space="preserve"> </w:t>
      </w:r>
      <w:r w:rsidRPr="00370905">
        <w:rPr>
          <w:rStyle w:val="ypks7kbdpwfgdykd3qb9"/>
          <w:rFonts w:ascii="Bookman Old Style" w:hAnsi="Bookman Old Style"/>
          <w:sz w:val="20"/>
          <w:szCs w:val="20"/>
        </w:rPr>
        <w:t>30 of 1999 concerning arbitration and Alternative Dispute Resolution, on the grounds of alleged fraud and violation of the principle of due process of law.</w:t>
      </w:r>
      <w:r w:rsidRPr="00370905">
        <w:rPr>
          <w:rFonts w:ascii="Bookman Old Style" w:hAnsi="Bookman Old Style"/>
          <w:sz w:val="20"/>
          <w:szCs w:val="20"/>
        </w:rPr>
        <w:t xml:space="preserve"> </w:t>
      </w:r>
      <w:r w:rsidRPr="00370905">
        <w:rPr>
          <w:rStyle w:val="ypks7kbdpwfgdykd3qb9"/>
          <w:rFonts w:ascii="Bookman Old Style" w:hAnsi="Bookman Old Style"/>
          <w:sz w:val="20"/>
          <w:szCs w:val="20"/>
        </w:rPr>
        <w:t>This study uses normative juridical methods</w:t>
      </w:r>
      <w:r w:rsidRPr="00370905">
        <w:rPr>
          <w:rFonts w:ascii="Bookman Old Style" w:hAnsi="Bookman Old Style"/>
          <w:sz w:val="20"/>
          <w:szCs w:val="20"/>
        </w:rPr>
        <w:t xml:space="preserve">, </w:t>
      </w:r>
      <w:r w:rsidRPr="00370905">
        <w:rPr>
          <w:rStyle w:val="ypks7kbdpwfgdykd3qb9"/>
          <w:rFonts w:ascii="Bookman Old Style" w:hAnsi="Bookman Old Style"/>
          <w:sz w:val="20"/>
          <w:szCs w:val="20"/>
        </w:rPr>
        <w:t>with a legal and conceptual approach, and examines the relevance of this decision to the protection of legal certainty in arbitration practice in Indonesia.</w:t>
      </w:r>
    </w:p>
    <w:p w:rsidR="003004C8" w:rsidRPr="00B9313C" w:rsidRDefault="003004C8" w:rsidP="003004C8">
      <w:pPr>
        <w:spacing w:after="0" w:line="240" w:lineRule="auto"/>
        <w:ind w:firstLine="720"/>
        <w:jc w:val="both"/>
        <w:rPr>
          <w:rFonts w:ascii="Bookman Old Style" w:hAnsi="Bookman Old Style"/>
          <w:i/>
          <w:iCs/>
          <w:color w:val="000000"/>
          <w:sz w:val="20"/>
          <w:szCs w:val="20"/>
          <w:lang w:val="id-ID"/>
        </w:rPr>
      </w:pPr>
    </w:p>
    <w:p w:rsidR="00333F09" w:rsidRPr="00B9313C" w:rsidRDefault="00ED635A" w:rsidP="00717C8E">
      <w:pPr>
        <w:rPr>
          <w:rFonts w:ascii="Bookman Old Style" w:hAnsi="Bookman Old Style"/>
          <w:sz w:val="18"/>
          <w:szCs w:val="18"/>
        </w:rPr>
      </w:pPr>
      <w:r w:rsidRPr="00674FA1">
        <w:rPr>
          <w:rFonts w:ascii="Bookman Old Style" w:hAnsi="Bookman Old Style"/>
          <w:b/>
          <w:i/>
          <w:iCs/>
          <w:sz w:val="20"/>
          <w:szCs w:val="20"/>
        </w:rPr>
        <w:t>Keywords</w:t>
      </w:r>
      <w:r w:rsidR="00B9313C">
        <w:rPr>
          <w:rFonts w:ascii="Bookman Old Style" w:hAnsi="Bookman Old Style"/>
          <w:i/>
          <w:sz w:val="20"/>
          <w:szCs w:val="20"/>
        </w:rPr>
        <w:t xml:space="preserve">: </w:t>
      </w:r>
      <w:r w:rsidR="00370905" w:rsidRPr="00370905">
        <w:rPr>
          <w:rStyle w:val="ypks7kbdpwfgdykd3qb9"/>
          <w:rFonts w:ascii="Bookman Old Style" w:hAnsi="Bookman Old Style"/>
          <w:sz w:val="18"/>
          <w:szCs w:val="18"/>
        </w:rPr>
        <w:t>Arbitrat</w:t>
      </w:r>
      <w:r w:rsidR="00F41D57">
        <w:rPr>
          <w:rStyle w:val="ypks7kbdpwfgdykd3qb9"/>
          <w:rFonts w:ascii="Bookman Old Style" w:hAnsi="Bookman Old Style"/>
          <w:sz w:val="18"/>
          <w:szCs w:val="18"/>
        </w:rPr>
        <w:t>ion, annulment, BANI, Default, D</w:t>
      </w:r>
      <w:r w:rsidR="00370905" w:rsidRPr="00370905">
        <w:rPr>
          <w:rStyle w:val="ypks7kbdpwfgdykd3qb9"/>
          <w:rFonts w:ascii="Bookman Old Style" w:hAnsi="Bookman Old Style"/>
          <w:sz w:val="18"/>
          <w:szCs w:val="18"/>
        </w:rPr>
        <w:t>eception</w:t>
      </w:r>
    </w:p>
    <w:p w:rsidR="009E2CE2" w:rsidRPr="00F11CC4" w:rsidRDefault="004C0B7C" w:rsidP="00F11CC4">
      <w:pPr>
        <w:spacing w:after="0"/>
        <w:rPr>
          <w:rFonts w:ascii="Bookman Old Style" w:hAnsi="Bookman Old Style"/>
          <w:color w:val="FF0000"/>
          <w:sz w:val="20"/>
          <w:szCs w:val="20"/>
        </w:rPr>
      </w:pPr>
      <w:r w:rsidRPr="00674FA1">
        <w:rPr>
          <w:rStyle w:val="hps"/>
          <w:rFonts w:ascii="Bookman Old Style" w:hAnsi="Bookman Old Style"/>
          <w:i/>
          <w:sz w:val="20"/>
          <w:szCs w:val="20"/>
        </w:rPr>
        <w:t xml:space="preserve"> </w:t>
      </w:r>
      <w:r>
        <w:rPr>
          <w:rStyle w:val="hps"/>
          <w:rFonts w:ascii="Bookman Old Style" w:hAnsi="Bookman Old Style"/>
          <w:i/>
          <w:sz w:val="20"/>
          <w:szCs w:val="20"/>
        </w:rPr>
        <w:t xml:space="preserve"> </w:t>
      </w:r>
      <w:bookmarkStart w:id="0" w:name="_GoBack"/>
      <w:bookmarkEnd w:id="0"/>
    </w:p>
    <w:p w:rsidR="007D6588" w:rsidRPr="00DD76D8" w:rsidRDefault="00782D5D" w:rsidP="00DD76D8">
      <w:pPr>
        <w:spacing w:after="0"/>
        <w:jc w:val="both"/>
        <w:rPr>
          <w:rFonts w:ascii="Bookman Old Style" w:hAnsi="Bookman Old Style"/>
          <w:b/>
          <w:sz w:val="24"/>
          <w:lang w:val="id-ID"/>
        </w:rPr>
      </w:pPr>
      <w:r>
        <w:rPr>
          <w:rFonts w:ascii="Bookman Old Style" w:hAnsi="Bookman Old Style"/>
          <w:b/>
          <w:sz w:val="24"/>
          <w:lang w:val="en-US"/>
        </w:rPr>
        <w:t xml:space="preserve">1. </w:t>
      </w:r>
      <w:r w:rsidR="00DD76D8" w:rsidRPr="00DD76D8">
        <w:rPr>
          <w:rFonts w:ascii="Bookman Old Style" w:hAnsi="Bookman Old Style"/>
          <w:b/>
          <w:sz w:val="24"/>
          <w:lang w:val="id-ID"/>
        </w:rPr>
        <w:t>INTRODUCTION</w:t>
      </w:r>
    </w:p>
    <w:p w:rsidR="00370905" w:rsidRDefault="00370905" w:rsidP="00D730A1">
      <w:pPr>
        <w:spacing w:after="0"/>
        <w:ind w:firstLine="567"/>
        <w:jc w:val="both"/>
        <w:rPr>
          <w:rStyle w:val="ypks7kbdpwfgdykd3qb9"/>
          <w:rFonts w:ascii="Bookman Old Style" w:hAnsi="Bookman Old Style"/>
          <w:sz w:val="24"/>
          <w:szCs w:val="24"/>
        </w:rPr>
      </w:pPr>
      <w:r w:rsidRPr="00370905">
        <w:rPr>
          <w:rStyle w:val="ypks7kbdpwfgdykd3qb9"/>
          <w:rFonts w:ascii="Bookman Old Style" w:hAnsi="Bookman Old Style"/>
          <w:sz w:val="24"/>
          <w:szCs w:val="24"/>
        </w:rPr>
        <w:t>The birth</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of Law No. 30 of 1999 on arbitration and Alternative Dispute Resolution (AAPS law) marked a paradigm shift in dispute resolution in Indonesia, from litigation to non-litigation more efficient, fast, and confidential.</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Arbitration</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is</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a form of dispute resolution that is recognized and protected by National Law, with the principle of final and binding which means that the decision is binding and cannot be appealed or cassated to the General Court.</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However, the principle of finality</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is not</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without exceptions</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UU</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No</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30</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of</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1999 opens the space for annulment of arbitral awards, especially when there are fundamental violations such as deception, falsification of documents, or the discovery of New decisive evidence as contained in Article 70 of the law.</w:t>
      </w:r>
    </w:p>
    <w:p w:rsidR="00370905" w:rsidRDefault="00370905" w:rsidP="00D730A1">
      <w:pPr>
        <w:spacing w:after="0"/>
        <w:ind w:firstLine="567"/>
        <w:jc w:val="both"/>
        <w:rPr>
          <w:rStyle w:val="ypks7kbdpwfgdykd3qb9"/>
          <w:rFonts w:ascii="Bookman Old Style" w:hAnsi="Bookman Old Style"/>
          <w:sz w:val="24"/>
          <w:szCs w:val="24"/>
        </w:rPr>
      </w:pPr>
      <w:r w:rsidRPr="00370905">
        <w:rPr>
          <w:rStyle w:val="ypks7kbdpwfgdykd3qb9"/>
          <w:rFonts w:ascii="Bookman Old Style" w:hAnsi="Bookman Old Style"/>
          <w:sz w:val="24"/>
          <w:szCs w:val="24"/>
        </w:rPr>
        <w:t>In practice, the cancellation of an arbitration award is a legal step that is rarely taken, since it must meet strict formal and material requirements.</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One interesting</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case</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that reflects</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the dynamics</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of</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the application of Arbitration</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Law</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in Indonesia is the decision of the Bekasi District Court Number 531/Pdt.Sus-Arb</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 xml:space="preserve">/ 2023 / PN Bks, between PT Adhi Persada </w:t>
      </w:r>
      <w:r w:rsidRPr="00370905">
        <w:rPr>
          <w:rStyle w:val="ypks7kbdpwfgdykd3qb9"/>
          <w:rFonts w:ascii="Bookman Old Style" w:hAnsi="Bookman Old Style"/>
          <w:sz w:val="24"/>
          <w:szCs w:val="24"/>
        </w:rPr>
        <w:lastRenderedPageBreak/>
        <w:t>Properti as the applicant against Haryono Soebagio and Budi Said as the respondent.</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This case</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shows</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how civil</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disputes</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arising</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from binding agreements to buy and sell land and buildings can lead to arbitration proceedings in BANI Surabaya, and then sued for cancellation in the district court because it is suspected to contain elements of fraud (fraudulent misrepresentation) in the arbitration process.</w:t>
      </w:r>
    </w:p>
    <w:p w:rsidR="00370905" w:rsidRPr="00370905" w:rsidRDefault="00370905" w:rsidP="00D730A1">
      <w:pPr>
        <w:spacing w:after="0"/>
        <w:ind w:firstLine="567"/>
        <w:jc w:val="both"/>
        <w:rPr>
          <w:rStyle w:val="ypks7kbdpwfgdykd3qb9"/>
          <w:rFonts w:ascii="Bookman Old Style" w:hAnsi="Bookman Old Style"/>
          <w:sz w:val="24"/>
          <w:szCs w:val="24"/>
        </w:rPr>
      </w:pPr>
      <w:r w:rsidRPr="00370905">
        <w:rPr>
          <w:rStyle w:val="ypks7kbdpwfgdykd3qb9"/>
          <w:rFonts w:ascii="Bookman Old Style" w:hAnsi="Bookman Old Style"/>
          <w:sz w:val="24"/>
          <w:szCs w:val="24"/>
        </w:rPr>
        <w:t>The</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application for the establishment</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of</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this monitoring</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by obtaining</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the pass</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70 letters</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of law no</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30</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of</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1999, which provides that an arbitral decision may be annulled if taken as a result of deception of one of the parties.</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The</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facts of the trial stated</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that as the land the object of sale and purchase did not belong to the respondent, but belonged to three named Amin Sutoyo, who considered in the Surabaya District Court and finally reconciled (dading) in 2020.</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This forms</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the</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law in the substance</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of the arbitration son</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of BANI</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Surabaya</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number</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64/ARB/BANI-SBY/II / 2023.</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With Demi, this story attests</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to a study</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to understand</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the history</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of which</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statutory laws applicable</w:t>
      </w:r>
      <w:r w:rsidRPr="00370905">
        <w:rPr>
          <w:rFonts w:ascii="Bookman Old Style" w:hAnsi="Bookman Old Style"/>
          <w:sz w:val="24"/>
          <w:szCs w:val="24"/>
        </w:rPr>
        <w:t xml:space="preserve"> </w:t>
      </w:r>
      <w:r w:rsidRPr="00370905">
        <w:rPr>
          <w:rStyle w:val="ypks7kbdpwfgdykd3qb9"/>
          <w:rFonts w:ascii="Bookman Old Style" w:hAnsi="Bookman Old Style"/>
          <w:sz w:val="24"/>
          <w:szCs w:val="24"/>
        </w:rPr>
        <w:t>in arbitration can be enforced, as well as how state judgments assess the limitations of nullification of Arbitration breaks within the framework of due process of law.</w:t>
      </w:r>
    </w:p>
    <w:p w:rsidR="002D2B05" w:rsidRPr="00370905" w:rsidRDefault="002D2B05" w:rsidP="00D730A1">
      <w:pPr>
        <w:spacing w:after="0"/>
        <w:ind w:firstLine="567"/>
        <w:jc w:val="both"/>
        <w:rPr>
          <w:rStyle w:val="ypks7kbdpwfgdykd3qb9"/>
          <w:rFonts w:ascii="Bookman Old Style" w:hAnsi="Bookman Old Style"/>
          <w:sz w:val="24"/>
          <w:szCs w:val="24"/>
        </w:rPr>
      </w:pPr>
    </w:p>
    <w:p w:rsidR="00DB4B19" w:rsidRDefault="00782D5D" w:rsidP="00DD76D8">
      <w:pPr>
        <w:spacing w:after="0"/>
        <w:jc w:val="both"/>
        <w:rPr>
          <w:rFonts w:ascii="Bookman Old Style" w:hAnsi="Bookman Old Style"/>
          <w:b/>
          <w:sz w:val="24"/>
          <w:lang w:val="en-US"/>
        </w:rPr>
      </w:pPr>
      <w:r>
        <w:rPr>
          <w:rFonts w:ascii="Bookman Old Style" w:hAnsi="Bookman Old Style"/>
          <w:b/>
          <w:sz w:val="24"/>
          <w:lang w:val="en-US"/>
        </w:rPr>
        <w:t xml:space="preserve">2. </w:t>
      </w:r>
      <w:r w:rsidR="00BC3DAD">
        <w:rPr>
          <w:rFonts w:ascii="Bookman Old Style" w:hAnsi="Bookman Old Style"/>
          <w:b/>
          <w:sz w:val="24"/>
          <w:lang w:val="en-US"/>
        </w:rPr>
        <w:t xml:space="preserve">RESEARCH </w:t>
      </w:r>
      <w:r w:rsidR="00052638">
        <w:rPr>
          <w:rFonts w:ascii="Bookman Old Style" w:hAnsi="Bookman Old Style"/>
          <w:b/>
          <w:sz w:val="24"/>
          <w:lang w:val="en-US"/>
        </w:rPr>
        <w:t>METHOD</w:t>
      </w:r>
    </w:p>
    <w:p w:rsidR="00370905" w:rsidRPr="00A77E5C" w:rsidRDefault="00370905" w:rsidP="00FB6A75">
      <w:pPr>
        <w:spacing w:after="0"/>
        <w:ind w:firstLine="567"/>
        <w:jc w:val="both"/>
        <w:rPr>
          <w:rStyle w:val="ypks7kbdpwfgdykd3qb9"/>
          <w:rFonts w:ascii="Bookman Old Style" w:hAnsi="Bookman Old Style"/>
          <w:sz w:val="24"/>
          <w:szCs w:val="24"/>
        </w:rPr>
      </w:pPr>
      <w:r w:rsidRPr="00A77E5C">
        <w:rPr>
          <w:rStyle w:val="ypks7kbdpwfgdykd3qb9"/>
          <w:rFonts w:ascii="Bookman Old Style" w:hAnsi="Bookman Old Style"/>
          <w:sz w:val="24"/>
          <w:szCs w:val="24"/>
        </w:rPr>
        <w:t>This paper uses normative legal research methods</w:t>
      </w:r>
      <w:r w:rsidR="00A77E5C" w:rsidRPr="00A77E5C">
        <w:rPr>
          <w:rStyle w:val="ypks7kbdpwfgdykd3qb9"/>
          <w:rFonts w:ascii="Bookman Old Style" w:hAnsi="Bookman Old Style"/>
          <w:sz w:val="24"/>
          <w:szCs w:val="24"/>
        </w:rPr>
        <w:t xml:space="preserve"> (</w:t>
      </w:r>
      <w:r w:rsidR="00A77E5C" w:rsidRPr="00A77E5C">
        <w:rPr>
          <w:rFonts w:ascii="Bookman Old Style" w:hAnsi="Bookman Old Style"/>
          <w:sz w:val="24"/>
          <w:szCs w:val="24"/>
        </w:rPr>
        <w:t>Ariman Sitompul, 2022)</w:t>
      </w:r>
      <w:r w:rsidRPr="00A77E5C">
        <w:rPr>
          <w:rStyle w:val="ypks7kbdpwfgdykd3qb9"/>
          <w:rFonts w:ascii="Bookman Old Style" w:hAnsi="Bookman Old Style"/>
          <w:sz w:val="24"/>
          <w:szCs w:val="24"/>
        </w:rPr>
        <w:t>, namely research focused</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on literature</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studies</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of</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primary, secondary, and tertiary legal</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materials</w:t>
      </w:r>
      <w:r w:rsidR="00FE43B6">
        <w:rPr>
          <w:rStyle w:val="ypks7kbdpwfgdykd3qb9"/>
          <w:rFonts w:ascii="Bookman Old Style" w:hAnsi="Bookman Old Style"/>
          <w:sz w:val="24"/>
          <w:szCs w:val="24"/>
        </w:rPr>
        <w:t xml:space="preserve"> (</w:t>
      </w:r>
      <w:r w:rsidR="00FE43B6" w:rsidRPr="00861A1B">
        <w:rPr>
          <w:rFonts w:ascii="Bookman Old Style" w:hAnsi="Bookman Old Style"/>
          <w:color w:val="000000" w:themeColor="text1"/>
          <w:sz w:val="24"/>
          <w:szCs w:val="24"/>
        </w:rPr>
        <w:t>Maswandi, Ariman Sitompul (2024)</w:t>
      </w:r>
      <w:r w:rsidRPr="00A77E5C">
        <w:rPr>
          <w:rStyle w:val="ypks7kbdpwfgdykd3qb9"/>
          <w:rFonts w:ascii="Bookman Old Style" w:hAnsi="Bookman Old Style"/>
          <w:sz w:val="24"/>
          <w:szCs w:val="24"/>
        </w:rPr>
        <w:t>: primary</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legal</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materials</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consist</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of Law No. 30 of 1999 on arbitration and Alternative Dispute Resolution, Decision No. 531/Pdt.Sus-Arb</w:t>
      </w:r>
      <w:r w:rsidRPr="00A77E5C">
        <w:rPr>
          <w:rFonts w:ascii="Bookman Old Style" w:hAnsi="Bookman Old Style"/>
          <w:sz w:val="24"/>
          <w:szCs w:val="24"/>
        </w:rPr>
        <w:t>/</w:t>
      </w:r>
      <w:r w:rsidRPr="00A77E5C">
        <w:rPr>
          <w:rStyle w:val="ypks7kbdpwfgdykd3qb9"/>
          <w:rFonts w:ascii="Bookman Old Style" w:hAnsi="Bookman Old Style"/>
          <w:sz w:val="24"/>
          <w:szCs w:val="24"/>
        </w:rPr>
        <w:t>2023</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 PN Bks, and BANI arbitration award No.</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64/ARB/BANI-SBY/II / 2023, secondary legal materials in the form of legal literature such as the works of Priyatna Abdurrasyid, Huala Adolf, and Munir Fuady regarding the principles of Arbitration and cancellation of arbitration awards and tertiary legal materials in the form of legal dictionaries and current scientific articles in 2023-2025 regarding business dispute resolution through arbitration.</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The approach</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used</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is</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a statutory approach (statute approach) and a case approach (case approach) to understand the application of Arbitration legal norms in the context of this decision.</w:t>
      </w:r>
    </w:p>
    <w:p w:rsidR="00E72D0D" w:rsidRPr="00E72D0D" w:rsidRDefault="00E72D0D" w:rsidP="00FB6A75">
      <w:pPr>
        <w:spacing w:after="0"/>
        <w:ind w:firstLine="567"/>
        <w:jc w:val="both"/>
        <w:rPr>
          <w:rFonts w:ascii="Bookman Old Style" w:hAnsi="Bookman Old Style"/>
          <w:sz w:val="24"/>
          <w:szCs w:val="24"/>
        </w:rPr>
      </w:pPr>
    </w:p>
    <w:p w:rsidR="00052638" w:rsidRDefault="00052638" w:rsidP="00052638">
      <w:pPr>
        <w:spacing w:after="0"/>
        <w:jc w:val="both"/>
        <w:rPr>
          <w:rFonts w:ascii="Bookman Old Style" w:hAnsi="Bookman Old Style"/>
          <w:b/>
          <w:sz w:val="24"/>
          <w:lang w:val="id-ID"/>
        </w:rPr>
      </w:pPr>
      <w:r>
        <w:rPr>
          <w:rFonts w:ascii="Bookman Old Style" w:hAnsi="Bookman Old Style"/>
          <w:b/>
          <w:sz w:val="24"/>
          <w:lang w:val="en-US"/>
        </w:rPr>
        <w:t xml:space="preserve">3. </w:t>
      </w:r>
      <w:r w:rsidRPr="00DD76D8">
        <w:rPr>
          <w:rFonts w:ascii="Bookman Old Style" w:hAnsi="Bookman Old Style"/>
          <w:b/>
          <w:sz w:val="24"/>
          <w:lang w:val="id-ID"/>
        </w:rPr>
        <w:t>RESULT AND ANALYSIS</w:t>
      </w:r>
    </w:p>
    <w:p w:rsidR="00D32F08" w:rsidRPr="00A77E5C" w:rsidRDefault="00A77E5C" w:rsidP="00D32F08">
      <w:pPr>
        <w:pStyle w:val="ListParagraph"/>
        <w:numPr>
          <w:ilvl w:val="0"/>
          <w:numId w:val="37"/>
        </w:numPr>
        <w:spacing w:after="0"/>
        <w:jc w:val="both"/>
        <w:rPr>
          <w:rFonts w:ascii="Bookman Old Style" w:hAnsi="Bookman Old Style"/>
          <w:b/>
          <w:sz w:val="24"/>
          <w:szCs w:val="24"/>
          <w:lang w:val="id-ID"/>
        </w:rPr>
      </w:pPr>
      <w:r w:rsidRPr="00A77E5C">
        <w:rPr>
          <w:rStyle w:val="ypks7kbdpwfgdykd3qb9"/>
          <w:rFonts w:ascii="Bookman Old Style" w:hAnsi="Bookman Old Style"/>
          <w:b/>
          <w:sz w:val="24"/>
          <w:szCs w:val="24"/>
        </w:rPr>
        <w:t>Formal and material terms</w:t>
      </w:r>
      <w:r w:rsidRPr="00A77E5C">
        <w:rPr>
          <w:rFonts w:ascii="Bookman Old Style" w:hAnsi="Bookman Old Style"/>
          <w:b/>
          <w:sz w:val="24"/>
          <w:szCs w:val="24"/>
        </w:rPr>
        <w:t xml:space="preserve"> </w:t>
      </w:r>
      <w:r w:rsidRPr="00A77E5C">
        <w:rPr>
          <w:rStyle w:val="ypks7kbdpwfgdykd3qb9"/>
          <w:rFonts w:ascii="Bookman Old Style" w:hAnsi="Bookman Old Style"/>
          <w:b/>
          <w:sz w:val="24"/>
          <w:szCs w:val="24"/>
        </w:rPr>
        <w:t>of cancellation</w:t>
      </w:r>
      <w:r w:rsidRPr="00A77E5C">
        <w:rPr>
          <w:rFonts w:ascii="Bookman Old Style" w:hAnsi="Bookman Old Style"/>
          <w:b/>
          <w:sz w:val="24"/>
          <w:szCs w:val="24"/>
        </w:rPr>
        <w:t xml:space="preserve"> </w:t>
      </w:r>
      <w:r w:rsidRPr="00A77E5C">
        <w:rPr>
          <w:rStyle w:val="ypks7kbdpwfgdykd3qb9"/>
          <w:rFonts w:ascii="Bookman Old Style" w:hAnsi="Bookman Old Style"/>
          <w:b/>
          <w:sz w:val="24"/>
          <w:szCs w:val="24"/>
        </w:rPr>
        <w:t>of the Arbitral</w:t>
      </w:r>
      <w:r w:rsidRPr="00A77E5C">
        <w:rPr>
          <w:rFonts w:ascii="Bookman Old Style" w:hAnsi="Bookman Old Style"/>
          <w:b/>
          <w:sz w:val="24"/>
          <w:szCs w:val="24"/>
        </w:rPr>
        <w:t xml:space="preserve"> </w:t>
      </w:r>
      <w:r w:rsidRPr="00A77E5C">
        <w:rPr>
          <w:rStyle w:val="ypks7kbdpwfgdykd3qb9"/>
          <w:rFonts w:ascii="Bookman Old Style" w:hAnsi="Bookman Old Style"/>
          <w:b/>
          <w:sz w:val="24"/>
          <w:szCs w:val="24"/>
        </w:rPr>
        <w:t>Award</w:t>
      </w:r>
      <w:r w:rsidRPr="00A77E5C">
        <w:rPr>
          <w:rFonts w:ascii="Bookman Old Style" w:hAnsi="Bookman Old Style"/>
          <w:b/>
          <w:sz w:val="24"/>
          <w:szCs w:val="24"/>
        </w:rPr>
        <w:t xml:space="preserve"> </w:t>
      </w:r>
      <w:r w:rsidRPr="00A77E5C">
        <w:rPr>
          <w:rStyle w:val="ypks7kbdpwfgdykd3qb9"/>
          <w:rFonts w:ascii="Bookman Old Style" w:hAnsi="Bookman Old Style"/>
          <w:b/>
          <w:sz w:val="24"/>
          <w:szCs w:val="24"/>
        </w:rPr>
        <w:t>and</w:t>
      </w:r>
      <w:r w:rsidRPr="00A77E5C">
        <w:rPr>
          <w:rFonts w:ascii="Bookman Old Style" w:hAnsi="Bookman Old Style"/>
          <w:b/>
          <w:sz w:val="24"/>
          <w:szCs w:val="24"/>
        </w:rPr>
        <w:t xml:space="preserve"> </w:t>
      </w:r>
      <w:r w:rsidRPr="00A77E5C">
        <w:rPr>
          <w:rStyle w:val="ypks7kbdpwfgdykd3qb9"/>
          <w:rFonts w:ascii="Bookman Old Style" w:hAnsi="Bookman Old Style"/>
          <w:b/>
          <w:sz w:val="24"/>
          <w:szCs w:val="24"/>
        </w:rPr>
        <w:t>analysis of deception</w:t>
      </w:r>
      <w:r w:rsidRPr="00A77E5C">
        <w:rPr>
          <w:rFonts w:ascii="Bookman Old Style" w:hAnsi="Bookman Old Style"/>
          <w:b/>
          <w:sz w:val="24"/>
          <w:szCs w:val="24"/>
        </w:rPr>
        <w:t xml:space="preserve"> </w:t>
      </w:r>
      <w:r w:rsidRPr="00A77E5C">
        <w:rPr>
          <w:rStyle w:val="ypks7kbdpwfgdykd3qb9"/>
          <w:rFonts w:ascii="Bookman Old Style" w:hAnsi="Bookman Old Style"/>
          <w:b/>
          <w:sz w:val="24"/>
          <w:szCs w:val="24"/>
        </w:rPr>
        <w:t>in</w:t>
      </w:r>
      <w:r w:rsidRPr="00A77E5C">
        <w:rPr>
          <w:rFonts w:ascii="Bookman Old Style" w:hAnsi="Bookman Old Style"/>
          <w:b/>
          <w:sz w:val="24"/>
          <w:szCs w:val="24"/>
        </w:rPr>
        <w:t xml:space="preserve"> </w:t>
      </w:r>
      <w:r w:rsidRPr="00A77E5C">
        <w:rPr>
          <w:rStyle w:val="ypks7kbdpwfgdykd3qb9"/>
          <w:rFonts w:ascii="Bookman Old Style" w:hAnsi="Bookman Old Style"/>
          <w:b/>
          <w:sz w:val="24"/>
          <w:szCs w:val="24"/>
        </w:rPr>
        <w:t>the abitrase</w:t>
      </w:r>
      <w:r w:rsidRPr="00A77E5C">
        <w:rPr>
          <w:rFonts w:ascii="Bookman Old Style" w:hAnsi="Bookman Old Style"/>
          <w:b/>
          <w:sz w:val="24"/>
          <w:szCs w:val="24"/>
        </w:rPr>
        <w:t xml:space="preserve"> </w:t>
      </w:r>
      <w:r w:rsidRPr="00A77E5C">
        <w:rPr>
          <w:rStyle w:val="ypks7kbdpwfgdykd3qb9"/>
          <w:rFonts w:ascii="Bookman Old Style" w:hAnsi="Bookman Old Style"/>
          <w:b/>
          <w:sz w:val="24"/>
          <w:szCs w:val="24"/>
        </w:rPr>
        <w:t>decision</w:t>
      </w:r>
    </w:p>
    <w:p w:rsidR="00A77E5C" w:rsidRDefault="00A77E5C" w:rsidP="00A33968">
      <w:pPr>
        <w:spacing w:after="0"/>
        <w:ind w:firstLine="567"/>
        <w:jc w:val="both"/>
        <w:rPr>
          <w:rStyle w:val="ypks7kbdpwfgdykd3qb9"/>
          <w:rFonts w:ascii="Bookman Old Style" w:hAnsi="Bookman Old Style"/>
          <w:sz w:val="24"/>
          <w:szCs w:val="24"/>
        </w:rPr>
      </w:pPr>
      <w:r w:rsidRPr="00A77E5C">
        <w:rPr>
          <w:rStyle w:val="ypks7kbdpwfgdykd3qb9"/>
          <w:rFonts w:ascii="Bookman Old Style" w:hAnsi="Bookman Old Style"/>
          <w:sz w:val="24"/>
          <w:szCs w:val="24"/>
        </w:rPr>
        <w:t>According</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to Article</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71</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of Law</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No</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30</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of</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1999, the application for cancellation must be submitted no later than 30 days from the date the arbitral award is registered with the District Court.</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 xml:space="preserve">In this case, BANI's arbitration award was registered on September 25, 2023, while the application for cancellation was filed on October 23, 2023, thus fulfilling the </w:t>
      </w:r>
      <w:r w:rsidRPr="00A77E5C">
        <w:rPr>
          <w:rStyle w:val="ypks7kbdpwfgdykd3qb9"/>
          <w:rFonts w:ascii="Bookman Old Style" w:hAnsi="Bookman Old Style"/>
          <w:sz w:val="24"/>
          <w:szCs w:val="24"/>
        </w:rPr>
        <w:lastRenderedPageBreak/>
        <w:t>formal requirements set by law.</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In terms of material</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the application for cancellation</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is filed</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on the grounds that the arbitration award is taken from the results of deception (fraud).</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Based</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on the facts at the trial, it was found that some of the objects of the agreement did not belong to the respondent II (Budi Said), but to the other party (Amin Sutoyo).</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Therefore, respondent</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II's statement</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regarding</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land</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ownership</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is</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considered misleading</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and fulfills the element of deception as referred to in Article 70 letter (c) of the AAPS law</w:t>
      </w:r>
      <w:r w:rsidR="00A73FA1">
        <w:rPr>
          <w:rStyle w:val="ypks7kbdpwfgdykd3qb9"/>
          <w:rFonts w:ascii="Bookman Old Style" w:hAnsi="Bookman Old Style"/>
          <w:sz w:val="24"/>
          <w:szCs w:val="24"/>
        </w:rPr>
        <w:t xml:space="preserve"> (</w:t>
      </w:r>
      <w:r w:rsidR="00A73FA1" w:rsidRPr="00A73FA1">
        <w:rPr>
          <w:rFonts w:ascii="Bookman Old Style" w:hAnsi="Bookman Old Style"/>
          <w:sz w:val="24"/>
          <w:szCs w:val="24"/>
        </w:rPr>
        <w:t>Safnul, Dody</w:t>
      </w:r>
      <w:r w:rsidR="00A73FA1">
        <w:rPr>
          <w:rFonts w:ascii="Bookman Old Style" w:hAnsi="Bookman Old Style"/>
          <w:sz w:val="24"/>
          <w:szCs w:val="24"/>
        </w:rPr>
        <w:t>, 2024)</w:t>
      </w:r>
      <w:r w:rsidRPr="00A77E5C">
        <w:rPr>
          <w:rStyle w:val="ypks7kbdpwfgdykd3qb9"/>
          <w:rFonts w:ascii="Bookman Old Style" w:hAnsi="Bookman Old Style"/>
          <w:sz w:val="24"/>
          <w:szCs w:val="24"/>
        </w:rPr>
        <w:t>.</w:t>
      </w:r>
    </w:p>
    <w:p w:rsidR="00472467" w:rsidRPr="00472467" w:rsidRDefault="00A77E5C" w:rsidP="00A77E5C">
      <w:pPr>
        <w:spacing w:after="0"/>
        <w:ind w:firstLine="567"/>
        <w:jc w:val="both"/>
        <w:rPr>
          <w:rStyle w:val="ypks7kbdpwfgdykd3qb9"/>
          <w:rFonts w:ascii="Bookman Old Style" w:hAnsi="Bookman Old Style"/>
          <w:sz w:val="24"/>
          <w:szCs w:val="24"/>
        </w:rPr>
      </w:pPr>
      <w:r w:rsidRPr="00A77E5C">
        <w:rPr>
          <w:rStyle w:val="ypks7kbdpwfgdykd3qb9"/>
          <w:rFonts w:ascii="Bookman Old Style" w:hAnsi="Bookman Old Style"/>
          <w:sz w:val="24"/>
          <w:szCs w:val="24"/>
        </w:rPr>
        <w:t>The term ruse</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is</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not explicitly</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described</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in</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law</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No</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30</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of</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1999, but according to the Great Indonesian dictionary (KBBI), “tipu” means dishonest acts to mislead others, and “Ruse” means a rotten strategy or sense to gain personal gain.</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In</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the perspective</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of civil law, deception can be equated with dwang of bedrog as provided for in Article 1328 of the Civil Code, that is, any deception used to mislead the other party in an agreement.</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Thus, if in the course of the arbitration process it is proved that one of the parties committed a material lie in order to influence the arbitral tribunal, the decision may be canceled because it contains substantive legal defects.</w:t>
      </w:r>
    </w:p>
    <w:p w:rsidR="000C2422" w:rsidRPr="00A77E5C" w:rsidRDefault="00A77E5C" w:rsidP="000C2422">
      <w:pPr>
        <w:pStyle w:val="ListParagraph"/>
        <w:numPr>
          <w:ilvl w:val="0"/>
          <w:numId w:val="37"/>
        </w:numPr>
        <w:spacing w:after="0"/>
        <w:jc w:val="both"/>
        <w:rPr>
          <w:rStyle w:val="ypks7kbdpwfgdykd3qb9"/>
          <w:rFonts w:ascii="Bookman Old Style" w:hAnsi="Bookman Old Style"/>
          <w:b/>
          <w:sz w:val="24"/>
          <w:szCs w:val="24"/>
          <w:lang w:val="id-ID"/>
        </w:rPr>
      </w:pPr>
      <w:r w:rsidRPr="00A77E5C">
        <w:rPr>
          <w:rStyle w:val="ypks7kbdpwfgdykd3qb9"/>
          <w:rFonts w:ascii="Bookman Old Style" w:hAnsi="Bookman Old Style"/>
          <w:b/>
          <w:sz w:val="24"/>
          <w:szCs w:val="24"/>
        </w:rPr>
        <w:t>The role</w:t>
      </w:r>
      <w:r w:rsidRPr="00A77E5C">
        <w:rPr>
          <w:rFonts w:ascii="Bookman Old Style" w:hAnsi="Bookman Old Style"/>
          <w:b/>
          <w:sz w:val="24"/>
          <w:szCs w:val="24"/>
        </w:rPr>
        <w:t xml:space="preserve"> </w:t>
      </w:r>
      <w:r w:rsidRPr="00A77E5C">
        <w:rPr>
          <w:rStyle w:val="ypks7kbdpwfgdykd3qb9"/>
          <w:rFonts w:ascii="Bookman Old Style" w:hAnsi="Bookman Old Style"/>
          <w:b/>
          <w:sz w:val="24"/>
          <w:szCs w:val="24"/>
        </w:rPr>
        <w:t>of the District</w:t>
      </w:r>
      <w:r w:rsidRPr="00A77E5C">
        <w:rPr>
          <w:rFonts w:ascii="Bookman Old Style" w:hAnsi="Bookman Old Style"/>
          <w:b/>
          <w:sz w:val="24"/>
          <w:szCs w:val="24"/>
        </w:rPr>
        <w:t xml:space="preserve"> </w:t>
      </w:r>
      <w:r w:rsidRPr="00A77E5C">
        <w:rPr>
          <w:rStyle w:val="ypks7kbdpwfgdykd3qb9"/>
          <w:rFonts w:ascii="Bookman Old Style" w:hAnsi="Bookman Old Style"/>
          <w:b/>
          <w:sz w:val="24"/>
          <w:szCs w:val="24"/>
        </w:rPr>
        <w:t>Court</w:t>
      </w:r>
      <w:r w:rsidRPr="00A77E5C">
        <w:rPr>
          <w:rFonts w:ascii="Bookman Old Style" w:hAnsi="Bookman Old Style"/>
          <w:b/>
          <w:sz w:val="24"/>
          <w:szCs w:val="24"/>
        </w:rPr>
        <w:t xml:space="preserve"> </w:t>
      </w:r>
      <w:r w:rsidRPr="00A77E5C">
        <w:rPr>
          <w:rStyle w:val="ypks7kbdpwfgdykd3qb9"/>
          <w:rFonts w:ascii="Bookman Old Style" w:hAnsi="Bookman Old Style"/>
          <w:b/>
          <w:sz w:val="24"/>
          <w:szCs w:val="24"/>
        </w:rPr>
        <w:t>in</w:t>
      </w:r>
      <w:r w:rsidRPr="00A77E5C">
        <w:rPr>
          <w:rFonts w:ascii="Bookman Old Style" w:hAnsi="Bookman Old Style"/>
          <w:b/>
          <w:sz w:val="24"/>
          <w:szCs w:val="24"/>
        </w:rPr>
        <w:t xml:space="preserve"> </w:t>
      </w:r>
      <w:r w:rsidRPr="00A77E5C">
        <w:rPr>
          <w:rStyle w:val="ypks7kbdpwfgdykd3qb9"/>
          <w:rFonts w:ascii="Bookman Old Style" w:hAnsi="Bookman Old Style"/>
          <w:b/>
          <w:sz w:val="24"/>
          <w:szCs w:val="24"/>
        </w:rPr>
        <w:t>the cancellation</w:t>
      </w:r>
      <w:r w:rsidRPr="00A77E5C">
        <w:rPr>
          <w:rFonts w:ascii="Bookman Old Style" w:hAnsi="Bookman Old Style"/>
          <w:b/>
          <w:sz w:val="24"/>
          <w:szCs w:val="24"/>
        </w:rPr>
        <w:t xml:space="preserve"> </w:t>
      </w:r>
      <w:r w:rsidRPr="00A77E5C">
        <w:rPr>
          <w:rStyle w:val="ypks7kbdpwfgdykd3qb9"/>
          <w:rFonts w:ascii="Bookman Old Style" w:hAnsi="Bookman Old Style"/>
          <w:b/>
          <w:sz w:val="24"/>
          <w:szCs w:val="24"/>
        </w:rPr>
        <w:t>of an arbitration</w:t>
      </w:r>
      <w:r w:rsidRPr="00A77E5C">
        <w:rPr>
          <w:rFonts w:ascii="Bookman Old Style" w:hAnsi="Bookman Old Style"/>
          <w:b/>
          <w:sz w:val="24"/>
          <w:szCs w:val="24"/>
        </w:rPr>
        <w:t xml:space="preserve"> </w:t>
      </w:r>
      <w:r w:rsidRPr="00A77E5C">
        <w:rPr>
          <w:rStyle w:val="ypks7kbdpwfgdykd3qb9"/>
          <w:rFonts w:ascii="Bookman Old Style" w:hAnsi="Bookman Old Style"/>
          <w:b/>
          <w:sz w:val="24"/>
          <w:szCs w:val="24"/>
        </w:rPr>
        <w:t>award</w:t>
      </w:r>
    </w:p>
    <w:p w:rsidR="00A77E5C" w:rsidRDefault="00A77E5C" w:rsidP="00472467">
      <w:pPr>
        <w:spacing w:after="0"/>
        <w:ind w:firstLine="720"/>
        <w:jc w:val="both"/>
        <w:rPr>
          <w:rStyle w:val="ypks7kbdpwfgdykd3qb9"/>
          <w:rFonts w:ascii="Bookman Old Style" w:hAnsi="Bookman Old Style"/>
          <w:sz w:val="24"/>
          <w:szCs w:val="24"/>
        </w:rPr>
      </w:pPr>
      <w:r w:rsidRPr="00A77E5C">
        <w:rPr>
          <w:rStyle w:val="ypks7kbdpwfgdykd3qb9"/>
          <w:rFonts w:ascii="Bookman Old Style" w:hAnsi="Bookman Old Style"/>
          <w:sz w:val="24"/>
          <w:szCs w:val="24"/>
        </w:rPr>
        <w:t>In the Indonesian legal system, the District Court</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has</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a central</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position</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in ensuring</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the establishment</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of procedural</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justice (procedural justice) and legal certainty (legal certainty) to the implementation of the arbitration award.</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Although</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arbitration</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is seen</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as</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a form of dispute</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resolution</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outside</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the</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state judiciary</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the existence of the court</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is</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still needed</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as</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a “supporting</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judiciary” which is an institution that functions to supervise,</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strengthen</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or</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even cancel</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the arbitration</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award</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if</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there is a serious</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violation</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of</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applicable</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legal</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principles</w:t>
      </w:r>
      <w:r w:rsidR="00FE43B6">
        <w:rPr>
          <w:rStyle w:val="ypks7kbdpwfgdykd3qb9"/>
          <w:rFonts w:ascii="Bookman Old Style" w:hAnsi="Bookman Old Style"/>
          <w:sz w:val="24"/>
          <w:szCs w:val="24"/>
        </w:rPr>
        <w:t xml:space="preserve"> </w:t>
      </w:r>
      <w:r w:rsidR="00FE43B6" w:rsidRPr="008E2658">
        <w:rPr>
          <w:rStyle w:val="ypks7kbdpwfgdykd3qb9"/>
          <w:rFonts w:ascii="Bookman Old Style" w:hAnsi="Bookman Old Style"/>
          <w:sz w:val="24"/>
          <w:szCs w:val="24"/>
        </w:rPr>
        <w:t>(</w:t>
      </w:r>
      <w:r w:rsidR="008E2658" w:rsidRPr="008E2658">
        <w:rPr>
          <w:rFonts w:ascii="Bookman Old Style" w:hAnsi="Bookman Old Style"/>
          <w:sz w:val="24"/>
          <w:szCs w:val="24"/>
        </w:rPr>
        <w:t>Yosua Martin Sinaga , 2024</w:t>
      </w:r>
      <w:r w:rsidR="00FE43B6" w:rsidRPr="008E2658">
        <w:rPr>
          <w:rFonts w:ascii="Bookman Old Style" w:hAnsi="Bookman Old Style"/>
          <w:sz w:val="24"/>
          <w:szCs w:val="24"/>
        </w:rPr>
        <w:t>)</w:t>
      </w:r>
      <w:r w:rsidRPr="008E2658">
        <w:rPr>
          <w:rStyle w:val="ypks7kbdpwfgdykd3qb9"/>
          <w:rFonts w:ascii="Bookman Old Style" w:hAnsi="Bookman Old Style"/>
          <w:sz w:val="24"/>
          <w:szCs w:val="24"/>
        </w:rPr>
        <w:t>.</w:t>
      </w:r>
    </w:p>
    <w:p w:rsidR="00A77E5C" w:rsidRDefault="00A77E5C" w:rsidP="00472467">
      <w:pPr>
        <w:spacing w:after="0"/>
        <w:ind w:firstLine="720"/>
        <w:jc w:val="both"/>
        <w:rPr>
          <w:rStyle w:val="ypks7kbdpwfgdykd3qb9"/>
          <w:rFonts w:ascii="Bookman Old Style" w:hAnsi="Bookman Old Style"/>
          <w:sz w:val="24"/>
          <w:szCs w:val="24"/>
        </w:rPr>
      </w:pPr>
      <w:r w:rsidRPr="00A77E5C">
        <w:rPr>
          <w:rStyle w:val="ypks7kbdpwfgdykd3qb9"/>
          <w:rFonts w:ascii="Bookman Old Style" w:hAnsi="Bookman Old Style"/>
          <w:sz w:val="24"/>
          <w:szCs w:val="24"/>
        </w:rPr>
        <w:t>Article</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72</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paragraph (2</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of</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Law</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No. 30</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of 1999</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on</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arbitration</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and Alternative</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Dispute</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Resolution</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(hereinafter referred to as the AAPS law) states</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that</w:t>
      </w:r>
      <w:r w:rsidRPr="00A77E5C">
        <w:rPr>
          <w:rFonts w:ascii="Bookman Old Style" w:hAnsi="Bookman Old Style"/>
          <w:sz w:val="24"/>
          <w:szCs w:val="24"/>
        </w:rPr>
        <w:t>: “</w:t>
      </w:r>
      <w:r w:rsidRPr="00A77E5C">
        <w:rPr>
          <w:rStyle w:val="ypks7kbdpwfgdykd3qb9"/>
          <w:rFonts w:ascii="Bookman Old Style" w:hAnsi="Bookman Old Style"/>
          <w:sz w:val="24"/>
          <w:szCs w:val="24"/>
        </w:rPr>
        <w:t>The chairman</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of the District</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Court</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is</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authorized</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to examine claims for cancellation if requested by the parties, and regulate the consequences of the complete or partial cancellation of the arbitral award in question</w:t>
      </w:r>
      <w:r w:rsidR="00861A1B">
        <w:rPr>
          <w:rStyle w:val="ypks7kbdpwfgdykd3qb9"/>
          <w:rFonts w:ascii="Bookman Old Style" w:hAnsi="Bookman Old Style"/>
          <w:sz w:val="24"/>
          <w:szCs w:val="24"/>
        </w:rPr>
        <w:t>(</w:t>
      </w:r>
      <w:r w:rsidR="00861A1B" w:rsidRPr="00861A1B">
        <w:rPr>
          <w:rFonts w:ascii="Bookman Old Style" w:hAnsi="Bookman Old Style"/>
          <w:sz w:val="24"/>
          <w:szCs w:val="24"/>
        </w:rPr>
        <w:t>Hendra Tanu</w:t>
      </w:r>
      <w:r w:rsidR="00861A1B">
        <w:rPr>
          <w:rFonts w:ascii="Bookman Old Style" w:hAnsi="Bookman Old Style"/>
          <w:sz w:val="24"/>
          <w:szCs w:val="24"/>
        </w:rPr>
        <w:t>, 2024)</w:t>
      </w:r>
      <w:r w:rsidRPr="00A77E5C">
        <w:rPr>
          <w:rStyle w:val="ypks7kbdpwfgdykd3qb9"/>
          <w:rFonts w:ascii="Bookman Old Style" w:hAnsi="Bookman Old Style"/>
          <w:sz w:val="24"/>
          <w:szCs w:val="24"/>
        </w:rPr>
        <w:t>.</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This</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provision</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affirms</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that although</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the arbitration</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is</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final</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and binding, the District Court still has the function of limited judicial control over the outcome of the arbitration.</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This function</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is</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not intended</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to open</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a path of Appeal, but</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to ensure</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that the arbitral</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award</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does</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not violate</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the law, morals, and Public Order (public policy)</w:t>
      </w:r>
      <w:r w:rsidR="00FE43B6">
        <w:rPr>
          <w:rStyle w:val="ypks7kbdpwfgdykd3qb9"/>
          <w:rFonts w:ascii="Bookman Old Style" w:hAnsi="Bookman Old Style"/>
          <w:sz w:val="24"/>
          <w:szCs w:val="24"/>
        </w:rPr>
        <w:t xml:space="preserve"> (</w:t>
      </w:r>
      <w:r w:rsidR="00FE43B6">
        <w:rPr>
          <w:rFonts w:ascii="Bookman Old Style" w:hAnsi="Bookman Old Style"/>
          <w:sz w:val="24"/>
          <w:szCs w:val="24"/>
        </w:rPr>
        <w:t>Huala Adolf, 2023)</w:t>
      </w:r>
      <w:r>
        <w:rPr>
          <w:rStyle w:val="ypks7kbdpwfgdykd3qb9"/>
          <w:rFonts w:ascii="Bookman Old Style" w:hAnsi="Bookman Old Style"/>
          <w:sz w:val="24"/>
          <w:szCs w:val="24"/>
        </w:rPr>
        <w:t>.</w:t>
      </w:r>
    </w:p>
    <w:p w:rsidR="008E2658" w:rsidRDefault="00A77E5C" w:rsidP="00472467">
      <w:pPr>
        <w:spacing w:after="0"/>
        <w:ind w:firstLine="720"/>
        <w:jc w:val="both"/>
        <w:rPr>
          <w:rStyle w:val="ypks7kbdpwfgdykd3qb9"/>
          <w:rFonts w:ascii="Bookman Old Style" w:hAnsi="Bookman Old Style"/>
          <w:sz w:val="24"/>
          <w:szCs w:val="24"/>
        </w:rPr>
      </w:pPr>
      <w:r w:rsidRPr="00A77E5C">
        <w:rPr>
          <w:rStyle w:val="ypks7kbdpwfgdykd3qb9"/>
          <w:rFonts w:ascii="Bookman Old Style" w:hAnsi="Bookman Old Style"/>
          <w:sz w:val="24"/>
          <w:szCs w:val="24"/>
        </w:rPr>
        <w:t>Thus, the relationship between arbitration and the General Court is complementary, not competitive.</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Arbitration</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serves</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 xml:space="preserve">as a quick and efficient </w:t>
      </w:r>
      <w:r w:rsidRPr="00A77E5C">
        <w:rPr>
          <w:rStyle w:val="ypks7kbdpwfgdykd3qb9"/>
          <w:rFonts w:ascii="Bookman Old Style" w:hAnsi="Bookman Old Style"/>
          <w:sz w:val="24"/>
          <w:szCs w:val="24"/>
        </w:rPr>
        <w:lastRenderedPageBreak/>
        <w:t>dispute resolution mechanism, while the District Court serves as the guardian of the legal legitimacy of the arbitration process itself</w:t>
      </w:r>
      <w:r w:rsidR="008E2658">
        <w:rPr>
          <w:rStyle w:val="ypks7kbdpwfgdykd3qb9"/>
          <w:rFonts w:ascii="Bookman Old Style" w:hAnsi="Bookman Old Style"/>
          <w:sz w:val="24"/>
          <w:szCs w:val="24"/>
        </w:rPr>
        <w:t xml:space="preserve"> (</w:t>
      </w:r>
      <w:r w:rsidR="008E2658" w:rsidRPr="008E2658">
        <w:rPr>
          <w:rFonts w:ascii="Bookman Old Style" w:hAnsi="Bookman Old Style"/>
          <w:sz w:val="24"/>
          <w:szCs w:val="24"/>
        </w:rPr>
        <w:t>Adhitya Yulwansyah,</w:t>
      </w:r>
      <w:r w:rsidR="008E2658">
        <w:rPr>
          <w:rStyle w:val="ypks7kbdpwfgdykd3qb9"/>
          <w:rFonts w:ascii="Bookman Old Style" w:hAnsi="Bookman Old Style"/>
          <w:sz w:val="24"/>
          <w:szCs w:val="24"/>
        </w:rPr>
        <w:t>2024).</w:t>
      </w:r>
    </w:p>
    <w:p w:rsidR="00A77E5C" w:rsidRDefault="008E2658" w:rsidP="00472467">
      <w:pPr>
        <w:spacing w:after="0"/>
        <w:ind w:firstLine="720"/>
        <w:jc w:val="both"/>
        <w:rPr>
          <w:rFonts w:ascii="Bookman Old Style" w:hAnsi="Bookman Old Style"/>
          <w:sz w:val="24"/>
          <w:szCs w:val="24"/>
        </w:rPr>
      </w:pPr>
      <w:r w:rsidRPr="00A77E5C">
        <w:rPr>
          <w:rStyle w:val="ypks7kbdpwfgdykd3qb9"/>
          <w:rFonts w:ascii="Bookman Old Style" w:hAnsi="Bookman Old Style"/>
          <w:sz w:val="24"/>
          <w:szCs w:val="24"/>
        </w:rPr>
        <w:t xml:space="preserve"> </w:t>
      </w:r>
      <w:r w:rsidR="00A77E5C" w:rsidRPr="00A77E5C">
        <w:rPr>
          <w:rStyle w:val="ypks7kbdpwfgdykd3qb9"/>
          <w:rFonts w:ascii="Bookman Old Style" w:hAnsi="Bookman Old Style"/>
          <w:sz w:val="24"/>
          <w:szCs w:val="24"/>
        </w:rPr>
        <w:t>The</w:t>
      </w:r>
      <w:r w:rsidR="00A77E5C" w:rsidRPr="00A77E5C">
        <w:rPr>
          <w:rFonts w:ascii="Bookman Old Style" w:hAnsi="Bookman Old Style"/>
          <w:sz w:val="24"/>
          <w:szCs w:val="24"/>
        </w:rPr>
        <w:t xml:space="preserve"> </w:t>
      </w:r>
      <w:r w:rsidR="00A77E5C" w:rsidRPr="00A77E5C">
        <w:rPr>
          <w:rStyle w:val="ypks7kbdpwfgdykd3qb9"/>
          <w:rFonts w:ascii="Bookman Old Style" w:hAnsi="Bookman Old Style"/>
          <w:sz w:val="24"/>
          <w:szCs w:val="24"/>
        </w:rPr>
        <w:t>authority of the District</w:t>
      </w:r>
      <w:r w:rsidR="00A77E5C" w:rsidRPr="00A77E5C">
        <w:rPr>
          <w:rFonts w:ascii="Bookman Old Style" w:hAnsi="Bookman Old Style"/>
          <w:sz w:val="24"/>
          <w:szCs w:val="24"/>
        </w:rPr>
        <w:t xml:space="preserve"> </w:t>
      </w:r>
      <w:r w:rsidR="00A77E5C" w:rsidRPr="00A77E5C">
        <w:rPr>
          <w:rStyle w:val="ypks7kbdpwfgdykd3qb9"/>
          <w:rFonts w:ascii="Bookman Old Style" w:hAnsi="Bookman Old Style"/>
          <w:sz w:val="24"/>
          <w:szCs w:val="24"/>
        </w:rPr>
        <w:t>Court</w:t>
      </w:r>
      <w:r w:rsidR="00A77E5C" w:rsidRPr="00A77E5C">
        <w:rPr>
          <w:rFonts w:ascii="Bookman Old Style" w:hAnsi="Bookman Old Style"/>
          <w:sz w:val="24"/>
          <w:szCs w:val="24"/>
        </w:rPr>
        <w:t xml:space="preserve"> </w:t>
      </w:r>
      <w:r w:rsidR="00A77E5C" w:rsidRPr="00A77E5C">
        <w:rPr>
          <w:rStyle w:val="ypks7kbdpwfgdykd3qb9"/>
          <w:rFonts w:ascii="Bookman Old Style" w:hAnsi="Bookman Old Style"/>
          <w:sz w:val="24"/>
          <w:szCs w:val="24"/>
        </w:rPr>
        <w:t>to cancel</w:t>
      </w:r>
      <w:r w:rsidR="00A77E5C" w:rsidRPr="00A77E5C">
        <w:rPr>
          <w:rFonts w:ascii="Bookman Old Style" w:hAnsi="Bookman Old Style"/>
          <w:sz w:val="24"/>
          <w:szCs w:val="24"/>
        </w:rPr>
        <w:t xml:space="preserve"> </w:t>
      </w:r>
      <w:r w:rsidR="00A77E5C" w:rsidRPr="00A77E5C">
        <w:rPr>
          <w:rStyle w:val="ypks7kbdpwfgdykd3qb9"/>
          <w:rFonts w:ascii="Bookman Old Style" w:hAnsi="Bookman Old Style"/>
          <w:sz w:val="24"/>
          <w:szCs w:val="24"/>
        </w:rPr>
        <w:t>the arbitration</w:t>
      </w:r>
      <w:r w:rsidR="00A77E5C" w:rsidRPr="00A77E5C">
        <w:rPr>
          <w:rFonts w:ascii="Bookman Old Style" w:hAnsi="Bookman Old Style"/>
          <w:sz w:val="24"/>
          <w:szCs w:val="24"/>
        </w:rPr>
        <w:t xml:space="preserve"> </w:t>
      </w:r>
      <w:r w:rsidR="00A77E5C" w:rsidRPr="00A77E5C">
        <w:rPr>
          <w:rStyle w:val="ypks7kbdpwfgdykd3qb9"/>
          <w:rFonts w:ascii="Bookman Old Style" w:hAnsi="Bookman Old Style"/>
          <w:sz w:val="24"/>
          <w:szCs w:val="24"/>
        </w:rPr>
        <w:t>award</w:t>
      </w:r>
      <w:r w:rsidR="00A77E5C" w:rsidRPr="00A77E5C">
        <w:rPr>
          <w:rFonts w:ascii="Bookman Old Style" w:hAnsi="Bookman Old Style"/>
          <w:sz w:val="24"/>
          <w:szCs w:val="24"/>
        </w:rPr>
        <w:t xml:space="preserve"> </w:t>
      </w:r>
      <w:r w:rsidR="00A77E5C" w:rsidRPr="00A77E5C">
        <w:rPr>
          <w:rStyle w:val="ypks7kbdpwfgdykd3qb9"/>
          <w:rFonts w:ascii="Bookman Old Style" w:hAnsi="Bookman Old Style"/>
          <w:sz w:val="24"/>
          <w:szCs w:val="24"/>
        </w:rPr>
        <w:t>is</w:t>
      </w:r>
      <w:r w:rsidR="00A77E5C" w:rsidRPr="00A77E5C">
        <w:rPr>
          <w:rFonts w:ascii="Bookman Old Style" w:hAnsi="Bookman Old Style"/>
          <w:sz w:val="24"/>
          <w:szCs w:val="24"/>
        </w:rPr>
        <w:t xml:space="preserve"> </w:t>
      </w:r>
      <w:r w:rsidR="00A77E5C" w:rsidRPr="00A77E5C">
        <w:rPr>
          <w:rStyle w:val="ypks7kbdpwfgdykd3qb9"/>
          <w:rFonts w:ascii="Bookman Old Style" w:hAnsi="Bookman Old Style"/>
          <w:sz w:val="24"/>
          <w:szCs w:val="24"/>
        </w:rPr>
        <w:t>regulated limitatively</w:t>
      </w:r>
      <w:r w:rsidR="00A77E5C" w:rsidRPr="00A77E5C">
        <w:rPr>
          <w:rFonts w:ascii="Bookman Old Style" w:hAnsi="Bookman Old Style"/>
          <w:sz w:val="24"/>
          <w:szCs w:val="24"/>
        </w:rPr>
        <w:t xml:space="preserve"> </w:t>
      </w:r>
      <w:r w:rsidR="00A77E5C" w:rsidRPr="00A77E5C">
        <w:rPr>
          <w:rStyle w:val="ypks7kbdpwfgdykd3qb9"/>
          <w:rFonts w:ascii="Bookman Old Style" w:hAnsi="Bookman Old Style"/>
          <w:sz w:val="24"/>
          <w:szCs w:val="24"/>
        </w:rPr>
        <w:t>in</w:t>
      </w:r>
      <w:r w:rsidR="00A77E5C" w:rsidRPr="00A77E5C">
        <w:rPr>
          <w:rFonts w:ascii="Bookman Old Style" w:hAnsi="Bookman Old Style"/>
          <w:sz w:val="24"/>
          <w:szCs w:val="24"/>
        </w:rPr>
        <w:t xml:space="preserve"> </w:t>
      </w:r>
      <w:r w:rsidR="00A77E5C" w:rsidRPr="00A77E5C">
        <w:rPr>
          <w:rStyle w:val="ypks7kbdpwfgdykd3qb9"/>
          <w:rFonts w:ascii="Bookman Old Style" w:hAnsi="Bookman Old Style"/>
          <w:sz w:val="24"/>
          <w:szCs w:val="24"/>
        </w:rPr>
        <w:t>Article</w:t>
      </w:r>
      <w:r w:rsidR="00A77E5C" w:rsidRPr="00A77E5C">
        <w:rPr>
          <w:rFonts w:ascii="Bookman Old Style" w:hAnsi="Bookman Old Style"/>
          <w:sz w:val="24"/>
          <w:szCs w:val="24"/>
        </w:rPr>
        <w:t xml:space="preserve"> </w:t>
      </w:r>
      <w:r w:rsidR="00A77E5C" w:rsidRPr="00A77E5C">
        <w:rPr>
          <w:rStyle w:val="ypks7kbdpwfgdykd3qb9"/>
          <w:rFonts w:ascii="Bookman Old Style" w:hAnsi="Bookman Old Style"/>
          <w:sz w:val="24"/>
          <w:szCs w:val="24"/>
        </w:rPr>
        <w:t>70</w:t>
      </w:r>
      <w:r w:rsidR="00A77E5C" w:rsidRPr="00A77E5C">
        <w:rPr>
          <w:rFonts w:ascii="Bookman Old Style" w:hAnsi="Bookman Old Style"/>
          <w:sz w:val="24"/>
          <w:szCs w:val="24"/>
        </w:rPr>
        <w:t xml:space="preserve"> </w:t>
      </w:r>
      <w:r w:rsidR="00A77E5C" w:rsidRPr="00A77E5C">
        <w:rPr>
          <w:rStyle w:val="ypks7kbdpwfgdykd3qb9"/>
          <w:rFonts w:ascii="Bookman Old Style" w:hAnsi="Bookman Old Style"/>
          <w:sz w:val="24"/>
          <w:szCs w:val="24"/>
        </w:rPr>
        <w:t>of the AAPS law, namely</w:t>
      </w:r>
      <w:r w:rsidR="00A77E5C" w:rsidRPr="00A77E5C">
        <w:rPr>
          <w:rFonts w:ascii="Bookman Old Style" w:hAnsi="Bookman Old Style"/>
          <w:sz w:val="24"/>
          <w:szCs w:val="24"/>
        </w:rPr>
        <w:t xml:space="preserve"> </w:t>
      </w:r>
      <w:r w:rsidR="00A77E5C" w:rsidRPr="00A77E5C">
        <w:rPr>
          <w:rStyle w:val="ypks7kbdpwfgdykd3qb9"/>
          <w:rFonts w:ascii="Bookman Old Style" w:hAnsi="Bookman Old Style"/>
          <w:sz w:val="24"/>
          <w:szCs w:val="24"/>
        </w:rPr>
        <w:t>if</w:t>
      </w:r>
      <w:r w:rsidR="00A77E5C" w:rsidRPr="00A77E5C">
        <w:rPr>
          <w:rFonts w:ascii="Bookman Old Style" w:hAnsi="Bookman Old Style"/>
          <w:sz w:val="24"/>
          <w:szCs w:val="24"/>
        </w:rPr>
        <w:t xml:space="preserve">: </w:t>
      </w:r>
    </w:p>
    <w:p w:rsidR="00A77E5C" w:rsidRDefault="00A77E5C" w:rsidP="00A77E5C">
      <w:pPr>
        <w:pStyle w:val="ListParagraph"/>
        <w:numPr>
          <w:ilvl w:val="0"/>
          <w:numId w:val="43"/>
        </w:numPr>
        <w:spacing w:after="0"/>
        <w:jc w:val="both"/>
        <w:rPr>
          <w:rFonts w:ascii="Bookman Old Style" w:hAnsi="Bookman Old Style"/>
          <w:sz w:val="24"/>
          <w:szCs w:val="24"/>
        </w:rPr>
      </w:pPr>
      <w:r w:rsidRPr="00A77E5C">
        <w:rPr>
          <w:rStyle w:val="ypks7kbdpwfgdykd3qb9"/>
          <w:rFonts w:ascii="Bookman Old Style" w:hAnsi="Bookman Old Style"/>
          <w:sz w:val="24"/>
          <w:szCs w:val="24"/>
        </w:rPr>
        <w:t>The arbitration</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award</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is allegedly</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based</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on a false</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letter</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or</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document</w:t>
      </w:r>
      <w:r w:rsidRPr="00A77E5C">
        <w:rPr>
          <w:rFonts w:ascii="Bookman Old Style" w:hAnsi="Bookman Old Style"/>
          <w:sz w:val="24"/>
          <w:szCs w:val="24"/>
        </w:rPr>
        <w:t>;</w:t>
      </w:r>
    </w:p>
    <w:p w:rsidR="00A77E5C" w:rsidRDefault="00A77E5C" w:rsidP="00A77E5C">
      <w:pPr>
        <w:pStyle w:val="ListParagraph"/>
        <w:numPr>
          <w:ilvl w:val="0"/>
          <w:numId w:val="43"/>
        </w:numPr>
        <w:spacing w:after="0"/>
        <w:jc w:val="both"/>
        <w:rPr>
          <w:rFonts w:ascii="Bookman Old Style" w:hAnsi="Bookman Old Style"/>
          <w:sz w:val="24"/>
          <w:szCs w:val="24"/>
        </w:rPr>
      </w:pPr>
      <w:r w:rsidRPr="00A77E5C">
        <w:rPr>
          <w:rStyle w:val="ypks7kbdpwfgdykd3qb9"/>
          <w:rFonts w:ascii="Bookman Old Style" w:hAnsi="Bookman Old Style"/>
          <w:sz w:val="24"/>
          <w:szCs w:val="24"/>
        </w:rPr>
        <w:t>Found</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a decisive</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document</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hidden</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by</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the counterparty; or</w:t>
      </w:r>
      <w:r w:rsidRPr="00A77E5C">
        <w:rPr>
          <w:rFonts w:ascii="Bookman Old Style" w:hAnsi="Bookman Old Style"/>
          <w:sz w:val="24"/>
          <w:szCs w:val="24"/>
        </w:rPr>
        <w:t xml:space="preserve"> </w:t>
      </w:r>
    </w:p>
    <w:p w:rsidR="00A77E5C" w:rsidRDefault="00A77E5C" w:rsidP="00A77E5C">
      <w:pPr>
        <w:pStyle w:val="ListParagraph"/>
        <w:numPr>
          <w:ilvl w:val="0"/>
          <w:numId w:val="43"/>
        </w:numPr>
        <w:spacing w:after="0"/>
        <w:jc w:val="both"/>
        <w:rPr>
          <w:rStyle w:val="ypks7kbdpwfgdykd3qb9"/>
          <w:rFonts w:ascii="Bookman Old Style" w:hAnsi="Bookman Old Style"/>
          <w:sz w:val="24"/>
          <w:szCs w:val="24"/>
        </w:rPr>
      </w:pPr>
      <w:r w:rsidRPr="00A77E5C">
        <w:rPr>
          <w:rStyle w:val="ypks7kbdpwfgdykd3qb9"/>
          <w:rFonts w:ascii="Bookman Old Style" w:hAnsi="Bookman Old Style"/>
          <w:sz w:val="24"/>
          <w:szCs w:val="24"/>
        </w:rPr>
        <w:t>The arbitral</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award</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is drawn</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from the results of a ruse committed by one of the parties.</w:t>
      </w:r>
    </w:p>
    <w:p w:rsidR="00A77E5C" w:rsidRDefault="00A77E5C" w:rsidP="00A77E5C">
      <w:pPr>
        <w:spacing w:after="0"/>
        <w:ind w:firstLine="720"/>
        <w:jc w:val="both"/>
        <w:rPr>
          <w:rStyle w:val="ypks7kbdpwfgdykd3qb9"/>
          <w:rFonts w:ascii="Bookman Old Style" w:hAnsi="Bookman Old Style"/>
          <w:sz w:val="24"/>
          <w:szCs w:val="24"/>
        </w:rPr>
      </w:pPr>
      <w:r w:rsidRPr="00A77E5C">
        <w:rPr>
          <w:rStyle w:val="ypks7kbdpwfgdykd3qb9"/>
          <w:rFonts w:ascii="Bookman Old Style" w:hAnsi="Bookman Old Style"/>
          <w:sz w:val="24"/>
          <w:szCs w:val="24"/>
        </w:rPr>
        <w:t>However, the doctrine</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and jurisprudence of the Supreme Court have pointed out that the reasons for the annulment are incomplete.</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It</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is based</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on the phrase" among other things " in the general explanation of Chapter VII of the aaps law, which allows filing an application for cancellation on the basis of other reasons, such as ultra petita, exceeding the limits of the arbitral authority, or violating the principle of legal process.</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In</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practice, the district</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court</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not</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only</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has</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the role</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of</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checking</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the validity of a formal application</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for revocation (for example, the 30-day deadline</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as stipulated</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in Article</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71</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of the AAPS</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law</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but also has the power to</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evaluate</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the materials of an arbitral award</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if</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there are signs</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of violation</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of the principles</w:t>
      </w:r>
      <w:r w:rsidRPr="00A77E5C">
        <w:rPr>
          <w:rFonts w:ascii="Bookman Old Style" w:hAnsi="Bookman Old Style"/>
          <w:sz w:val="24"/>
          <w:szCs w:val="24"/>
        </w:rPr>
        <w:t xml:space="preserve"> </w:t>
      </w:r>
      <w:r w:rsidRPr="00A77E5C">
        <w:rPr>
          <w:rStyle w:val="ypks7kbdpwfgdykd3qb9"/>
          <w:rFonts w:ascii="Bookman Old Style" w:hAnsi="Bookman Old Style"/>
          <w:sz w:val="24"/>
          <w:szCs w:val="24"/>
        </w:rPr>
        <w:t>of Justice, reasonableness, or public order (ordre public)</w:t>
      </w:r>
      <w:r>
        <w:rPr>
          <w:rStyle w:val="ypks7kbdpwfgdykd3qb9"/>
          <w:rFonts w:ascii="Bookman Old Style" w:hAnsi="Bookman Old Style"/>
          <w:sz w:val="24"/>
          <w:szCs w:val="24"/>
        </w:rPr>
        <w:t>.</w:t>
      </w:r>
    </w:p>
    <w:p w:rsidR="00861A1B" w:rsidRDefault="00A77E5C" w:rsidP="00861A1B">
      <w:pPr>
        <w:spacing w:after="0"/>
        <w:ind w:firstLine="720"/>
        <w:jc w:val="both"/>
        <w:rPr>
          <w:rStyle w:val="ypks7kbdpwfgdykd3qb9"/>
          <w:rFonts w:ascii="Bookman Old Style" w:hAnsi="Bookman Old Style"/>
          <w:sz w:val="24"/>
          <w:szCs w:val="24"/>
        </w:rPr>
      </w:pPr>
      <w:r w:rsidRPr="00861A1B">
        <w:rPr>
          <w:rStyle w:val="ypks7kbdpwfgdykd3qb9"/>
          <w:rFonts w:ascii="Bookman Old Style" w:hAnsi="Bookman Old Style"/>
          <w:sz w:val="24"/>
          <w:szCs w:val="24"/>
        </w:rPr>
        <w:t>For</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example, in the decision of the Supreme Court Number 03/Arb.Btl</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 2005, the judge affirmed that the word “inter alia”</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in</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the general</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explanation</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of the AAPS law</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provides</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room</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for the court</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to overturn</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an arbitral</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award</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that violates</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the principle of absolute competence</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and substantive</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justice.</w:t>
      </w:r>
      <w:r w:rsidR="00861A1B" w:rsidRPr="00861A1B">
        <w:rPr>
          <w:rStyle w:val="apple-converted-space"/>
        </w:rPr>
        <w:t xml:space="preserve"> </w:t>
      </w:r>
      <w:r w:rsidR="00861A1B" w:rsidRPr="00861A1B">
        <w:rPr>
          <w:rStyle w:val="ypks7kbdpwfgdykd3qb9"/>
          <w:rFonts w:ascii="Bookman Old Style" w:hAnsi="Bookman Old Style"/>
          <w:sz w:val="24"/>
          <w:szCs w:val="24"/>
        </w:rPr>
        <w:t>This fact</w:t>
      </w:r>
      <w:r w:rsidR="00861A1B" w:rsidRPr="00861A1B">
        <w:rPr>
          <w:rFonts w:ascii="Bookman Old Style" w:hAnsi="Bookman Old Style"/>
          <w:sz w:val="24"/>
          <w:szCs w:val="24"/>
        </w:rPr>
        <w:t xml:space="preserve"> </w:t>
      </w:r>
      <w:r w:rsidR="00861A1B" w:rsidRPr="00861A1B">
        <w:rPr>
          <w:rStyle w:val="ypks7kbdpwfgdykd3qb9"/>
          <w:rFonts w:ascii="Bookman Old Style" w:hAnsi="Bookman Old Style"/>
          <w:sz w:val="24"/>
          <w:szCs w:val="24"/>
        </w:rPr>
        <w:t>indicates</w:t>
      </w:r>
      <w:r w:rsidR="00861A1B" w:rsidRPr="00861A1B">
        <w:rPr>
          <w:rFonts w:ascii="Bookman Old Style" w:hAnsi="Bookman Old Style"/>
          <w:sz w:val="24"/>
          <w:szCs w:val="24"/>
        </w:rPr>
        <w:t xml:space="preserve"> </w:t>
      </w:r>
      <w:r w:rsidR="00861A1B" w:rsidRPr="00861A1B">
        <w:rPr>
          <w:rStyle w:val="ypks7kbdpwfgdykd3qb9"/>
          <w:rFonts w:ascii="Bookman Old Style" w:hAnsi="Bookman Old Style"/>
          <w:sz w:val="24"/>
          <w:szCs w:val="24"/>
        </w:rPr>
        <w:t>that the arbitral award was based on false statements and misleading facts, which juridically meet the element of deception referred to in Article 70 letter c of the AAPS law.</w:t>
      </w:r>
      <w:r w:rsidR="00861A1B" w:rsidRPr="00861A1B">
        <w:rPr>
          <w:rFonts w:ascii="Bookman Old Style" w:hAnsi="Bookman Old Style"/>
          <w:sz w:val="24"/>
          <w:szCs w:val="24"/>
        </w:rPr>
        <w:t xml:space="preserve"> </w:t>
      </w:r>
      <w:r w:rsidR="00861A1B" w:rsidRPr="00861A1B">
        <w:rPr>
          <w:rStyle w:val="ypks7kbdpwfgdykd3qb9"/>
          <w:rFonts w:ascii="Bookman Old Style" w:hAnsi="Bookman Old Style"/>
          <w:sz w:val="24"/>
          <w:szCs w:val="24"/>
        </w:rPr>
        <w:t>Therefore, the role of the District Court</w:t>
      </w:r>
      <w:r w:rsidR="00861A1B" w:rsidRPr="00861A1B">
        <w:rPr>
          <w:rFonts w:ascii="Bookman Old Style" w:hAnsi="Bookman Old Style"/>
          <w:sz w:val="24"/>
          <w:szCs w:val="24"/>
        </w:rPr>
        <w:t xml:space="preserve"> </w:t>
      </w:r>
      <w:r w:rsidR="00861A1B" w:rsidRPr="00861A1B">
        <w:rPr>
          <w:rStyle w:val="ypks7kbdpwfgdykd3qb9"/>
          <w:rFonts w:ascii="Bookman Old Style" w:hAnsi="Bookman Old Style"/>
          <w:sz w:val="24"/>
          <w:szCs w:val="24"/>
        </w:rPr>
        <w:t>in</w:t>
      </w:r>
      <w:r w:rsidR="00861A1B" w:rsidRPr="00861A1B">
        <w:rPr>
          <w:rFonts w:ascii="Bookman Old Style" w:hAnsi="Bookman Old Style"/>
          <w:sz w:val="24"/>
          <w:szCs w:val="24"/>
        </w:rPr>
        <w:t xml:space="preserve"> </w:t>
      </w:r>
      <w:r w:rsidR="00861A1B" w:rsidRPr="00861A1B">
        <w:rPr>
          <w:rStyle w:val="ypks7kbdpwfgdykd3qb9"/>
          <w:rFonts w:ascii="Bookman Old Style" w:hAnsi="Bookman Old Style"/>
          <w:sz w:val="24"/>
          <w:szCs w:val="24"/>
        </w:rPr>
        <w:t>this</w:t>
      </w:r>
      <w:r w:rsidR="00861A1B" w:rsidRPr="00861A1B">
        <w:rPr>
          <w:rFonts w:ascii="Bookman Old Style" w:hAnsi="Bookman Old Style"/>
          <w:sz w:val="24"/>
          <w:szCs w:val="24"/>
        </w:rPr>
        <w:t xml:space="preserve"> </w:t>
      </w:r>
      <w:r w:rsidR="00861A1B" w:rsidRPr="00861A1B">
        <w:rPr>
          <w:rStyle w:val="ypks7kbdpwfgdykd3qb9"/>
          <w:rFonts w:ascii="Bookman Old Style" w:hAnsi="Bookman Old Style"/>
          <w:sz w:val="24"/>
          <w:szCs w:val="24"/>
        </w:rPr>
        <w:t>case</w:t>
      </w:r>
      <w:r w:rsidR="00861A1B" w:rsidRPr="00861A1B">
        <w:rPr>
          <w:rFonts w:ascii="Bookman Old Style" w:hAnsi="Bookman Old Style"/>
          <w:sz w:val="24"/>
          <w:szCs w:val="24"/>
        </w:rPr>
        <w:t xml:space="preserve"> </w:t>
      </w:r>
      <w:r w:rsidR="00861A1B" w:rsidRPr="00861A1B">
        <w:rPr>
          <w:rStyle w:val="ypks7kbdpwfgdykd3qb9"/>
          <w:rFonts w:ascii="Bookman Old Style" w:hAnsi="Bookman Old Style"/>
          <w:sz w:val="24"/>
          <w:szCs w:val="24"/>
        </w:rPr>
        <w:t>is</w:t>
      </w:r>
      <w:r w:rsidR="00861A1B" w:rsidRPr="00861A1B">
        <w:rPr>
          <w:rFonts w:ascii="Bookman Old Style" w:hAnsi="Bookman Old Style"/>
          <w:sz w:val="24"/>
          <w:szCs w:val="24"/>
        </w:rPr>
        <w:t xml:space="preserve"> </w:t>
      </w:r>
      <w:r w:rsidR="00861A1B" w:rsidRPr="00861A1B">
        <w:rPr>
          <w:rStyle w:val="ypks7kbdpwfgdykd3qb9"/>
          <w:rFonts w:ascii="Bookman Old Style" w:hAnsi="Bookman Old Style"/>
          <w:sz w:val="24"/>
          <w:szCs w:val="24"/>
        </w:rPr>
        <w:t>corrective</w:t>
      </w:r>
      <w:r w:rsidR="00861A1B" w:rsidRPr="00861A1B">
        <w:rPr>
          <w:rFonts w:ascii="Bookman Old Style" w:hAnsi="Bookman Old Style"/>
          <w:sz w:val="24"/>
          <w:szCs w:val="24"/>
        </w:rPr>
        <w:t xml:space="preserve"> </w:t>
      </w:r>
      <w:r w:rsidR="00861A1B" w:rsidRPr="00861A1B">
        <w:rPr>
          <w:rStyle w:val="ypks7kbdpwfgdykd3qb9"/>
          <w:rFonts w:ascii="Bookman Old Style" w:hAnsi="Bookman Old Style"/>
          <w:sz w:val="24"/>
          <w:szCs w:val="24"/>
        </w:rPr>
        <w:t>and</w:t>
      </w:r>
      <w:r w:rsidR="00861A1B" w:rsidRPr="00861A1B">
        <w:rPr>
          <w:rFonts w:ascii="Bookman Old Style" w:hAnsi="Bookman Old Style"/>
          <w:sz w:val="24"/>
          <w:szCs w:val="24"/>
        </w:rPr>
        <w:t xml:space="preserve"> </w:t>
      </w:r>
      <w:r w:rsidR="00861A1B" w:rsidRPr="00861A1B">
        <w:rPr>
          <w:rStyle w:val="ypks7kbdpwfgdykd3qb9"/>
          <w:rFonts w:ascii="Bookman Old Style" w:hAnsi="Bookman Old Style"/>
          <w:sz w:val="24"/>
          <w:szCs w:val="24"/>
        </w:rPr>
        <w:t>restorative, that</w:t>
      </w:r>
      <w:r w:rsidR="00861A1B" w:rsidRPr="00861A1B">
        <w:rPr>
          <w:rFonts w:ascii="Bookman Old Style" w:hAnsi="Bookman Old Style"/>
          <w:sz w:val="24"/>
          <w:szCs w:val="24"/>
        </w:rPr>
        <w:t xml:space="preserve"> </w:t>
      </w:r>
      <w:r w:rsidR="00861A1B" w:rsidRPr="00861A1B">
        <w:rPr>
          <w:rStyle w:val="ypks7kbdpwfgdykd3qb9"/>
          <w:rFonts w:ascii="Bookman Old Style" w:hAnsi="Bookman Old Style"/>
          <w:sz w:val="24"/>
          <w:szCs w:val="24"/>
        </w:rPr>
        <w:t>is, it restores</w:t>
      </w:r>
      <w:r w:rsidR="00861A1B" w:rsidRPr="00861A1B">
        <w:rPr>
          <w:rFonts w:ascii="Bookman Old Style" w:hAnsi="Bookman Old Style"/>
          <w:sz w:val="24"/>
          <w:szCs w:val="24"/>
        </w:rPr>
        <w:t xml:space="preserve"> </w:t>
      </w:r>
      <w:r w:rsidR="00861A1B" w:rsidRPr="00861A1B">
        <w:rPr>
          <w:rStyle w:val="ypks7kbdpwfgdykd3qb9"/>
          <w:rFonts w:ascii="Bookman Old Style" w:hAnsi="Bookman Old Style"/>
          <w:sz w:val="24"/>
          <w:szCs w:val="24"/>
        </w:rPr>
        <w:t>material</w:t>
      </w:r>
      <w:r w:rsidR="00861A1B" w:rsidRPr="00861A1B">
        <w:rPr>
          <w:rFonts w:ascii="Bookman Old Style" w:hAnsi="Bookman Old Style"/>
          <w:sz w:val="24"/>
          <w:szCs w:val="24"/>
        </w:rPr>
        <w:t xml:space="preserve"> </w:t>
      </w:r>
      <w:r w:rsidR="00861A1B" w:rsidRPr="00861A1B">
        <w:rPr>
          <w:rStyle w:val="ypks7kbdpwfgdykd3qb9"/>
          <w:rFonts w:ascii="Bookman Old Style" w:hAnsi="Bookman Old Style"/>
          <w:sz w:val="24"/>
          <w:szCs w:val="24"/>
        </w:rPr>
        <w:t>justice</w:t>
      </w:r>
      <w:r w:rsidR="00861A1B" w:rsidRPr="00861A1B">
        <w:rPr>
          <w:rFonts w:ascii="Bookman Old Style" w:hAnsi="Bookman Old Style"/>
          <w:sz w:val="24"/>
          <w:szCs w:val="24"/>
        </w:rPr>
        <w:t xml:space="preserve"> </w:t>
      </w:r>
      <w:r w:rsidR="00861A1B" w:rsidRPr="00861A1B">
        <w:rPr>
          <w:rStyle w:val="ypks7kbdpwfgdykd3qb9"/>
          <w:rFonts w:ascii="Bookman Old Style" w:hAnsi="Bookman Old Style"/>
          <w:sz w:val="24"/>
          <w:szCs w:val="24"/>
        </w:rPr>
        <w:t>to the injured party through</w:t>
      </w:r>
      <w:r w:rsidR="00861A1B" w:rsidRPr="00861A1B">
        <w:rPr>
          <w:rFonts w:ascii="Bookman Old Style" w:hAnsi="Bookman Old Style"/>
          <w:sz w:val="24"/>
          <w:szCs w:val="24"/>
        </w:rPr>
        <w:t xml:space="preserve"> </w:t>
      </w:r>
      <w:r w:rsidR="00861A1B" w:rsidRPr="00861A1B">
        <w:rPr>
          <w:rStyle w:val="ypks7kbdpwfgdykd3qb9"/>
          <w:rFonts w:ascii="Bookman Old Style" w:hAnsi="Bookman Old Style"/>
          <w:sz w:val="24"/>
          <w:szCs w:val="24"/>
        </w:rPr>
        <w:t>the cancellation</w:t>
      </w:r>
      <w:r w:rsidR="00861A1B" w:rsidRPr="00861A1B">
        <w:rPr>
          <w:rFonts w:ascii="Bookman Old Style" w:hAnsi="Bookman Old Style"/>
          <w:sz w:val="24"/>
          <w:szCs w:val="24"/>
        </w:rPr>
        <w:t xml:space="preserve"> </w:t>
      </w:r>
      <w:r w:rsidR="00861A1B" w:rsidRPr="00861A1B">
        <w:rPr>
          <w:rStyle w:val="ypks7kbdpwfgdykd3qb9"/>
          <w:rFonts w:ascii="Bookman Old Style" w:hAnsi="Bookman Old Style"/>
          <w:sz w:val="24"/>
          <w:szCs w:val="24"/>
        </w:rPr>
        <w:t>of a legally flawed arbitration</w:t>
      </w:r>
      <w:r w:rsidR="00861A1B" w:rsidRPr="00861A1B">
        <w:rPr>
          <w:rFonts w:ascii="Bookman Old Style" w:hAnsi="Bookman Old Style"/>
          <w:sz w:val="24"/>
          <w:szCs w:val="24"/>
        </w:rPr>
        <w:t xml:space="preserve"> </w:t>
      </w:r>
      <w:r w:rsidR="00861A1B" w:rsidRPr="00861A1B">
        <w:rPr>
          <w:rStyle w:val="ypks7kbdpwfgdykd3qb9"/>
          <w:rFonts w:ascii="Bookman Old Style" w:hAnsi="Bookman Old Style"/>
          <w:sz w:val="24"/>
          <w:szCs w:val="24"/>
        </w:rPr>
        <w:t>award</w:t>
      </w:r>
      <w:r w:rsidR="00861A1B">
        <w:rPr>
          <w:rStyle w:val="ypks7kbdpwfgdykd3qb9"/>
          <w:rFonts w:ascii="Bookman Old Style" w:hAnsi="Bookman Old Style"/>
          <w:sz w:val="24"/>
          <w:szCs w:val="24"/>
        </w:rPr>
        <w:t>.</w:t>
      </w:r>
    </w:p>
    <w:p w:rsidR="00861A1B" w:rsidRDefault="00861A1B" w:rsidP="00861A1B">
      <w:pPr>
        <w:spacing w:after="0"/>
        <w:ind w:firstLine="720"/>
        <w:jc w:val="both"/>
        <w:rPr>
          <w:rStyle w:val="ypks7kbdpwfgdykd3qb9"/>
          <w:rFonts w:ascii="Bookman Old Style" w:hAnsi="Bookman Old Style"/>
          <w:sz w:val="24"/>
          <w:szCs w:val="24"/>
        </w:rPr>
      </w:pPr>
      <w:r w:rsidRPr="00861A1B">
        <w:rPr>
          <w:rStyle w:val="ypks7kbdpwfgdykd3qb9"/>
          <w:rFonts w:ascii="Bookman Old Style" w:hAnsi="Bookman Old Style"/>
          <w:sz w:val="24"/>
          <w:szCs w:val="24"/>
        </w:rPr>
        <w:t>In</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addition, the court also assessed the independence of the BANI arbitral tribunal in examining the dispute.</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In</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this</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context, the court</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ensures</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that the arbitral institution does not go beyond its authority (ultra vires) or act outside the scope of the arbitration clause agreed upon by the parties.</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If</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the arbitral</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tribunal</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decides</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on matters that are not prosecuted (ultra</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petita), then the court</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has the authority</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to cancel</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part</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or all of the verdict</w:t>
      </w:r>
      <w:r w:rsidR="008E2658">
        <w:rPr>
          <w:rStyle w:val="ypks7kbdpwfgdykd3qb9"/>
          <w:rFonts w:ascii="Bookman Old Style" w:hAnsi="Bookman Old Style"/>
          <w:sz w:val="24"/>
          <w:szCs w:val="24"/>
        </w:rPr>
        <w:t xml:space="preserve"> (Nugroho, 2017)</w:t>
      </w:r>
      <w:r>
        <w:rPr>
          <w:rStyle w:val="ypks7kbdpwfgdykd3qb9"/>
          <w:rFonts w:ascii="Bookman Old Style" w:hAnsi="Bookman Old Style"/>
          <w:sz w:val="24"/>
          <w:szCs w:val="24"/>
        </w:rPr>
        <w:t>.</w:t>
      </w:r>
    </w:p>
    <w:p w:rsidR="00FE43B6" w:rsidRPr="00FE43B6" w:rsidRDefault="00FE43B6" w:rsidP="00861A1B">
      <w:pPr>
        <w:spacing w:after="0"/>
        <w:ind w:firstLine="720"/>
        <w:jc w:val="both"/>
        <w:rPr>
          <w:rStyle w:val="ypks7kbdpwfgdykd3qb9"/>
          <w:rFonts w:ascii="Bookman Old Style" w:hAnsi="Bookman Old Style"/>
          <w:sz w:val="24"/>
          <w:szCs w:val="24"/>
        </w:rPr>
      </w:pPr>
      <w:r w:rsidRPr="00FE43B6">
        <w:rPr>
          <w:rStyle w:val="ypks7kbdpwfgdykd3qb9"/>
          <w:rFonts w:ascii="Bookman Old Style" w:hAnsi="Bookman Old Style"/>
          <w:sz w:val="24"/>
          <w:szCs w:val="24"/>
        </w:rPr>
        <w:t>In recent years, the Supreme Court through various rulings has emphasized the limits and criteria for the cancellation of arbitral awards.</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Among</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others</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Supreme Court Decision</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No.</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18 B / Rev.Sus-Arbt/2022</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 PN Jkt.Pst, which affirms</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that the cancellation</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of an arbitral</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award</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can only</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be made if it is prima facie proven that there is fraud or violation of the law.</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Supreme Court Decision</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No.</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15 B / Rev.Sus-Arbt</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 xml:space="preserve">/ 2023 / PN Sby, which </w:t>
      </w:r>
      <w:r w:rsidRPr="00FE43B6">
        <w:rPr>
          <w:rStyle w:val="ypks7kbdpwfgdykd3qb9"/>
          <w:rFonts w:ascii="Bookman Old Style" w:hAnsi="Bookman Old Style"/>
          <w:sz w:val="24"/>
          <w:szCs w:val="24"/>
        </w:rPr>
        <w:lastRenderedPageBreak/>
        <w:t>states that the arbitral tribunal has been ultra petita because it decides things outside the scope of the basic agreement.</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These two rulings reinforce</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the view</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that</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the role of the District</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Court</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is passive but principled supervision</w:t>
      </w:r>
      <w:r>
        <w:rPr>
          <w:rFonts w:ascii="Bookman Old Style" w:hAnsi="Bookman Old Style"/>
          <w:sz w:val="24"/>
          <w:szCs w:val="24"/>
        </w:rPr>
        <w:t xml:space="preserve"> </w:t>
      </w:r>
      <w:r w:rsidRPr="00FE43B6">
        <w:rPr>
          <w:rStyle w:val="ypks7kbdpwfgdykd3qb9"/>
          <w:rFonts w:ascii="Bookman Old Style" w:hAnsi="Bookman Old Style"/>
          <w:sz w:val="24"/>
          <w:szCs w:val="24"/>
        </w:rPr>
        <w:t>that is, it does</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not interfere</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with the substance</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of business</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contracts</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but</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assesses</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whether</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the arbitration</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process</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has proceeded</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in accordance</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with the principles of law, honesty</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and legal certainty</w:t>
      </w:r>
      <w:r>
        <w:rPr>
          <w:rStyle w:val="ypks7kbdpwfgdykd3qb9"/>
          <w:rFonts w:ascii="Bookman Old Style" w:hAnsi="Bookman Old Style"/>
          <w:sz w:val="24"/>
          <w:szCs w:val="24"/>
        </w:rPr>
        <w:t xml:space="preserve"> </w:t>
      </w:r>
      <w:r w:rsidRPr="00FE43B6">
        <w:rPr>
          <w:rStyle w:val="ypks7kbdpwfgdykd3qb9"/>
          <w:rFonts w:ascii="Bookman Old Style" w:hAnsi="Bookman Old Style"/>
          <w:sz w:val="24"/>
          <w:szCs w:val="24"/>
        </w:rPr>
        <w:t>(</w:t>
      </w:r>
      <w:r w:rsidRPr="00FE43B6">
        <w:rPr>
          <w:rFonts w:ascii="Bookman Old Style" w:hAnsi="Bookman Old Style"/>
          <w:sz w:val="24"/>
          <w:szCs w:val="24"/>
        </w:rPr>
        <w:t>Direktori Putusan Mahkamah Agung R, 2025)</w:t>
      </w:r>
      <w:r w:rsidRPr="00FE43B6">
        <w:rPr>
          <w:rStyle w:val="ypks7kbdpwfgdykd3qb9"/>
          <w:rFonts w:ascii="Bookman Old Style" w:hAnsi="Bookman Old Style"/>
          <w:sz w:val="24"/>
          <w:szCs w:val="24"/>
        </w:rPr>
        <w:t>.</w:t>
      </w:r>
    </w:p>
    <w:p w:rsidR="00861A1B" w:rsidRDefault="00861A1B" w:rsidP="00861A1B">
      <w:pPr>
        <w:spacing w:after="0"/>
        <w:ind w:firstLine="720"/>
        <w:jc w:val="both"/>
        <w:rPr>
          <w:rFonts w:ascii="Bookman Old Style" w:hAnsi="Bookman Old Style"/>
          <w:sz w:val="24"/>
          <w:szCs w:val="24"/>
        </w:rPr>
      </w:pPr>
      <w:r w:rsidRPr="00861A1B">
        <w:rPr>
          <w:rStyle w:val="ypks7kbdpwfgdykd3qb9"/>
          <w:rFonts w:ascii="Bookman Old Style" w:hAnsi="Bookman Old Style"/>
          <w:sz w:val="24"/>
          <w:szCs w:val="24"/>
        </w:rPr>
        <w:t>The role of the District</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Court</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in the annulment of Arbitration has important implications for the Indonesian legal system.</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Conceptually, the role</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contains</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three</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main</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dimensions, namely</w:t>
      </w:r>
      <w:r w:rsidRPr="00861A1B">
        <w:rPr>
          <w:rFonts w:ascii="Bookman Old Style" w:hAnsi="Bookman Old Style"/>
          <w:sz w:val="24"/>
          <w:szCs w:val="24"/>
        </w:rPr>
        <w:t xml:space="preserve">: </w:t>
      </w:r>
    </w:p>
    <w:p w:rsidR="00FE43B6" w:rsidRPr="00FE43B6" w:rsidRDefault="00861A1B" w:rsidP="00FE43B6">
      <w:pPr>
        <w:pStyle w:val="ListParagraph"/>
        <w:numPr>
          <w:ilvl w:val="0"/>
          <w:numId w:val="44"/>
        </w:numPr>
        <w:spacing w:after="0"/>
        <w:jc w:val="both"/>
        <w:rPr>
          <w:rFonts w:ascii="Bookman Old Style" w:hAnsi="Bookman Old Style"/>
          <w:b/>
          <w:sz w:val="24"/>
          <w:szCs w:val="24"/>
          <w:lang w:val="id-ID"/>
        </w:rPr>
      </w:pPr>
      <w:r w:rsidRPr="00FE43B6">
        <w:rPr>
          <w:rStyle w:val="ypks7kbdpwfgdykd3qb9"/>
          <w:rFonts w:ascii="Bookman Old Style" w:hAnsi="Bookman Old Style"/>
          <w:sz w:val="24"/>
          <w:szCs w:val="24"/>
        </w:rPr>
        <w:t>Constitutional</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Dimension</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Under</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Article</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24 of the 1945 Constitution, judicial power is exercised by the Supreme Court and the judicial bodies under it to enforce law and Justice.</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Therefore, even though arbitration</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is</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a non-litigation</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institution, the results of its decisions can still be controlled by the judiciary as part of the implementation of the rule of law.</w:t>
      </w:r>
      <w:r w:rsidRPr="00FE43B6">
        <w:rPr>
          <w:rFonts w:ascii="Bookman Old Style" w:hAnsi="Bookman Old Style"/>
          <w:sz w:val="24"/>
          <w:szCs w:val="24"/>
        </w:rPr>
        <w:t xml:space="preserve"> </w:t>
      </w:r>
    </w:p>
    <w:p w:rsidR="00FE43B6" w:rsidRPr="00FE43B6" w:rsidRDefault="00861A1B" w:rsidP="00FE43B6">
      <w:pPr>
        <w:pStyle w:val="ListParagraph"/>
        <w:numPr>
          <w:ilvl w:val="0"/>
          <w:numId w:val="44"/>
        </w:numPr>
        <w:spacing w:after="0"/>
        <w:jc w:val="both"/>
        <w:rPr>
          <w:rFonts w:ascii="Bookman Old Style" w:hAnsi="Bookman Old Style"/>
          <w:b/>
          <w:sz w:val="24"/>
          <w:szCs w:val="24"/>
          <w:lang w:val="id-ID"/>
        </w:rPr>
      </w:pPr>
      <w:r w:rsidRPr="00FE43B6">
        <w:rPr>
          <w:rStyle w:val="ypks7kbdpwfgdykd3qb9"/>
          <w:rFonts w:ascii="Bookman Old Style" w:hAnsi="Bookman Old Style"/>
          <w:sz w:val="24"/>
          <w:szCs w:val="24"/>
        </w:rPr>
        <w:t>Dimensions Of Substantive</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Justice</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The court</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has</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a responsibility to prevent abuse of the arbitration mechanism by parties of bad faith.</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By opening the annulment chamber, the court</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provides</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protection</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against parties harmed by the practice of fraud, collusion, or breach of contractual principles such as good faith (good faith).</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In this context, the court</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acts</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as a moral guardian of civil law (moral guardian of justice).</w:t>
      </w:r>
      <w:r w:rsidRPr="00FE43B6">
        <w:rPr>
          <w:rFonts w:ascii="Bookman Old Style" w:hAnsi="Bookman Old Style"/>
          <w:sz w:val="24"/>
          <w:szCs w:val="24"/>
        </w:rPr>
        <w:t xml:space="preserve"> </w:t>
      </w:r>
    </w:p>
    <w:p w:rsidR="00861A1B" w:rsidRPr="00FE43B6" w:rsidRDefault="00861A1B" w:rsidP="00FE43B6">
      <w:pPr>
        <w:pStyle w:val="ListParagraph"/>
        <w:numPr>
          <w:ilvl w:val="0"/>
          <w:numId w:val="44"/>
        </w:numPr>
        <w:spacing w:after="0"/>
        <w:jc w:val="both"/>
        <w:rPr>
          <w:rStyle w:val="ypks7kbdpwfgdykd3qb9"/>
          <w:rFonts w:ascii="Bookman Old Style" w:hAnsi="Bookman Old Style"/>
          <w:b/>
          <w:sz w:val="24"/>
          <w:szCs w:val="24"/>
          <w:lang w:val="id-ID"/>
        </w:rPr>
      </w:pPr>
      <w:r w:rsidRPr="00FE43B6">
        <w:rPr>
          <w:rStyle w:val="ypks7kbdpwfgdykd3qb9"/>
          <w:rFonts w:ascii="Bookman Old Style" w:hAnsi="Bookman Old Style"/>
          <w:sz w:val="24"/>
          <w:szCs w:val="24"/>
        </w:rPr>
        <w:t>Dimensions</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of</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legal certainty</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and investment</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In</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the context of business and investment, legal certainty of the implementation of Arbitration Awards is a major factor in attracting investors.</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However, if the arbitral award</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is made ignoring</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procedure</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and fairness, it will cause uncertainty.</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Therefore,</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the presence of the court</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as the final supervisor</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is</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a form</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of checks</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and</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balances</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between</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the independence of Arbitration</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and</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the protection</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of</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national</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principles of justice</w:t>
      </w:r>
      <w:r w:rsidR="00FE43B6">
        <w:rPr>
          <w:rStyle w:val="ypks7kbdpwfgdykd3qb9"/>
          <w:rFonts w:ascii="Bookman Old Style" w:hAnsi="Bookman Old Style"/>
          <w:sz w:val="24"/>
          <w:szCs w:val="24"/>
        </w:rPr>
        <w:t xml:space="preserve"> </w:t>
      </w:r>
      <w:r w:rsidR="00FE43B6" w:rsidRPr="00FE43B6">
        <w:rPr>
          <w:rStyle w:val="ypks7kbdpwfgdykd3qb9"/>
          <w:rFonts w:ascii="Bookman Old Style" w:hAnsi="Bookman Old Style"/>
          <w:sz w:val="24"/>
          <w:szCs w:val="24"/>
        </w:rPr>
        <w:t>(</w:t>
      </w:r>
      <w:r w:rsidR="00FE43B6" w:rsidRPr="00FE43B6">
        <w:rPr>
          <w:rFonts w:ascii="Bookman Old Style" w:hAnsi="Bookman Old Style"/>
          <w:sz w:val="24"/>
          <w:szCs w:val="24"/>
        </w:rPr>
        <w:t>S. Rahardjo, 2022)</w:t>
      </w:r>
      <w:r w:rsidRPr="00FE43B6">
        <w:rPr>
          <w:rStyle w:val="ypks7kbdpwfgdykd3qb9"/>
          <w:rFonts w:ascii="Bookman Old Style" w:hAnsi="Bookman Old Style"/>
          <w:sz w:val="24"/>
          <w:szCs w:val="24"/>
        </w:rPr>
        <w:t>.</w:t>
      </w:r>
    </w:p>
    <w:p w:rsidR="00FE43B6" w:rsidRPr="00FE43B6" w:rsidRDefault="00FE43B6" w:rsidP="00FE43B6">
      <w:pPr>
        <w:spacing w:after="0"/>
        <w:ind w:firstLine="720"/>
        <w:jc w:val="both"/>
        <w:rPr>
          <w:rStyle w:val="ypks7kbdpwfgdykd3qb9"/>
          <w:rFonts w:ascii="Bookman Old Style" w:hAnsi="Bookman Old Style"/>
          <w:sz w:val="24"/>
          <w:szCs w:val="24"/>
        </w:rPr>
      </w:pPr>
      <w:r w:rsidRPr="00FE43B6">
        <w:rPr>
          <w:rStyle w:val="ypks7kbdpwfgdykd3qb9"/>
          <w:rFonts w:ascii="Bookman Old Style" w:hAnsi="Bookman Old Style"/>
          <w:sz w:val="24"/>
          <w:szCs w:val="24"/>
        </w:rPr>
        <w:t>From an academic</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perspective, there are still two views on the extent of the authority of the District Court in canceling the arbitration award.</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First, the restrictive</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view, which considers</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that the court</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should</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only have the authority</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to examine</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formal</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aspects</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so</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as not to interfere with the principle of finality of Arbitration.</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This view is widely adopted by international arbitration practitioners such as the ICC and SIAC.</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Second, the progressive</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view, which sees</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that courts</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have</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substantive</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authority</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to ensure fairness and propriety in the conduct of Arbitration, especially when indications of deception, forgery, or violation of Public Order are found.</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 xml:space="preserve">This </w:t>
      </w:r>
      <w:r w:rsidRPr="00FE43B6">
        <w:rPr>
          <w:rStyle w:val="ypks7kbdpwfgdykd3qb9"/>
          <w:rFonts w:ascii="Bookman Old Style" w:hAnsi="Bookman Old Style"/>
          <w:sz w:val="24"/>
          <w:szCs w:val="24"/>
        </w:rPr>
        <w:lastRenderedPageBreak/>
        <w:t>view</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is taken</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by the Bekasi District Court in decision 531/Pdt.Sus-Arb</w:t>
      </w:r>
      <w:r w:rsidRPr="00FE43B6">
        <w:rPr>
          <w:rFonts w:ascii="Bookman Old Style" w:hAnsi="Bookman Old Style"/>
          <w:sz w:val="24"/>
          <w:szCs w:val="24"/>
        </w:rPr>
        <w:t>/</w:t>
      </w:r>
      <w:r w:rsidRPr="00FE43B6">
        <w:rPr>
          <w:rStyle w:val="ypks7kbdpwfgdykd3qb9"/>
          <w:rFonts w:ascii="Bookman Old Style" w:hAnsi="Bookman Old Style"/>
          <w:sz w:val="24"/>
          <w:szCs w:val="24"/>
        </w:rPr>
        <w:t>2023</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PN</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Bks</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which prioritizes</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the principle of fair</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trial</w:t>
      </w:r>
      <w:r w:rsidRPr="00FE43B6">
        <w:rPr>
          <w:rFonts w:ascii="Bookman Old Style" w:hAnsi="Bookman Old Style"/>
          <w:sz w:val="24"/>
          <w:szCs w:val="24"/>
        </w:rPr>
        <w:t xml:space="preserve"> </w:t>
      </w:r>
      <w:r w:rsidRPr="00FE43B6">
        <w:rPr>
          <w:rStyle w:val="ypks7kbdpwfgdykd3qb9"/>
          <w:rFonts w:ascii="Bookman Old Style" w:hAnsi="Bookman Old Style"/>
          <w:sz w:val="24"/>
          <w:szCs w:val="24"/>
        </w:rPr>
        <w:t>over</w:t>
      </w:r>
      <w:r w:rsidRPr="00FE43B6">
        <w:rPr>
          <w:rFonts w:ascii="Bookman Old Style" w:hAnsi="Bookman Old Style"/>
          <w:sz w:val="24"/>
          <w:szCs w:val="24"/>
        </w:rPr>
        <w:t xml:space="preserve"> </w:t>
      </w:r>
      <w:r>
        <w:rPr>
          <w:rStyle w:val="ypks7kbdpwfgdykd3qb9"/>
          <w:rFonts w:ascii="Bookman Old Style" w:hAnsi="Bookman Old Style"/>
          <w:sz w:val="24"/>
          <w:szCs w:val="24"/>
        </w:rPr>
        <w:t xml:space="preserve">the formality of arbitrase </w:t>
      </w:r>
      <w:r w:rsidRPr="00FE43B6">
        <w:rPr>
          <w:rStyle w:val="ypks7kbdpwfgdykd3qb9"/>
          <w:rFonts w:ascii="Bookman Old Style" w:hAnsi="Bookman Old Style"/>
          <w:sz w:val="24"/>
          <w:szCs w:val="24"/>
        </w:rPr>
        <w:t>(</w:t>
      </w:r>
      <w:r w:rsidRPr="00FE43B6">
        <w:rPr>
          <w:rFonts w:ascii="Bookman Old Style" w:hAnsi="Bookman Old Style"/>
          <w:sz w:val="24"/>
          <w:szCs w:val="24"/>
        </w:rPr>
        <w:t>Hendra Tanu, 2024)</w:t>
      </w:r>
      <w:r w:rsidRPr="00FE43B6">
        <w:rPr>
          <w:rStyle w:val="ypks7kbdpwfgdykd3qb9"/>
          <w:rFonts w:ascii="Bookman Old Style" w:hAnsi="Bookman Old Style"/>
          <w:sz w:val="24"/>
          <w:szCs w:val="24"/>
        </w:rPr>
        <w:t>.</w:t>
      </w:r>
    </w:p>
    <w:p w:rsidR="00FE43B6" w:rsidRPr="00FE43B6" w:rsidRDefault="00FE43B6" w:rsidP="00FE43B6">
      <w:pPr>
        <w:spacing w:after="0"/>
        <w:ind w:firstLine="720"/>
        <w:jc w:val="both"/>
        <w:rPr>
          <w:rFonts w:ascii="Bookman Old Style" w:hAnsi="Bookman Old Style"/>
          <w:b/>
          <w:sz w:val="24"/>
          <w:szCs w:val="24"/>
          <w:lang w:val="id-ID"/>
        </w:rPr>
      </w:pPr>
    </w:p>
    <w:p w:rsidR="00472467" w:rsidRPr="00472467" w:rsidRDefault="00472467" w:rsidP="00472467">
      <w:pPr>
        <w:spacing w:after="0"/>
        <w:ind w:firstLine="720"/>
        <w:jc w:val="both"/>
        <w:rPr>
          <w:rFonts w:ascii="Bookman Old Style" w:hAnsi="Bookman Old Style"/>
          <w:b/>
          <w:sz w:val="24"/>
          <w:szCs w:val="24"/>
          <w:lang w:val="id-ID"/>
        </w:rPr>
      </w:pPr>
    </w:p>
    <w:p w:rsidR="00660DDB" w:rsidRPr="00C03F5D" w:rsidRDefault="00C03F5D" w:rsidP="00C03F5D">
      <w:pPr>
        <w:spacing w:after="0"/>
        <w:jc w:val="both"/>
        <w:rPr>
          <w:rFonts w:ascii="Bookman Old Style" w:hAnsi="Bookman Old Style"/>
          <w:b/>
          <w:sz w:val="24"/>
          <w:lang w:val="en-US"/>
        </w:rPr>
      </w:pPr>
      <w:r>
        <w:rPr>
          <w:rFonts w:ascii="Bookman Old Style" w:hAnsi="Bookman Old Style"/>
          <w:b/>
          <w:sz w:val="24"/>
          <w:lang w:val="en-US"/>
        </w:rPr>
        <w:t>4</w:t>
      </w:r>
      <w:r w:rsidR="00782D5D">
        <w:rPr>
          <w:rFonts w:ascii="Bookman Old Style" w:hAnsi="Bookman Old Style"/>
          <w:b/>
          <w:sz w:val="24"/>
          <w:lang w:val="en-US"/>
        </w:rPr>
        <w:t xml:space="preserve">. </w:t>
      </w:r>
      <w:r w:rsidR="00DD76D8">
        <w:rPr>
          <w:rFonts w:ascii="Bookman Old Style" w:hAnsi="Bookman Old Style"/>
          <w:b/>
          <w:sz w:val="24"/>
          <w:lang w:val="id-ID"/>
        </w:rPr>
        <w:t>CONCLUSION</w:t>
      </w:r>
    </w:p>
    <w:p w:rsidR="00861A1B" w:rsidRPr="00861A1B" w:rsidRDefault="00861A1B" w:rsidP="00383DBC">
      <w:pPr>
        <w:spacing w:after="0"/>
        <w:ind w:firstLine="720"/>
        <w:jc w:val="both"/>
        <w:rPr>
          <w:rFonts w:ascii="Bookman Old Style" w:hAnsi="Bookman Old Style"/>
          <w:sz w:val="24"/>
          <w:szCs w:val="24"/>
        </w:rPr>
      </w:pPr>
      <w:r w:rsidRPr="00861A1B">
        <w:rPr>
          <w:rStyle w:val="ypks7kbdpwfgdykd3qb9"/>
          <w:rFonts w:ascii="Bookman Old Style" w:hAnsi="Bookman Old Style"/>
          <w:sz w:val="24"/>
          <w:szCs w:val="24"/>
        </w:rPr>
        <w:t>The role of the District</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Court</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in the annulment</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of an arbitral award is not a form of intervention against the autonomy of the arbitral institution, but rather a manifestation of the principle of the rule of law (rechtsstaat) which guarantees that any form of dispute resolution must be subject to substantive justice and national law.</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In this case, the Bekasi District Court</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has carried</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out its judicial supervision function proportionately, by upholding</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the principles of due</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process</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of law, good faith, and fairness.</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Thus, the presence of the District Court</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as an examination</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institution</w:t>
      </w:r>
      <w:r w:rsidRPr="00861A1B">
        <w:rPr>
          <w:rFonts w:ascii="Bookman Old Style" w:hAnsi="Bookman Old Style"/>
          <w:sz w:val="24"/>
          <w:szCs w:val="24"/>
        </w:rPr>
        <w:t xml:space="preserve"> </w:t>
      </w:r>
      <w:r w:rsidRPr="00861A1B">
        <w:rPr>
          <w:rStyle w:val="ypks7kbdpwfgdykd3qb9"/>
          <w:rFonts w:ascii="Bookman Old Style" w:hAnsi="Bookman Old Style"/>
          <w:sz w:val="24"/>
          <w:szCs w:val="24"/>
        </w:rPr>
        <w:t>for the legality of arbitration awards actually strengthens public confidence in the arbitration mechanism, because it provides assurance that no arbitration award is above the law.</w:t>
      </w:r>
    </w:p>
    <w:p w:rsidR="00190782" w:rsidRDefault="00190782" w:rsidP="0044368D">
      <w:pPr>
        <w:spacing w:after="0" w:line="240" w:lineRule="auto"/>
        <w:jc w:val="center"/>
        <w:rPr>
          <w:rFonts w:ascii="Bookman Old Style" w:hAnsi="Bookman Old Style"/>
          <w:b/>
        </w:rPr>
      </w:pPr>
    </w:p>
    <w:p w:rsidR="00F95EFB" w:rsidRPr="007665D7" w:rsidRDefault="00061CBD" w:rsidP="007665D7">
      <w:pPr>
        <w:spacing w:after="0" w:line="240" w:lineRule="auto"/>
        <w:rPr>
          <w:rFonts w:ascii="Bookman Old Style" w:hAnsi="Bookman Old Style"/>
          <w:b/>
        </w:rPr>
      </w:pPr>
      <w:r>
        <w:rPr>
          <w:rFonts w:ascii="Bookman Old Style" w:hAnsi="Bookman Old Style"/>
          <w:b/>
        </w:rPr>
        <w:t>REFERENCE</w:t>
      </w:r>
    </w:p>
    <w:p w:rsidR="000E041A" w:rsidRPr="00A73FA1" w:rsidRDefault="000E041A" w:rsidP="00992228">
      <w:pPr>
        <w:spacing w:before="240"/>
        <w:ind w:left="709" w:hanging="709"/>
        <w:jc w:val="both"/>
        <w:rPr>
          <w:rFonts w:ascii="Bookman Old Style" w:hAnsi="Bookman Old Style"/>
          <w:color w:val="000000" w:themeColor="text1"/>
          <w:sz w:val="24"/>
          <w:szCs w:val="24"/>
        </w:rPr>
      </w:pPr>
      <w:r w:rsidRPr="00A73FA1">
        <w:rPr>
          <w:rFonts w:ascii="Bookman Old Style" w:hAnsi="Bookman Old Style"/>
          <w:color w:val="000000" w:themeColor="text1"/>
          <w:sz w:val="24"/>
          <w:szCs w:val="24"/>
        </w:rPr>
        <w:t xml:space="preserve">Ariman Sitompul (2022) , Metode Penelitian Hukum Normatif (Strategi Praktis Penulisan Skripsi, Tesis dan Disertasi, Mazda Media, Malang, 2022, </w:t>
      </w:r>
      <w:hyperlink r:id="rId8" w:history="1">
        <w:r w:rsidRPr="00A73FA1">
          <w:rPr>
            <w:rStyle w:val="Hyperlink"/>
            <w:rFonts w:ascii="Bookman Old Style" w:hAnsi="Bookman Old Style"/>
            <w:color w:val="000000" w:themeColor="text1"/>
            <w:sz w:val="24"/>
            <w:szCs w:val="24"/>
          </w:rPr>
          <w:t>https://scholar.google.com/citations?view_op=view_citation&amp;hl=en&amp;user=o6ripa8AAAAJ&amp;cstart=20&amp;pagesize=80&amp;citation_for_view=o6ripa8AAAAJ:blknAaTinKkC</w:t>
        </w:r>
      </w:hyperlink>
      <w:r w:rsidRPr="00A73FA1">
        <w:rPr>
          <w:rFonts w:ascii="Bookman Old Style" w:hAnsi="Bookman Old Style"/>
          <w:color w:val="000000" w:themeColor="text1"/>
          <w:sz w:val="24"/>
          <w:szCs w:val="24"/>
        </w:rPr>
        <w:t xml:space="preserve"> </w:t>
      </w:r>
    </w:p>
    <w:p w:rsidR="000E041A" w:rsidRPr="00A73FA1" w:rsidRDefault="000E041A" w:rsidP="00861A1B">
      <w:pPr>
        <w:spacing w:before="240"/>
        <w:ind w:left="709" w:hanging="709"/>
        <w:jc w:val="both"/>
        <w:rPr>
          <w:rFonts w:ascii="Bookman Old Style" w:hAnsi="Bookman Old Style"/>
          <w:sz w:val="24"/>
          <w:szCs w:val="24"/>
        </w:rPr>
      </w:pPr>
      <w:r w:rsidRPr="00A73FA1">
        <w:rPr>
          <w:rFonts w:ascii="Bookman Old Style" w:hAnsi="Bookman Old Style"/>
          <w:sz w:val="24"/>
          <w:szCs w:val="24"/>
        </w:rPr>
        <w:t xml:space="preserve">Direktori Putusan Mahkamah Agung RI, </w:t>
      </w:r>
      <w:hyperlink r:id="rId9" w:tgtFrame="_new" w:history="1">
        <w:r w:rsidRPr="00A73FA1">
          <w:rPr>
            <w:rStyle w:val="Hyperlink"/>
            <w:rFonts w:ascii="Bookman Old Style" w:hAnsi="Bookman Old Style"/>
            <w:sz w:val="24"/>
            <w:szCs w:val="24"/>
          </w:rPr>
          <w:t>www.putusan.mahkamahagung.go.id</w:t>
        </w:r>
      </w:hyperlink>
      <w:r w:rsidRPr="00A73FA1">
        <w:rPr>
          <w:rFonts w:ascii="Bookman Old Style" w:hAnsi="Bookman Old Style"/>
          <w:sz w:val="24"/>
          <w:szCs w:val="24"/>
        </w:rPr>
        <w:t>.</w:t>
      </w:r>
    </w:p>
    <w:p w:rsidR="000E041A" w:rsidRPr="00A73FA1" w:rsidRDefault="000E041A" w:rsidP="00861A1B">
      <w:pPr>
        <w:spacing w:before="240"/>
        <w:ind w:left="709" w:hanging="709"/>
        <w:jc w:val="both"/>
        <w:rPr>
          <w:rFonts w:ascii="Bookman Old Style" w:hAnsi="Bookman Old Style"/>
          <w:sz w:val="24"/>
          <w:szCs w:val="24"/>
        </w:rPr>
      </w:pPr>
      <w:r w:rsidRPr="00A73FA1">
        <w:rPr>
          <w:rFonts w:ascii="Bookman Old Style" w:hAnsi="Bookman Old Style"/>
          <w:sz w:val="24"/>
          <w:szCs w:val="24"/>
        </w:rPr>
        <w:t xml:space="preserve">Hendra Tanu, “Pembatalan Putusan Arbitrase dan Prinsip Fair Trial,” </w:t>
      </w:r>
      <w:r w:rsidRPr="00A73FA1">
        <w:rPr>
          <w:rStyle w:val="Emphasis"/>
          <w:rFonts w:ascii="Bookman Old Style" w:hAnsi="Bookman Old Style"/>
          <w:sz w:val="24"/>
          <w:szCs w:val="24"/>
        </w:rPr>
        <w:t>Indonesian Law Review</w:t>
      </w:r>
      <w:r w:rsidRPr="00A73FA1">
        <w:rPr>
          <w:rFonts w:ascii="Bookman Old Style" w:hAnsi="Bookman Old Style"/>
          <w:sz w:val="24"/>
          <w:szCs w:val="24"/>
        </w:rPr>
        <w:t>, Vol. 15 No. 2 (2024).</w:t>
      </w:r>
    </w:p>
    <w:p w:rsidR="000E041A" w:rsidRPr="00A73FA1" w:rsidRDefault="000E041A" w:rsidP="00861A1B">
      <w:pPr>
        <w:spacing w:before="240"/>
        <w:ind w:left="709" w:hanging="709"/>
        <w:jc w:val="both"/>
        <w:rPr>
          <w:rFonts w:ascii="Bookman Old Style" w:hAnsi="Bookman Old Style"/>
          <w:color w:val="000000" w:themeColor="text1"/>
          <w:sz w:val="24"/>
          <w:szCs w:val="24"/>
        </w:rPr>
      </w:pPr>
      <w:r w:rsidRPr="00A73FA1">
        <w:rPr>
          <w:rFonts w:ascii="Bookman Old Style" w:hAnsi="Bookman Old Style"/>
          <w:sz w:val="24"/>
          <w:szCs w:val="24"/>
        </w:rPr>
        <w:t xml:space="preserve">Huala Adolf, </w:t>
      </w:r>
      <w:r w:rsidRPr="00A73FA1">
        <w:rPr>
          <w:rStyle w:val="Emphasis"/>
          <w:rFonts w:ascii="Bookman Old Style" w:hAnsi="Bookman Old Style"/>
          <w:sz w:val="24"/>
          <w:szCs w:val="24"/>
        </w:rPr>
        <w:t>Hukum Arbitrase dan Penyelesaian Sengketa Internasional</w:t>
      </w:r>
      <w:r w:rsidRPr="00A73FA1">
        <w:rPr>
          <w:rFonts w:ascii="Bookman Old Style" w:hAnsi="Bookman Old Style"/>
          <w:sz w:val="24"/>
          <w:szCs w:val="24"/>
        </w:rPr>
        <w:t>, Cet. 6, (Jakarta: Keni Media, 2023).</w:t>
      </w:r>
    </w:p>
    <w:p w:rsidR="000E041A" w:rsidRPr="00A73FA1" w:rsidRDefault="000E041A" w:rsidP="00861A1B">
      <w:pPr>
        <w:spacing w:before="240"/>
        <w:ind w:left="709" w:hanging="709"/>
        <w:jc w:val="both"/>
        <w:rPr>
          <w:rFonts w:ascii="Bookman Old Style" w:hAnsi="Bookman Old Style"/>
          <w:color w:val="000000" w:themeColor="text1"/>
          <w:sz w:val="24"/>
          <w:szCs w:val="24"/>
        </w:rPr>
      </w:pPr>
      <w:r w:rsidRPr="00A73FA1">
        <w:rPr>
          <w:rFonts w:ascii="Bookman Old Style" w:hAnsi="Bookman Old Style"/>
          <w:color w:val="000000" w:themeColor="text1"/>
          <w:sz w:val="24"/>
          <w:szCs w:val="24"/>
        </w:rPr>
        <w:t xml:space="preserve">Maswandi, Ariman Sitompul (2024), Metode Penelitian Hukum Normatif (Mekanisme Dalam Penulisan Ilmiah), Mazda Media, Malang, </w:t>
      </w:r>
      <w:hyperlink r:id="rId10" w:history="1">
        <w:r w:rsidRPr="00A73FA1">
          <w:rPr>
            <w:rStyle w:val="Hyperlink"/>
            <w:rFonts w:ascii="Bookman Old Style" w:hAnsi="Bookman Old Style"/>
            <w:color w:val="000000" w:themeColor="text1"/>
            <w:sz w:val="24"/>
            <w:szCs w:val="24"/>
          </w:rPr>
          <w:t>https://scholar.google.com/citations?view_op=view_citation&amp;hl=en&amp;user=o6ripa8AAAAJ&amp;cstart=20&amp;pagesize=80&amp;sortby=pubdate&amp;citation_for_view=o6ripa8AAAAJ:O3NaXMp0MMsC</w:t>
        </w:r>
      </w:hyperlink>
      <w:r w:rsidRPr="00A73FA1">
        <w:rPr>
          <w:rFonts w:ascii="Bookman Old Style" w:hAnsi="Bookman Old Style"/>
          <w:color w:val="000000" w:themeColor="text1"/>
          <w:sz w:val="24"/>
          <w:szCs w:val="24"/>
        </w:rPr>
        <w:t xml:space="preserve"> </w:t>
      </w:r>
    </w:p>
    <w:p w:rsidR="000E041A" w:rsidRPr="00A73FA1" w:rsidRDefault="000E041A" w:rsidP="00861A1B">
      <w:pPr>
        <w:spacing w:before="240"/>
        <w:ind w:left="709" w:hanging="709"/>
        <w:jc w:val="both"/>
        <w:rPr>
          <w:rFonts w:ascii="Bookman Old Style" w:hAnsi="Bookman Old Style"/>
          <w:sz w:val="24"/>
          <w:szCs w:val="24"/>
        </w:rPr>
      </w:pPr>
      <w:r w:rsidRPr="00A73FA1">
        <w:rPr>
          <w:rFonts w:ascii="Bookman Old Style" w:hAnsi="Bookman Old Style"/>
          <w:sz w:val="24"/>
          <w:szCs w:val="24"/>
        </w:rPr>
        <w:t xml:space="preserve">Nugroho, Susanti Adi, and M. H. Sh. </w:t>
      </w:r>
      <w:r w:rsidRPr="00A73FA1">
        <w:rPr>
          <w:rFonts w:ascii="Bookman Old Style" w:hAnsi="Bookman Old Style"/>
          <w:i/>
          <w:iCs/>
          <w:sz w:val="24"/>
          <w:szCs w:val="24"/>
        </w:rPr>
        <w:t>Penyelesaian Sengketa Arbitrase dan Penerapan Hukumnya</w:t>
      </w:r>
      <w:r w:rsidRPr="00A73FA1">
        <w:rPr>
          <w:rFonts w:ascii="Bookman Old Style" w:hAnsi="Bookman Old Style"/>
          <w:sz w:val="24"/>
          <w:szCs w:val="24"/>
        </w:rPr>
        <w:t>. Kencana, 2017.</w:t>
      </w:r>
    </w:p>
    <w:p w:rsidR="000E041A" w:rsidRPr="00A73FA1" w:rsidRDefault="000E041A" w:rsidP="00861A1B">
      <w:pPr>
        <w:spacing w:before="240"/>
        <w:ind w:left="709" w:hanging="709"/>
        <w:jc w:val="both"/>
        <w:rPr>
          <w:rFonts w:ascii="Bookman Old Style" w:hAnsi="Bookman Old Style"/>
          <w:sz w:val="24"/>
          <w:szCs w:val="24"/>
        </w:rPr>
      </w:pPr>
      <w:r w:rsidRPr="00A73FA1">
        <w:rPr>
          <w:rFonts w:ascii="Bookman Old Style" w:hAnsi="Bookman Old Style"/>
          <w:sz w:val="24"/>
          <w:szCs w:val="24"/>
        </w:rPr>
        <w:lastRenderedPageBreak/>
        <w:t xml:space="preserve">Priyatna Abdurrasyid, </w:t>
      </w:r>
      <w:r w:rsidRPr="00A73FA1">
        <w:rPr>
          <w:rStyle w:val="Emphasis"/>
          <w:rFonts w:ascii="Bookman Old Style" w:hAnsi="Bookman Old Style"/>
          <w:sz w:val="24"/>
          <w:szCs w:val="24"/>
        </w:rPr>
        <w:t>Arbitrase &amp; Alternatif Penyelesaian Sengketa: Suatu Pengantar</w:t>
      </w:r>
      <w:r w:rsidRPr="00A73FA1">
        <w:rPr>
          <w:rFonts w:ascii="Bookman Old Style" w:hAnsi="Bookman Old Style"/>
          <w:sz w:val="24"/>
          <w:szCs w:val="24"/>
        </w:rPr>
        <w:t>, (Jakarta: Fikahati Aneska, 2022).</w:t>
      </w:r>
    </w:p>
    <w:p w:rsidR="000E041A" w:rsidRPr="00A73FA1" w:rsidRDefault="000E041A" w:rsidP="00861A1B">
      <w:pPr>
        <w:spacing w:before="240"/>
        <w:ind w:left="709" w:hanging="709"/>
        <w:jc w:val="both"/>
        <w:rPr>
          <w:rFonts w:ascii="Bookman Old Style" w:hAnsi="Bookman Old Style"/>
          <w:sz w:val="24"/>
          <w:szCs w:val="24"/>
        </w:rPr>
      </w:pPr>
      <w:r w:rsidRPr="00A73FA1">
        <w:rPr>
          <w:rFonts w:ascii="Bookman Old Style" w:hAnsi="Bookman Old Style"/>
          <w:sz w:val="24"/>
          <w:szCs w:val="24"/>
        </w:rPr>
        <w:t>Putusan Mahkamah Agung Nomor 03/Arb.Btl/2005, 17 Mei 2006</w:t>
      </w:r>
    </w:p>
    <w:p w:rsidR="000E041A" w:rsidRPr="00A73FA1" w:rsidRDefault="000E041A" w:rsidP="00861A1B">
      <w:pPr>
        <w:spacing w:before="240"/>
        <w:ind w:left="709" w:hanging="709"/>
        <w:jc w:val="both"/>
        <w:rPr>
          <w:rFonts w:ascii="Bookman Old Style" w:hAnsi="Bookman Old Style"/>
          <w:sz w:val="24"/>
          <w:szCs w:val="24"/>
        </w:rPr>
      </w:pPr>
      <w:r w:rsidRPr="00A73FA1">
        <w:rPr>
          <w:rFonts w:ascii="Bookman Old Style" w:hAnsi="Bookman Old Style"/>
          <w:sz w:val="24"/>
          <w:szCs w:val="24"/>
        </w:rPr>
        <w:t>Putusan Pengadilan Negeri Bekasi Nomor 531/Pdt.Sus-Arb/2023/PN Bks.</w:t>
      </w:r>
    </w:p>
    <w:p w:rsidR="000E041A" w:rsidRPr="00A73FA1" w:rsidRDefault="000E041A" w:rsidP="00861A1B">
      <w:pPr>
        <w:spacing w:before="240"/>
        <w:ind w:left="709" w:hanging="709"/>
        <w:jc w:val="both"/>
        <w:rPr>
          <w:rFonts w:ascii="Bookman Old Style" w:hAnsi="Bookman Old Style"/>
          <w:sz w:val="24"/>
          <w:szCs w:val="24"/>
        </w:rPr>
      </w:pPr>
      <w:r w:rsidRPr="00A73FA1">
        <w:rPr>
          <w:rFonts w:ascii="Bookman Old Style" w:hAnsi="Bookman Old Style"/>
          <w:sz w:val="24"/>
          <w:szCs w:val="24"/>
        </w:rPr>
        <w:t xml:space="preserve">S. Rahardjo, </w:t>
      </w:r>
      <w:r w:rsidRPr="00A73FA1">
        <w:rPr>
          <w:rStyle w:val="Emphasis"/>
          <w:rFonts w:ascii="Bookman Old Style" w:hAnsi="Bookman Old Style"/>
          <w:sz w:val="24"/>
          <w:szCs w:val="24"/>
        </w:rPr>
        <w:t>Hukum Progresif: Sebuah Sintesis Hukum dan Keadilan</w:t>
      </w:r>
      <w:r w:rsidRPr="00A73FA1">
        <w:rPr>
          <w:rFonts w:ascii="Bookman Old Style" w:hAnsi="Bookman Old Style"/>
          <w:sz w:val="24"/>
          <w:szCs w:val="24"/>
        </w:rPr>
        <w:t>, (Jakarta: Kompas, 2022).</w:t>
      </w:r>
    </w:p>
    <w:p w:rsidR="000E041A" w:rsidRPr="00A73FA1" w:rsidRDefault="000E041A" w:rsidP="00861A1B">
      <w:pPr>
        <w:spacing w:before="240"/>
        <w:ind w:left="709" w:hanging="709"/>
        <w:jc w:val="both"/>
        <w:rPr>
          <w:rFonts w:ascii="Bookman Old Style" w:hAnsi="Bookman Old Style"/>
          <w:sz w:val="24"/>
          <w:szCs w:val="24"/>
        </w:rPr>
      </w:pPr>
      <w:r w:rsidRPr="00A73FA1">
        <w:rPr>
          <w:rFonts w:ascii="Bookman Old Style" w:hAnsi="Bookman Old Style"/>
          <w:sz w:val="24"/>
          <w:szCs w:val="24"/>
        </w:rPr>
        <w:t xml:space="preserve">Safnul, Dody. "Arbitration In Legal Remediesn Against Dispute Resolution Construction Service Contract." </w:t>
      </w:r>
      <w:r w:rsidRPr="00A73FA1">
        <w:rPr>
          <w:rFonts w:ascii="Bookman Old Style" w:hAnsi="Bookman Old Style"/>
          <w:i/>
          <w:iCs/>
          <w:sz w:val="24"/>
          <w:szCs w:val="24"/>
        </w:rPr>
        <w:t>Legalpreneur Journal</w:t>
      </w:r>
      <w:r>
        <w:rPr>
          <w:rFonts w:ascii="Bookman Old Style" w:hAnsi="Bookman Old Style"/>
          <w:sz w:val="24"/>
          <w:szCs w:val="24"/>
        </w:rPr>
        <w:t xml:space="preserve"> 3, No. 1 (2024)</w:t>
      </w:r>
    </w:p>
    <w:p w:rsidR="000E041A" w:rsidRPr="00A73FA1" w:rsidRDefault="000E041A" w:rsidP="00861A1B">
      <w:pPr>
        <w:spacing w:before="240"/>
        <w:ind w:left="709" w:hanging="709"/>
        <w:jc w:val="both"/>
        <w:rPr>
          <w:rFonts w:ascii="Bookman Old Style" w:hAnsi="Bookman Old Style"/>
          <w:color w:val="000000" w:themeColor="text1"/>
          <w:sz w:val="24"/>
          <w:szCs w:val="24"/>
        </w:rPr>
      </w:pPr>
      <w:r w:rsidRPr="00A73FA1">
        <w:rPr>
          <w:rFonts w:ascii="Bookman Old Style" w:hAnsi="Bookman Old Style"/>
          <w:sz w:val="24"/>
          <w:szCs w:val="24"/>
        </w:rPr>
        <w:t xml:space="preserve">Sinaga, Yosua Martin, Teuku Syahrul Ansari, Rani Apriani, and Ida R. Hasan. "Mekanisme Alternatif Penyelesaian Sengketa Bisnis Melalui Arbitrase." </w:t>
      </w:r>
      <w:r w:rsidRPr="00A73FA1">
        <w:rPr>
          <w:rFonts w:ascii="Bookman Old Style" w:hAnsi="Bookman Old Style"/>
          <w:i/>
          <w:iCs/>
          <w:sz w:val="24"/>
          <w:szCs w:val="24"/>
        </w:rPr>
        <w:t>NUSANTARA: Jurnal Ilmu Pengetahuan Sosial</w:t>
      </w:r>
      <w:r w:rsidRPr="00A73FA1">
        <w:rPr>
          <w:rFonts w:ascii="Bookman Old Style" w:hAnsi="Bookman Old Style"/>
          <w:sz w:val="24"/>
          <w:szCs w:val="24"/>
        </w:rPr>
        <w:t xml:space="preserve"> 11, No. 1 (2024).</w:t>
      </w:r>
    </w:p>
    <w:p w:rsidR="000E041A" w:rsidRPr="00A73FA1" w:rsidRDefault="000E041A" w:rsidP="00861A1B">
      <w:pPr>
        <w:spacing w:before="240"/>
        <w:ind w:left="709" w:hanging="709"/>
        <w:jc w:val="both"/>
        <w:rPr>
          <w:rFonts w:ascii="Bookman Old Style" w:hAnsi="Bookman Old Style"/>
          <w:sz w:val="24"/>
          <w:szCs w:val="24"/>
        </w:rPr>
      </w:pPr>
      <w:r w:rsidRPr="00A73FA1">
        <w:rPr>
          <w:rFonts w:ascii="Bookman Old Style" w:hAnsi="Bookman Old Style"/>
          <w:sz w:val="24"/>
          <w:szCs w:val="24"/>
        </w:rPr>
        <w:t xml:space="preserve">Siti Anisah, “Pengawasan Yudisial atas Putusan Arbitrase di Indonesia,” </w:t>
      </w:r>
      <w:r w:rsidRPr="00A73FA1">
        <w:rPr>
          <w:rStyle w:val="Emphasis"/>
          <w:rFonts w:ascii="Bookman Old Style" w:hAnsi="Bookman Old Style"/>
          <w:sz w:val="24"/>
          <w:szCs w:val="24"/>
        </w:rPr>
        <w:t>Jurnal Hukum dan Peradilan</w:t>
      </w:r>
      <w:r w:rsidRPr="00A73FA1">
        <w:rPr>
          <w:rFonts w:ascii="Bookman Old Style" w:hAnsi="Bookman Old Style"/>
          <w:sz w:val="24"/>
          <w:szCs w:val="24"/>
        </w:rPr>
        <w:t>, Vol. 14 No. 1 (2023).</w:t>
      </w:r>
    </w:p>
    <w:p w:rsidR="000E041A" w:rsidRPr="00A73FA1" w:rsidRDefault="000E041A" w:rsidP="00861A1B">
      <w:pPr>
        <w:spacing w:before="240"/>
        <w:ind w:left="709" w:hanging="709"/>
        <w:jc w:val="both"/>
        <w:rPr>
          <w:rFonts w:ascii="Bookman Old Style" w:hAnsi="Bookman Old Style"/>
          <w:sz w:val="24"/>
          <w:szCs w:val="24"/>
        </w:rPr>
      </w:pPr>
      <w:r w:rsidRPr="00A73FA1">
        <w:rPr>
          <w:rFonts w:ascii="Bookman Old Style" w:hAnsi="Bookman Old Style"/>
          <w:sz w:val="24"/>
          <w:szCs w:val="24"/>
        </w:rPr>
        <w:t>UUD NRI Tahun 1945, Pasal 24 ayat (1).</w:t>
      </w:r>
    </w:p>
    <w:p w:rsidR="000E041A" w:rsidRDefault="000E041A" w:rsidP="00861A1B">
      <w:pPr>
        <w:spacing w:before="240"/>
        <w:ind w:left="709" w:hanging="709"/>
        <w:jc w:val="both"/>
        <w:rPr>
          <w:rFonts w:ascii="Bookman Old Style" w:hAnsi="Bookman Old Style"/>
          <w:sz w:val="24"/>
          <w:szCs w:val="24"/>
        </w:rPr>
      </w:pPr>
      <w:r w:rsidRPr="00A73FA1">
        <w:rPr>
          <w:rFonts w:ascii="Bookman Old Style" w:hAnsi="Bookman Old Style"/>
          <w:sz w:val="24"/>
          <w:szCs w:val="24"/>
        </w:rPr>
        <w:t xml:space="preserve">Yulwansyah, Adhitya, and Aria Adipura Nataatmadja. "Urgensi Amandemen Terhadap Pasal 70 Undang-Undang Nomor 30 Tahun 1999 tentang Arbitrase dan Alternatif Sebagai Salah Satu Variabel Penting dalam Pembangunan Ekonomi Indonesia." </w:t>
      </w:r>
      <w:r w:rsidRPr="00A73FA1">
        <w:rPr>
          <w:rFonts w:ascii="Bookman Old Style" w:hAnsi="Bookman Old Style"/>
          <w:i/>
          <w:iCs/>
          <w:sz w:val="24"/>
          <w:szCs w:val="24"/>
        </w:rPr>
        <w:t>BANI Arbitration and Law Journal</w:t>
      </w:r>
      <w:r w:rsidRPr="00A73FA1">
        <w:rPr>
          <w:rFonts w:ascii="Bookman Old Style" w:hAnsi="Bookman Old Style"/>
          <w:sz w:val="24"/>
          <w:szCs w:val="24"/>
        </w:rPr>
        <w:t xml:space="preserve"> 1, No. 1 (2024)</w:t>
      </w:r>
    </w:p>
    <w:p w:rsidR="00861A1B" w:rsidRPr="00861A1B" w:rsidRDefault="00861A1B" w:rsidP="00861A1B">
      <w:pPr>
        <w:spacing w:before="240"/>
        <w:ind w:left="709" w:hanging="709"/>
        <w:jc w:val="both"/>
        <w:rPr>
          <w:rFonts w:ascii="Bookman Old Style" w:hAnsi="Bookman Old Style"/>
          <w:sz w:val="24"/>
          <w:szCs w:val="24"/>
        </w:rPr>
      </w:pPr>
    </w:p>
    <w:sectPr w:rsidR="00861A1B" w:rsidRPr="00861A1B" w:rsidSect="00537106">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288" w:footer="706" w:gutter="0"/>
      <w:pgNumType w:start="40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4B85" w:rsidRDefault="00564B85" w:rsidP="00ED635A">
      <w:pPr>
        <w:spacing w:after="0" w:line="240" w:lineRule="auto"/>
      </w:pPr>
      <w:r>
        <w:separator/>
      </w:r>
    </w:p>
  </w:endnote>
  <w:endnote w:type="continuationSeparator" w:id="0">
    <w:p w:rsidR="00564B85" w:rsidRDefault="00564B85" w:rsidP="00ED6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raditional Arabic">
    <w:charset w:val="00"/>
    <w:family w:val="roman"/>
    <w:pitch w:val="variable"/>
    <w:sig w:usb0="00002003" w:usb1="80000000" w:usb2="00000008" w:usb3="00000000" w:csb0="0000004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1"/>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Bodoni Bd BT">
    <w:panose1 w:val="02070803080706020303"/>
    <w:charset w:val="00"/>
    <w:family w:val="roman"/>
    <w:pitch w:val="variable"/>
    <w:sig w:usb0="800000AF" w:usb1="1000204A" w:usb2="00000000" w:usb3="00000000" w:csb0="00000011" w:csb1="00000000"/>
  </w:font>
  <w:font w:name="AdvOTf9433e2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ookman Old Style" w:hAnsi="Bookman Old Style"/>
        <w:sz w:val="18"/>
      </w:rPr>
      <w:id w:val="791269301"/>
      <w:docPartObj>
        <w:docPartGallery w:val="Page Numbers (Bottom of Page)"/>
        <w:docPartUnique/>
      </w:docPartObj>
    </w:sdtPr>
    <w:sdtEndPr/>
    <w:sdtContent>
      <w:p w:rsidR="00A77E5C" w:rsidRPr="00EB3C89" w:rsidRDefault="00A77E5C">
        <w:pPr>
          <w:pStyle w:val="Footer"/>
          <w:jc w:val="right"/>
          <w:rPr>
            <w:rFonts w:ascii="Bookman Old Style" w:hAnsi="Bookman Old Style"/>
          </w:rPr>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F41D57">
          <w:rPr>
            <w:rFonts w:ascii="Bookman Old Style" w:hAnsi="Bookman Old Style"/>
            <w:noProof/>
            <w:sz w:val="18"/>
          </w:rPr>
          <w:t>404</w:t>
        </w:r>
        <w:r w:rsidRPr="00EB3C89">
          <w:rPr>
            <w:rFonts w:ascii="Bookman Old Style" w:hAnsi="Bookman Old Style"/>
            <w:sz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E5C" w:rsidRDefault="00A77E5C">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269297"/>
      <w:docPartObj>
        <w:docPartGallery w:val="Page Numbers (Bottom of Page)"/>
        <w:docPartUnique/>
      </w:docPartObj>
    </w:sdtPr>
    <w:sdtEndPr/>
    <w:sdtContent>
      <w:p w:rsidR="00A77E5C" w:rsidRDefault="00A77E5C">
        <w:pPr>
          <w:pStyle w:val="Footer"/>
          <w:jc w:val="right"/>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F41D57">
          <w:rPr>
            <w:rFonts w:ascii="Bookman Old Style" w:hAnsi="Bookman Old Style"/>
            <w:noProof/>
            <w:sz w:val="18"/>
          </w:rPr>
          <w:t>400</w:t>
        </w:r>
        <w:r w:rsidRPr="00EB3C89">
          <w:rPr>
            <w:rFonts w:ascii="Bookman Old Style" w:hAnsi="Bookman Old Style"/>
            <w:sz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4B85" w:rsidRDefault="00564B85" w:rsidP="00ED635A">
      <w:pPr>
        <w:spacing w:after="0" w:line="240" w:lineRule="auto"/>
      </w:pPr>
      <w:r>
        <w:separator/>
      </w:r>
    </w:p>
  </w:footnote>
  <w:footnote w:type="continuationSeparator" w:id="0">
    <w:p w:rsidR="00564B85" w:rsidRDefault="00564B85" w:rsidP="00ED635A">
      <w:pPr>
        <w:spacing w:after="0" w:line="240" w:lineRule="auto"/>
      </w:pPr>
      <w:r>
        <w:continuationSeparator/>
      </w:r>
    </w:p>
  </w:footnote>
  <w:footnote w:id="1">
    <w:p w:rsidR="00A77E5C" w:rsidRPr="00795446" w:rsidRDefault="00A77E5C" w:rsidP="00DC26C7">
      <w:pPr>
        <w:pStyle w:val="FootnoteText"/>
        <w:jc w:val="both"/>
        <w:rPr>
          <w:rFonts w:ascii="Bookman Old Style" w:hAnsi="Bookman Old Style" w:cs="Times New Roman"/>
          <w:color w:val="000000" w:themeColor="text1"/>
          <w:sz w:val="18"/>
          <w:szCs w:val="18"/>
        </w:rPr>
      </w:pPr>
      <w:r w:rsidRPr="00DD76D8">
        <w:rPr>
          <w:rStyle w:val="FootnoteReference"/>
          <w:rFonts w:ascii="Bookman Old Style" w:hAnsi="Bookman Old Style"/>
          <w:sz w:val="18"/>
        </w:rPr>
        <w:t>*</w:t>
      </w:r>
      <w:r w:rsidRPr="00DD76D8">
        <w:rPr>
          <w:rFonts w:ascii="Bookman Old Style" w:hAnsi="Bookman Old Style" w:cs="Times New Roman"/>
          <w:sz w:val="18"/>
          <w:lang w:val="id-ID"/>
        </w:rPr>
        <w:t xml:space="preserve">Email/Corresponding Author: </w:t>
      </w:r>
      <w:hyperlink r:id="rId1" w:history="1"/>
      <w:hyperlink r:id="rId2" w:history="1">
        <w:r w:rsidRPr="00911F85">
          <w:rPr>
            <w:rStyle w:val="Hyperlink"/>
            <w:rFonts w:ascii="Bookman Old Style" w:hAnsi="Bookman Old Style" w:cs="Arial"/>
            <w:sz w:val="18"/>
            <w:szCs w:val="18"/>
          </w:rPr>
          <w:t>hhasbisimanjuntak@gmail.com</w:t>
        </w:r>
      </w:hyperlink>
      <w:r>
        <w:rPr>
          <w:rFonts w:ascii="Bookman Old Style" w:hAnsi="Bookman Old Style" w:cs="Arial"/>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E5C" w:rsidRDefault="00A77E5C" w:rsidP="00717DA4">
    <w:pPr>
      <w:pStyle w:val="Heading1"/>
      <w:tabs>
        <w:tab w:val="left" w:pos="5070"/>
      </w:tabs>
      <w:spacing w:line="240" w:lineRule="auto"/>
      <w:jc w:val="left"/>
      <w:rPr>
        <w:rFonts w:ascii="Bookman Old Style" w:hAnsi="Bookman Old Style"/>
        <w:b w:val="0"/>
        <w:sz w:val="16"/>
        <w:szCs w:val="24"/>
      </w:rPr>
    </w:pPr>
    <w:r>
      <w:rPr>
        <w:rFonts w:ascii="Bookman Old Style" w:hAnsi="Bookman Old Style"/>
        <w:b w:val="0"/>
        <w:sz w:val="16"/>
        <w:szCs w:val="24"/>
      </w:rPr>
      <w:tab/>
    </w:r>
  </w:p>
  <w:p w:rsidR="007F3DCE" w:rsidRPr="007F3DCE" w:rsidRDefault="007F3DCE" w:rsidP="007F3DCE">
    <w:pPr>
      <w:spacing w:after="0"/>
      <w:jc w:val="both"/>
      <w:rPr>
        <w:rFonts w:ascii="Bookman Old Style" w:hAnsi="Bookman Old Style"/>
        <w:bCs/>
        <w:sz w:val="18"/>
        <w:szCs w:val="18"/>
      </w:rPr>
    </w:pPr>
    <w:r w:rsidRPr="007F3DCE">
      <w:rPr>
        <w:rStyle w:val="ypks7kbdpwfgdykd3qb9"/>
        <w:rFonts w:ascii="Bookman Old Style" w:hAnsi="Bookman Old Style"/>
        <w:sz w:val="18"/>
        <w:szCs w:val="18"/>
      </w:rPr>
      <w:t>Juridical</w:t>
    </w:r>
    <w:r w:rsidRPr="007F3DCE">
      <w:rPr>
        <w:rFonts w:ascii="Bookman Old Style" w:hAnsi="Bookman Old Style"/>
        <w:sz w:val="18"/>
        <w:szCs w:val="18"/>
      </w:rPr>
      <w:t xml:space="preserve"> </w:t>
    </w:r>
    <w:r w:rsidRPr="007F3DCE">
      <w:rPr>
        <w:rStyle w:val="ypks7kbdpwfgdykd3qb9"/>
        <w:rFonts w:ascii="Bookman Old Style" w:hAnsi="Bookman Old Style"/>
        <w:sz w:val="18"/>
        <w:szCs w:val="18"/>
      </w:rPr>
      <w:t>Analysis</w:t>
    </w:r>
    <w:r w:rsidRPr="007F3DCE">
      <w:rPr>
        <w:rFonts w:ascii="Bookman Old Style" w:hAnsi="Bookman Old Style"/>
        <w:sz w:val="18"/>
        <w:szCs w:val="18"/>
      </w:rPr>
      <w:t xml:space="preserve"> </w:t>
    </w:r>
    <w:r w:rsidRPr="007F3DCE">
      <w:rPr>
        <w:rStyle w:val="ypks7kbdpwfgdykd3qb9"/>
        <w:rFonts w:ascii="Bookman Old Style" w:hAnsi="Bookman Old Style"/>
        <w:sz w:val="18"/>
        <w:szCs w:val="18"/>
      </w:rPr>
      <w:t>Of</w:t>
    </w:r>
    <w:r w:rsidRPr="007F3DCE">
      <w:rPr>
        <w:rFonts w:ascii="Bookman Old Style" w:hAnsi="Bookman Old Style"/>
        <w:sz w:val="18"/>
        <w:szCs w:val="18"/>
      </w:rPr>
      <w:t xml:space="preserve"> </w:t>
    </w:r>
    <w:r w:rsidRPr="007F3DCE">
      <w:rPr>
        <w:rStyle w:val="ypks7kbdpwfgdykd3qb9"/>
        <w:rFonts w:ascii="Bookman Old Style" w:hAnsi="Bookman Old Style"/>
        <w:sz w:val="18"/>
        <w:szCs w:val="18"/>
      </w:rPr>
      <w:t>The Application</w:t>
    </w:r>
    <w:r w:rsidRPr="007F3DCE">
      <w:rPr>
        <w:rFonts w:ascii="Bookman Old Style" w:hAnsi="Bookman Old Style"/>
        <w:sz w:val="18"/>
        <w:szCs w:val="18"/>
      </w:rPr>
      <w:t xml:space="preserve"> </w:t>
    </w:r>
    <w:r w:rsidRPr="007F3DCE">
      <w:rPr>
        <w:rStyle w:val="ypks7kbdpwfgdykd3qb9"/>
        <w:rFonts w:ascii="Bookman Old Style" w:hAnsi="Bookman Old Style"/>
        <w:sz w:val="18"/>
        <w:szCs w:val="18"/>
      </w:rPr>
      <w:t>For Cancellation</w:t>
    </w:r>
    <w:r w:rsidRPr="007F3DCE">
      <w:rPr>
        <w:rFonts w:ascii="Bookman Old Style" w:hAnsi="Bookman Old Style"/>
        <w:sz w:val="18"/>
        <w:szCs w:val="18"/>
      </w:rPr>
      <w:t xml:space="preserve"> </w:t>
    </w:r>
    <w:r w:rsidRPr="007F3DCE">
      <w:rPr>
        <w:rStyle w:val="ypks7kbdpwfgdykd3qb9"/>
        <w:rFonts w:ascii="Bookman Old Style" w:hAnsi="Bookman Old Style"/>
        <w:sz w:val="18"/>
        <w:szCs w:val="18"/>
      </w:rPr>
      <w:t>Of The Arbitration</w:t>
    </w:r>
    <w:r w:rsidRPr="007F3DCE">
      <w:rPr>
        <w:rFonts w:ascii="Bookman Old Style" w:hAnsi="Bookman Old Style"/>
        <w:sz w:val="18"/>
        <w:szCs w:val="18"/>
      </w:rPr>
      <w:t xml:space="preserve"> </w:t>
    </w:r>
    <w:r w:rsidRPr="007F3DCE">
      <w:rPr>
        <w:rStyle w:val="ypks7kbdpwfgdykd3qb9"/>
        <w:rFonts w:ascii="Bookman Old Style" w:hAnsi="Bookman Old Style"/>
        <w:sz w:val="18"/>
        <w:szCs w:val="18"/>
      </w:rPr>
      <w:t>Award</w:t>
    </w:r>
    <w:r w:rsidRPr="007F3DCE">
      <w:rPr>
        <w:rFonts w:ascii="Bookman Old Style" w:hAnsi="Bookman Old Style"/>
        <w:sz w:val="18"/>
        <w:szCs w:val="18"/>
      </w:rPr>
      <w:t xml:space="preserve"> </w:t>
    </w:r>
    <w:r w:rsidRPr="007F3DCE">
      <w:rPr>
        <w:rStyle w:val="ypks7kbdpwfgdykd3qb9"/>
        <w:rFonts w:ascii="Bookman Old Style" w:hAnsi="Bookman Old Style"/>
        <w:sz w:val="18"/>
        <w:szCs w:val="18"/>
      </w:rPr>
      <w:t>Of The Indonesian National Arbitration Board</w:t>
    </w:r>
    <w:r w:rsidRPr="007F3DCE">
      <w:rPr>
        <w:rFonts w:ascii="Bookman Old Style" w:hAnsi="Bookman Old Style"/>
        <w:sz w:val="18"/>
        <w:szCs w:val="18"/>
      </w:rPr>
      <w:t xml:space="preserve"> </w:t>
    </w:r>
    <w:r w:rsidRPr="007F3DCE">
      <w:rPr>
        <w:rStyle w:val="ypks7kbdpwfgdykd3qb9"/>
        <w:rFonts w:ascii="Bookman Old Style" w:hAnsi="Bookman Old Style"/>
        <w:sz w:val="18"/>
        <w:szCs w:val="18"/>
      </w:rPr>
      <w:t>(Decision Study</w:t>
    </w:r>
    <w:r w:rsidRPr="007F3DCE">
      <w:rPr>
        <w:rFonts w:ascii="Bookman Old Style" w:hAnsi="Bookman Old Style"/>
        <w:sz w:val="18"/>
        <w:szCs w:val="18"/>
      </w:rPr>
      <w:t xml:space="preserve"> </w:t>
    </w:r>
    <w:r w:rsidRPr="007F3DCE">
      <w:rPr>
        <w:rStyle w:val="ypks7kbdpwfgdykd3qb9"/>
        <w:rFonts w:ascii="Bookman Old Style" w:hAnsi="Bookman Old Style"/>
        <w:sz w:val="18"/>
        <w:szCs w:val="18"/>
      </w:rPr>
      <w:t>Number</w:t>
    </w:r>
    <w:r w:rsidRPr="007F3DCE">
      <w:rPr>
        <w:rFonts w:ascii="Bookman Old Style" w:hAnsi="Bookman Old Style"/>
        <w:sz w:val="18"/>
        <w:szCs w:val="18"/>
      </w:rPr>
      <w:t xml:space="preserve"> </w:t>
    </w:r>
    <w:r w:rsidRPr="007F3DCE">
      <w:rPr>
        <w:rStyle w:val="ypks7kbdpwfgdykd3qb9"/>
        <w:rFonts w:ascii="Bookman Old Style" w:hAnsi="Bookman Old Style"/>
        <w:sz w:val="18"/>
        <w:szCs w:val="18"/>
      </w:rPr>
      <w:t>531</w:t>
    </w:r>
    <w:r w:rsidRPr="007F3DCE">
      <w:rPr>
        <w:rFonts w:ascii="Bookman Old Style" w:hAnsi="Bookman Old Style"/>
        <w:sz w:val="18"/>
        <w:szCs w:val="18"/>
      </w:rPr>
      <w:t xml:space="preserve"> </w:t>
    </w:r>
    <w:r w:rsidRPr="007F3DCE">
      <w:rPr>
        <w:rStyle w:val="ypks7kbdpwfgdykd3qb9"/>
        <w:rFonts w:ascii="Bookman Old Style" w:hAnsi="Bookman Old Style"/>
        <w:sz w:val="18"/>
        <w:szCs w:val="18"/>
      </w:rPr>
      <w:t>/ Pdt.Sus-Arb</w:t>
    </w:r>
    <w:r w:rsidRPr="007F3DCE">
      <w:rPr>
        <w:rFonts w:ascii="Bookman Old Style" w:hAnsi="Bookman Old Style"/>
        <w:sz w:val="18"/>
        <w:szCs w:val="18"/>
      </w:rPr>
      <w:t>/</w:t>
    </w:r>
    <w:r w:rsidRPr="007F3DCE">
      <w:rPr>
        <w:rStyle w:val="ypks7kbdpwfgdykd3qb9"/>
        <w:rFonts w:ascii="Bookman Old Style" w:hAnsi="Bookman Old Style"/>
        <w:sz w:val="18"/>
        <w:szCs w:val="18"/>
      </w:rPr>
      <w:t>2023</w:t>
    </w:r>
    <w:r w:rsidRPr="007F3DCE">
      <w:rPr>
        <w:rFonts w:ascii="Bookman Old Style" w:hAnsi="Bookman Old Style"/>
        <w:sz w:val="18"/>
        <w:szCs w:val="18"/>
      </w:rPr>
      <w:t xml:space="preserve"> </w:t>
    </w:r>
    <w:r w:rsidRPr="007F3DCE">
      <w:rPr>
        <w:rStyle w:val="ypks7kbdpwfgdykd3qb9"/>
        <w:rFonts w:ascii="Bookman Old Style" w:hAnsi="Bookman Old Style"/>
        <w:sz w:val="18"/>
        <w:szCs w:val="18"/>
      </w:rPr>
      <w:t>/ PN Bks</w:t>
    </w:r>
    <w:r w:rsidRPr="007F3DCE">
      <w:rPr>
        <w:rFonts w:ascii="Bookman Old Style" w:hAnsi="Bookman Old Style"/>
        <w:sz w:val="18"/>
        <w:szCs w:val="18"/>
      </w:rPr>
      <w:t>)</w:t>
    </w:r>
  </w:p>
  <w:p w:rsidR="007F3DCE" w:rsidRPr="00717DA4" w:rsidRDefault="007F3DCE" w:rsidP="00717DA4">
    <w:pPr>
      <w:spacing w:after="0"/>
      <w:rPr>
        <w:rFonts w:ascii="Bookman Old Style" w:hAnsi="Bookman Old Style"/>
        <w:bCs/>
        <w:sz w:val="18"/>
        <w:szCs w:val="18"/>
      </w:rPr>
    </w:pPr>
  </w:p>
  <w:p w:rsidR="00A77E5C" w:rsidRPr="003077CC" w:rsidRDefault="00A77E5C" w:rsidP="004F38D2">
    <w:pPr>
      <w:pStyle w:val="Title"/>
      <w:jc w:val="left"/>
      <w:rPr>
        <w:rFonts w:ascii="Bookman Old Style" w:hAnsi="Bookman Old Style"/>
        <w:b w:val="0"/>
        <w:sz w:val="18"/>
        <w:szCs w:val="18"/>
        <w:lang w:val="en-US"/>
      </w:rPr>
    </w:pPr>
  </w:p>
  <w:p w:rsidR="00A77E5C" w:rsidRPr="004F38D2" w:rsidRDefault="00A77E5C" w:rsidP="00514FC1">
    <w:pPr>
      <w:pStyle w:val="Title"/>
      <w:jc w:val="left"/>
      <w:rPr>
        <w:rFonts w:ascii="Bookman Old Style" w:hAnsi="Bookman Old Style"/>
        <w:szCs w:val="28"/>
        <w:lang w:val="en-US"/>
      </w:rPr>
    </w:pPr>
  </w:p>
  <w:p w:rsidR="00A77E5C" w:rsidRPr="00EB3C89" w:rsidRDefault="007F3DCE" w:rsidP="00EB3C89">
    <w:pPr>
      <w:pStyle w:val="Header"/>
      <w:jc w:val="right"/>
      <w:rPr>
        <w:i/>
        <w:sz w:val="6"/>
        <w:lang w:val="en-US"/>
      </w:rPr>
    </w:pPr>
    <w:r>
      <w:rPr>
        <w:rFonts w:ascii="Bookman Old Style" w:hAnsi="Bookman Old Style"/>
        <w:b/>
        <w:bCs/>
        <w:i/>
        <w:iCs/>
        <w:color w:val="000000"/>
        <w:sz w:val="16"/>
        <w:szCs w:val="24"/>
        <w:lang w:val="en-US"/>
      </w:rPr>
      <w:t>Mhd.Hasbi</w:t>
    </w:r>
  </w:p>
  <w:p w:rsidR="00A77E5C" w:rsidRDefault="00A77E5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E5C" w:rsidRDefault="00A77E5C" w:rsidP="00EB3C89">
    <w:pPr>
      <w:pStyle w:val="Heading1"/>
      <w:spacing w:line="240" w:lineRule="auto"/>
      <w:jc w:val="right"/>
      <w:rPr>
        <w:rFonts w:ascii="Bookman Old Style" w:hAnsi="Bookman Old Style"/>
        <w:b w:val="0"/>
        <w:sz w:val="16"/>
        <w:szCs w:val="24"/>
      </w:rPr>
    </w:pPr>
  </w:p>
  <w:p w:rsidR="00A77E5C" w:rsidRDefault="00A77E5C" w:rsidP="00EB3C89">
    <w:pPr>
      <w:pStyle w:val="Heading1"/>
      <w:spacing w:line="240" w:lineRule="auto"/>
      <w:jc w:val="right"/>
      <w:rPr>
        <w:rFonts w:ascii="Bookman Old Style" w:hAnsi="Bookman Old Style"/>
        <w:b w:val="0"/>
        <w:sz w:val="16"/>
        <w:szCs w:val="24"/>
      </w:rPr>
    </w:pPr>
  </w:p>
  <w:p w:rsidR="00A77E5C" w:rsidRPr="00FD5C18" w:rsidRDefault="00A77E5C" w:rsidP="00EB3C89">
    <w:pPr>
      <w:spacing w:after="0" w:line="240" w:lineRule="auto"/>
      <w:rPr>
        <w:rFonts w:ascii="Bookman Old Style" w:hAnsi="Bookman Old Style" w:cs="Arial"/>
        <w:sz w:val="16"/>
        <w:szCs w:val="24"/>
        <w:lang w:val="en-US"/>
      </w:rPr>
    </w:pPr>
    <w:r>
      <w:rPr>
        <w:rFonts w:ascii="Bookman Old Style" w:hAnsi="Bookman Old Style" w:cs="Arial"/>
        <w:sz w:val="16"/>
        <w:szCs w:val="24"/>
        <w:lang w:val="en-US"/>
      </w:rPr>
      <w:t>Legal Preneur Journal</w:t>
    </w:r>
  </w:p>
  <w:p w:rsidR="00A77E5C" w:rsidRPr="00EB3C89" w:rsidRDefault="00A77E5C" w:rsidP="00EB3C89">
    <w:pPr>
      <w:spacing w:after="0" w:line="240" w:lineRule="auto"/>
      <w:rPr>
        <w:rFonts w:ascii="Bookman Old Style" w:hAnsi="Bookman Old Style" w:cs="Arial"/>
        <w:b/>
        <w:sz w:val="12"/>
        <w:szCs w:val="24"/>
        <w:lang w:val="en-US"/>
      </w:rPr>
    </w:pPr>
    <w:r w:rsidRPr="00EB3C89">
      <w:rPr>
        <w:rFonts w:ascii="Bookman Old Style" w:hAnsi="Bookman Old Style" w:cs="Arial"/>
        <w:sz w:val="16"/>
        <w:szCs w:val="24"/>
        <w:lang w:val="id-ID"/>
      </w:rPr>
      <w:t xml:space="preserve">Vol. </w:t>
    </w:r>
    <w:r>
      <w:rPr>
        <w:rFonts w:ascii="Bookman Old Style" w:hAnsi="Bookman Old Style" w:cs="Arial"/>
        <w:sz w:val="16"/>
        <w:szCs w:val="24"/>
        <w:lang w:val="en-US"/>
      </w:rPr>
      <w:t>4</w:t>
    </w:r>
    <w:r w:rsidRPr="00EB3C89">
      <w:rPr>
        <w:rFonts w:ascii="Bookman Old Style" w:hAnsi="Bookman Old Style" w:cs="Arial"/>
        <w:sz w:val="16"/>
        <w:szCs w:val="24"/>
        <w:lang w:val="id-ID"/>
      </w:rPr>
      <w:t xml:space="preserve"> No. </w:t>
    </w:r>
    <w:r>
      <w:rPr>
        <w:rFonts w:ascii="Bookman Old Style" w:hAnsi="Bookman Old Style" w:cs="Arial"/>
        <w:sz w:val="16"/>
        <w:szCs w:val="24"/>
        <w:lang w:val="en-US"/>
      </w:rPr>
      <w:t>1 Oktober 2025</w:t>
    </w:r>
  </w:p>
  <w:p w:rsidR="00A77E5C" w:rsidRPr="00EB3C89" w:rsidRDefault="00A77E5C" w:rsidP="00135C28">
    <w:pPr>
      <w:pStyle w:val="Header"/>
      <w:ind w:left="-142"/>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E5C" w:rsidRDefault="00A77E5C">
    <w:pPr>
      <w:pStyle w:val="Header"/>
    </w:pPr>
    <w:r>
      <w:rPr>
        <w:rFonts w:ascii="Times New Roman" w:hAnsi="Times New Roman"/>
        <w:noProof/>
        <w:sz w:val="24"/>
        <w:szCs w:val="24"/>
        <w:lang w:val="en-US"/>
      </w:rPr>
      <mc:AlternateContent>
        <mc:Choice Requires="wps">
          <w:drawing>
            <wp:anchor distT="0" distB="0" distL="114300" distR="114300" simplePos="0" relativeHeight="251658240" behindDoc="0" locked="0" layoutInCell="1" allowOverlap="1" wp14:anchorId="3A6F3977" wp14:editId="57FC62DF">
              <wp:simplePos x="0" y="0"/>
              <wp:positionH relativeFrom="column">
                <wp:posOffset>1571381</wp:posOffset>
              </wp:positionH>
              <wp:positionV relativeFrom="paragraph">
                <wp:posOffset>30040</wp:posOffset>
              </wp:positionV>
              <wp:extent cx="3459480" cy="358140"/>
              <wp:effectExtent l="0" t="0" r="0" b="1905"/>
              <wp:wrapNone/>
              <wp:docPr id="5" name="Text Box 5"/>
              <wp:cNvGraphicFramePr/>
              <a:graphic xmlns:a="http://schemas.openxmlformats.org/drawingml/2006/main">
                <a:graphicData uri="http://schemas.microsoft.com/office/word/2010/wordprocessingShape">
                  <wps:wsp>
                    <wps:cNvSpPr txBox="1"/>
                    <wps:spPr>
                      <a:xfrm>
                        <a:off x="0" y="0"/>
                        <a:ext cx="3459480" cy="358140"/>
                      </a:xfrm>
                      <a:prstGeom prst="rect">
                        <a:avLst/>
                      </a:prstGeom>
                      <a:solidFill>
                        <a:srgbClr val="002060"/>
                      </a:solidFill>
                      <a:ln>
                        <a:noFill/>
                      </a:ln>
                      <a:effectLst/>
                    </wps:spPr>
                    <wps:txbx>
                      <w:txbxContent>
                        <w:p w:rsidR="00A77E5C" w:rsidRDefault="00A77E5C" w:rsidP="00666BBF">
                          <w:pPr>
                            <w:pStyle w:val="Title"/>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LEGAL PRENEUR JOURNAL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perspectiveLeft"/>
                        <a:lightRig rig="flat" dir="tl">
                          <a:rot lat="0" lon="0" rev="6600000"/>
                        </a:lightRig>
                      </a:scene3d>
                      <a:sp3d extrusionH="25400" contourW="8890">
                        <a:bevelT w="38100" h="31750"/>
                        <a:contourClr>
                          <a:schemeClr val="accent2">
                            <a:shade val="75000"/>
                          </a:schemeClr>
                        </a:contourClr>
                      </a:sp3d>
                    </wps:bodyPr>
                  </wps:wsp>
                </a:graphicData>
              </a:graphic>
              <wp14:sizeRelH relativeFrom="page">
                <wp14:pctWidth>0</wp14:pctWidth>
              </wp14:sizeRelH>
              <wp14:sizeRelV relativeFrom="margin">
                <wp14:pctHeight>0</wp14:pctHeight>
              </wp14:sizeRelV>
            </wp:anchor>
          </w:drawing>
        </mc:Choice>
        <mc:Fallback>
          <w:pict>
            <v:shapetype w14:anchorId="3A6F3977" id="_x0000_t202" coordsize="21600,21600" o:spt="202" path="m,l,21600r21600,l21600,xe">
              <v:stroke joinstyle="miter"/>
              <v:path gradientshapeok="t" o:connecttype="rect"/>
            </v:shapetype>
            <v:shape id="Text Box 5" o:spid="_x0000_s1027" type="#_x0000_t202" style="position:absolute;margin-left:123.75pt;margin-top:2.35pt;width:272.4pt;height:28.2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" fillcolor="#002060" stroked="f">
              <v:textbox style="mso-fit-shape-to-text:t">
                <w:txbxContent>
                  <w:p w:rsidR="00A77E5C" w:rsidRDefault="00A77E5C" w:rsidP="00666BBF">
                    <w:pPr>
                      <w:pStyle w:val="Title"/>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LEGAL PRENEUR JOURNAL</w:t>
                    </w:r>
                  </w:p>
                </w:txbxContent>
              </v:textbox>
            </v:shape>
          </w:pict>
        </mc:Fallback>
      </mc:AlternateContent>
    </w:r>
  </w:p>
  <w:tbl>
    <w:tblPr>
      <w:tblW w:w="9558" w:type="dxa"/>
      <w:tblBorders>
        <w:insideH w:val="single" w:sz="4" w:space="0" w:color="auto"/>
      </w:tblBorders>
      <w:tblLayout w:type="fixed"/>
      <w:tblLook w:val="04A0" w:firstRow="1" w:lastRow="0" w:firstColumn="1" w:lastColumn="0" w:noHBand="0" w:noVBand="1"/>
    </w:tblPr>
    <w:tblGrid>
      <w:gridCol w:w="8208"/>
      <w:gridCol w:w="1350"/>
    </w:tblGrid>
    <w:tr w:rsidR="00A77E5C" w:rsidRPr="008612D9" w:rsidTr="00EB31D3">
      <w:trPr>
        <w:trHeight w:val="1446"/>
      </w:trPr>
      <w:tc>
        <w:tcPr>
          <w:tcW w:w="8208" w:type="dxa"/>
        </w:tcPr>
        <w:p w:rsidR="00A77E5C" w:rsidRPr="008612D9" w:rsidRDefault="00A77E5C" w:rsidP="00BF7BF6">
          <w:pPr>
            <w:spacing w:after="0" w:line="240" w:lineRule="auto"/>
            <w:jc w:val="right"/>
            <w:rPr>
              <w:rFonts w:asciiTheme="minorHAnsi" w:hAnsiTheme="minorHAnsi" w:cstheme="minorBidi"/>
              <w:lang w:val="id-ID"/>
            </w:rPr>
          </w:pPr>
        </w:p>
        <w:p w:rsidR="00A77E5C" w:rsidRPr="008612D9" w:rsidRDefault="00A77E5C" w:rsidP="008612D9">
          <w:pPr>
            <w:spacing w:after="0" w:line="240" w:lineRule="auto"/>
            <w:rPr>
              <w:rFonts w:asciiTheme="minorHAnsi" w:hAnsiTheme="minorHAnsi" w:cstheme="minorBidi"/>
              <w:b/>
              <w:bCs/>
              <w:color w:val="FF5050"/>
              <w:sz w:val="6"/>
              <w:szCs w:val="6"/>
              <w:lang w:val="id-ID"/>
            </w:rPr>
          </w:pPr>
        </w:p>
        <w:p w:rsidR="00A77E5C" w:rsidRPr="00BD513B" w:rsidRDefault="00A77E5C" w:rsidP="00227EB6">
          <w:pPr>
            <w:spacing w:after="0" w:line="240" w:lineRule="auto"/>
            <w:jc w:val="right"/>
            <w:rPr>
              <w:rFonts w:asciiTheme="minorHAnsi" w:hAnsiTheme="minorHAnsi" w:cstheme="minorBidi"/>
              <w:sz w:val="18"/>
              <w:szCs w:val="18"/>
              <w:lang w:val="en-US"/>
            </w:rPr>
          </w:pPr>
          <w:r w:rsidRPr="00BF7BF6">
            <w:rPr>
              <w:rFonts w:asciiTheme="minorHAnsi" w:hAnsiTheme="minorHAnsi" w:cstheme="minorBidi"/>
              <w:sz w:val="18"/>
              <w:szCs w:val="18"/>
              <w:lang w:val="id-ID"/>
            </w:rPr>
            <w:t xml:space="preserve">          </w:t>
          </w:r>
          <w:r>
            <w:rPr>
              <w:rFonts w:asciiTheme="minorHAnsi" w:hAnsiTheme="minorHAnsi" w:cstheme="minorBidi"/>
              <w:sz w:val="18"/>
              <w:szCs w:val="18"/>
              <w:lang w:val="en-US"/>
            </w:rPr>
            <w:t xml:space="preserve">                                                                                                                                                                   </w:t>
          </w:r>
          <w:r w:rsidRPr="00A80B85">
            <w:rPr>
              <w:rFonts w:ascii="Bookman Old Style" w:hAnsi="Bookman Old Style" w:cstheme="minorBidi"/>
              <w:sz w:val="18"/>
              <w:szCs w:val="18"/>
              <w:lang w:val="en-US"/>
            </w:rPr>
            <w:t xml:space="preserve">                                                                                                                                                                    P</w:t>
          </w:r>
          <w:r w:rsidRPr="00A80B85">
            <w:rPr>
              <w:rFonts w:ascii="Bookman Old Style" w:hAnsi="Bookman Old Style" w:cstheme="minorBidi"/>
              <w:sz w:val="18"/>
              <w:szCs w:val="18"/>
              <w:lang w:val="id-ID"/>
            </w:rPr>
            <w:t xml:space="preserve">-ISSN </w:t>
          </w:r>
          <w:r>
            <w:rPr>
              <w:rFonts w:ascii="Bookman Old Style" w:hAnsi="Bookman Old Style" w:cstheme="minorBidi"/>
              <w:sz w:val="18"/>
              <w:szCs w:val="18"/>
              <w:lang w:val="en-US"/>
            </w:rPr>
            <w:t>2962</w:t>
          </w:r>
          <w:r w:rsidRPr="00A80B85">
            <w:rPr>
              <w:rFonts w:ascii="Bookman Old Style" w:hAnsi="Bookman Old Style" w:cstheme="minorBidi"/>
              <w:sz w:val="18"/>
              <w:szCs w:val="18"/>
              <w:lang w:val="id-ID"/>
            </w:rPr>
            <w:t>-</w:t>
          </w:r>
          <w:r>
            <w:rPr>
              <w:rFonts w:ascii="Bookman Old Style" w:hAnsi="Bookman Old Style" w:cstheme="minorBidi"/>
              <w:sz w:val="18"/>
              <w:szCs w:val="18"/>
              <w:lang w:val="en-US"/>
            </w:rPr>
            <w:t>0961</w:t>
          </w:r>
          <w:r w:rsidRPr="00A80B85">
            <w:rPr>
              <w:rFonts w:ascii="Bookman Old Style" w:hAnsi="Bookman Old Style" w:cstheme="minorBidi"/>
              <w:b/>
              <w:bCs/>
              <w:color w:val="FF5050"/>
              <w:sz w:val="18"/>
              <w:szCs w:val="18"/>
              <w:lang w:val="id-ID"/>
            </w:rPr>
            <w:t xml:space="preserve"> </w:t>
          </w:r>
        </w:p>
        <w:p w:rsidR="00A77E5C" w:rsidRPr="00A80B85" w:rsidRDefault="00A77E5C" w:rsidP="00A80B85">
          <w:pPr>
            <w:tabs>
              <w:tab w:val="left" w:pos="6654"/>
              <w:tab w:val="right" w:pos="7992"/>
            </w:tabs>
            <w:spacing w:after="0" w:line="240" w:lineRule="auto"/>
            <w:jc w:val="right"/>
            <w:rPr>
              <w:rFonts w:ascii="Bookman Old Style" w:hAnsi="Bookman Old Style" w:cstheme="minorBidi"/>
              <w:sz w:val="18"/>
              <w:szCs w:val="18"/>
              <w:lang w:val="en-US"/>
            </w:rPr>
          </w:pPr>
          <w:r w:rsidRPr="00A80B85">
            <w:rPr>
              <w:rFonts w:ascii="Bookman Old Style" w:hAnsi="Bookman Old Style" w:cstheme="minorBidi"/>
              <w:sz w:val="18"/>
              <w:szCs w:val="18"/>
              <w:lang w:val="id-ID"/>
            </w:rPr>
            <w:t xml:space="preserve">E-ISSN </w:t>
          </w:r>
          <w:r>
            <w:rPr>
              <w:rFonts w:ascii="Bookman Old Style" w:hAnsi="Bookman Old Style" w:cstheme="minorBidi"/>
              <w:sz w:val="18"/>
              <w:szCs w:val="18"/>
              <w:lang w:val="en-US"/>
            </w:rPr>
            <w:t>2964</w:t>
          </w:r>
          <w:r w:rsidRPr="00A80B85">
            <w:rPr>
              <w:rFonts w:ascii="Bookman Old Style" w:hAnsi="Bookman Old Style" w:cstheme="minorBidi"/>
              <w:sz w:val="18"/>
              <w:szCs w:val="18"/>
              <w:lang w:val="id-ID"/>
            </w:rPr>
            <w:t>-</w:t>
          </w:r>
          <w:r>
            <w:rPr>
              <w:rFonts w:ascii="Bookman Old Style" w:hAnsi="Bookman Old Style" w:cstheme="minorBidi"/>
              <w:sz w:val="18"/>
              <w:szCs w:val="18"/>
              <w:lang w:val="en-US"/>
            </w:rPr>
            <w:t>9889</w:t>
          </w:r>
          <w:r w:rsidRPr="00A80B85">
            <w:rPr>
              <w:rFonts w:ascii="Bookman Old Style" w:hAnsi="Bookman Old Style" w:cstheme="minorBidi"/>
              <w:sz w:val="18"/>
              <w:szCs w:val="18"/>
              <w:lang w:val="en-US"/>
            </w:rPr>
            <w:t xml:space="preserve">                                                                                                                                                                    </w:t>
          </w:r>
        </w:p>
        <w:p w:rsidR="00A77E5C" w:rsidRPr="00A80B85" w:rsidRDefault="00A77E5C" w:rsidP="00A80B85">
          <w:pPr>
            <w:spacing w:after="0" w:line="240" w:lineRule="auto"/>
            <w:jc w:val="right"/>
            <w:rPr>
              <w:rFonts w:ascii="Bookman Old Style" w:hAnsi="Bookman Old Style" w:cstheme="minorBidi"/>
              <w:bCs/>
              <w:sz w:val="18"/>
              <w:szCs w:val="18"/>
              <w:lang w:val="en-US"/>
            </w:rPr>
          </w:pPr>
          <w:r w:rsidRPr="00A80B85">
            <w:rPr>
              <w:rFonts w:ascii="Bookman Old Style" w:hAnsi="Bookman Old Style" w:cstheme="minorBidi"/>
              <w:bCs/>
              <w:sz w:val="18"/>
              <w:szCs w:val="18"/>
              <w:lang w:val="id-ID"/>
            </w:rPr>
            <w:t xml:space="preserve">Vol. </w:t>
          </w:r>
          <w:r>
            <w:rPr>
              <w:rFonts w:ascii="Bookman Old Style" w:hAnsi="Bookman Old Style" w:cstheme="minorBidi"/>
              <w:bCs/>
              <w:sz w:val="18"/>
              <w:szCs w:val="18"/>
              <w:lang w:val="en-US"/>
            </w:rPr>
            <w:t>4</w:t>
          </w:r>
          <w:r w:rsidRPr="00A80B85">
            <w:rPr>
              <w:rFonts w:ascii="Bookman Old Style" w:hAnsi="Bookman Old Style" w:cstheme="minorBidi"/>
              <w:bCs/>
              <w:sz w:val="18"/>
              <w:szCs w:val="18"/>
              <w:lang w:val="id-ID"/>
            </w:rPr>
            <w:t xml:space="preserve">, No. </w:t>
          </w:r>
          <w:r>
            <w:rPr>
              <w:rFonts w:ascii="Bookman Old Style" w:hAnsi="Bookman Old Style" w:cstheme="minorBidi"/>
              <w:bCs/>
              <w:sz w:val="18"/>
              <w:szCs w:val="18"/>
              <w:lang w:val="en-US"/>
            </w:rPr>
            <w:t xml:space="preserve">1 Oktober </w:t>
          </w:r>
          <w:r w:rsidRPr="00A80B85">
            <w:rPr>
              <w:rFonts w:ascii="Bookman Old Style" w:hAnsi="Bookman Old Style" w:cstheme="minorBidi"/>
              <w:bCs/>
              <w:sz w:val="18"/>
              <w:szCs w:val="18"/>
              <w:lang w:val="id-ID"/>
            </w:rPr>
            <w:t xml:space="preserve"> </w:t>
          </w:r>
          <w:r w:rsidRPr="00A80B85">
            <w:rPr>
              <w:rFonts w:ascii="Bookman Old Style" w:hAnsi="Bookman Old Style" w:cstheme="minorBidi"/>
              <w:bCs/>
              <w:sz w:val="18"/>
              <w:szCs w:val="18"/>
              <w:lang w:val="en-US"/>
            </w:rPr>
            <w:t>202</w:t>
          </w:r>
          <w:r>
            <w:rPr>
              <w:rFonts w:ascii="Bookman Old Style" w:hAnsi="Bookman Old Style" w:cstheme="minorBidi"/>
              <w:bCs/>
              <w:sz w:val="18"/>
              <w:szCs w:val="18"/>
              <w:lang w:val="en-US"/>
            </w:rPr>
            <w:t>5</w:t>
          </w:r>
        </w:p>
        <w:p w:rsidR="00A77E5C" w:rsidRDefault="00A77E5C" w:rsidP="00A80B85">
          <w:pPr>
            <w:spacing w:after="0" w:line="240" w:lineRule="auto"/>
            <w:jc w:val="right"/>
            <w:rPr>
              <w:rFonts w:ascii="Bookman Old Style" w:hAnsi="Bookman Old Style" w:cs="AdvOTf9433e2d"/>
              <w:color w:val="000000"/>
              <w:sz w:val="14"/>
              <w:szCs w:val="16"/>
              <w:lang w:val="en-US"/>
            </w:rPr>
          </w:pPr>
          <w:r w:rsidRPr="00A661E3">
            <w:rPr>
              <w:rFonts w:ascii="Bookman Old Style" w:hAnsi="Bookman Old Style" w:cs="AdvOTf9433e2d"/>
              <w:color w:val="000000"/>
              <w:sz w:val="14"/>
              <w:szCs w:val="16"/>
              <w:lang w:val="en-US"/>
            </w:rPr>
            <w:t xml:space="preserve">This is an Open Access article, distributed under the terms of the </w:t>
          </w:r>
        </w:p>
        <w:p w:rsidR="00A77E5C" w:rsidRPr="005B4BF2" w:rsidRDefault="00A77E5C" w:rsidP="00A80B85">
          <w:pPr>
            <w:spacing w:after="0" w:line="240" w:lineRule="auto"/>
            <w:jc w:val="right"/>
            <w:rPr>
              <w:rFonts w:asciiTheme="minorHAnsi" w:hAnsiTheme="minorHAnsi" w:cstheme="minorBidi"/>
              <w:bCs/>
              <w:sz w:val="18"/>
              <w:szCs w:val="18"/>
              <w:lang w:val="en-US"/>
            </w:rPr>
          </w:pPr>
          <w:r w:rsidRPr="00A661E3">
            <w:rPr>
              <w:rFonts w:ascii="Bookman Old Style" w:hAnsi="Bookman Old Style" w:cs="AdvOTf9433e2d"/>
              <w:color w:val="000000"/>
              <w:sz w:val="14"/>
              <w:szCs w:val="16"/>
              <w:lang w:val="en-US"/>
            </w:rPr>
            <w:t>Creative Commons</w:t>
          </w:r>
          <w:r>
            <w:rPr>
              <w:rFonts w:ascii="Bookman Old Style" w:hAnsi="Bookman Old Style" w:cs="AdvOTf9433e2d"/>
              <w:color w:val="000000"/>
              <w:sz w:val="14"/>
              <w:szCs w:val="16"/>
              <w:lang w:val="en-US"/>
            </w:rPr>
            <w:t xml:space="preserve"> </w:t>
          </w:r>
          <w:r w:rsidRPr="00A661E3">
            <w:rPr>
              <w:rFonts w:ascii="Bookman Old Style" w:hAnsi="Bookman Old Style" w:cs="AdvOTf9433e2d"/>
              <w:color w:val="000000"/>
              <w:sz w:val="14"/>
              <w:szCs w:val="16"/>
              <w:lang w:val="en-US"/>
            </w:rPr>
            <w:t>Attribution licence (</w:t>
          </w:r>
          <w:hyperlink r:id="rId1" w:history="1">
            <w:r w:rsidRPr="00A661E3">
              <w:rPr>
                <w:rStyle w:val="Hyperlink"/>
                <w:rFonts w:ascii="Bookman Old Style" w:hAnsi="Bookman Old Style" w:cs="AdvOTf9433e2d"/>
                <w:sz w:val="14"/>
                <w:szCs w:val="16"/>
                <w:lang w:val="en-US"/>
              </w:rPr>
              <w:t>http://creativecommons.org/licenses/by/4.0/</w:t>
            </w:r>
          </w:hyperlink>
          <w:r>
            <w:rPr>
              <w:rFonts w:ascii="Bookman Old Style" w:hAnsi="Bookman Old Style" w:cs="AdvOTf9433e2d"/>
              <w:color w:val="000000"/>
              <w:sz w:val="14"/>
              <w:szCs w:val="16"/>
              <w:lang w:val="en-US"/>
            </w:rPr>
            <w:t>),</w:t>
          </w:r>
        </w:p>
      </w:tc>
      <w:tc>
        <w:tcPr>
          <w:tcW w:w="1350" w:type="dxa"/>
        </w:tcPr>
        <w:p w:rsidR="00A77E5C" w:rsidRPr="00171AA2" w:rsidRDefault="00A77E5C" w:rsidP="00EB31D3">
          <w:pPr>
            <w:spacing w:after="0" w:line="240" w:lineRule="auto"/>
            <w:ind w:left="-108"/>
            <w:rPr>
              <w:rFonts w:asciiTheme="minorHAnsi" w:hAnsiTheme="minorHAnsi" w:cstheme="minorBidi"/>
              <w:lang w:val="en-US"/>
            </w:rPr>
          </w:pPr>
          <w:r>
            <w:rPr>
              <w:rFonts w:asciiTheme="minorHAnsi" w:hAnsiTheme="minorHAnsi" w:cstheme="minorBidi"/>
              <w:lang w:val="en-US"/>
            </w:rPr>
            <w:t xml:space="preserve">    </w:t>
          </w:r>
        </w:p>
      </w:tc>
    </w:tr>
  </w:tbl>
  <w:p w:rsidR="00A77E5C" w:rsidRDefault="00A77E5C" w:rsidP="00A661E3">
    <w:pPr>
      <w:pStyle w:val="Header"/>
      <w:rPr>
        <w:lang w:eastAsia="ko-K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2268C"/>
    <w:multiLevelType w:val="hybridMultilevel"/>
    <w:tmpl w:val="CE20277A"/>
    <w:lvl w:ilvl="0" w:tplc="D92AA91A">
      <w:start w:val="1"/>
      <w:numFmt w:val="bullet"/>
      <w:lvlText w:val="-"/>
      <w:lvlJc w:val="left"/>
      <w:pPr>
        <w:ind w:left="1440" w:hanging="360"/>
      </w:pPr>
      <w:rPr>
        <w:rFonts w:ascii="Times New Roman" w:eastAsia="Calibri" w:hAnsi="Times New Roman" w:cs="Times New Roman" w:hint="default"/>
        <w:color w:val="000000"/>
        <w:lang w:val="id-ID"/>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
    <w:nsid w:val="068969EF"/>
    <w:multiLevelType w:val="hybridMultilevel"/>
    <w:tmpl w:val="AA6A3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09498D"/>
    <w:multiLevelType w:val="hybridMultilevel"/>
    <w:tmpl w:val="F9CA523C"/>
    <w:lvl w:ilvl="0" w:tplc="271A95C6">
      <w:start w:val="1"/>
      <w:numFmt w:val="upperRoman"/>
      <w:lvlText w:val="%1."/>
      <w:lvlJc w:val="right"/>
      <w:pPr>
        <w:ind w:left="720" w:hanging="360"/>
      </w:pPr>
      <w:rPr>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0AA161B2"/>
    <w:multiLevelType w:val="hybridMultilevel"/>
    <w:tmpl w:val="62BC24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EE7DA8"/>
    <w:multiLevelType w:val="hybridMultilevel"/>
    <w:tmpl w:val="E6D63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4443EF"/>
    <w:multiLevelType w:val="hybridMultilevel"/>
    <w:tmpl w:val="7486C1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785EBC"/>
    <w:multiLevelType w:val="hybridMultilevel"/>
    <w:tmpl w:val="50E27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DC3141"/>
    <w:multiLevelType w:val="hybridMultilevel"/>
    <w:tmpl w:val="A03A6F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ED1F63"/>
    <w:multiLevelType w:val="hybridMultilevel"/>
    <w:tmpl w:val="811C9E80"/>
    <w:lvl w:ilvl="0" w:tplc="61601844">
      <w:start w:val="1"/>
      <w:numFmt w:val="decimal"/>
      <w:lvlText w:val="3.%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nsid w:val="203C5BE9"/>
    <w:multiLevelType w:val="hybridMultilevel"/>
    <w:tmpl w:val="9378E1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2E0811"/>
    <w:multiLevelType w:val="hybridMultilevel"/>
    <w:tmpl w:val="A448EB90"/>
    <w:lvl w:ilvl="0" w:tplc="70527E24">
      <w:start w:val="1"/>
      <w:numFmt w:val="bullet"/>
      <w:lvlText w:val=""/>
      <w:lvlJc w:val="left"/>
      <w:pPr>
        <w:ind w:left="720" w:hanging="360"/>
      </w:pPr>
      <w:rPr>
        <w:rFonts w:ascii="Symbol" w:hAnsi="Symbol" w:hint="default"/>
        <w:sz w:val="28"/>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1">
    <w:nsid w:val="287379E5"/>
    <w:multiLevelType w:val="hybridMultilevel"/>
    <w:tmpl w:val="106C7D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F7062E"/>
    <w:multiLevelType w:val="hybridMultilevel"/>
    <w:tmpl w:val="5F665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517E7E"/>
    <w:multiLevelType w:val="hybridMultilevel"/>
    <w:tmpl w:val="2A14BB6C"/>
    <w:lvl w:ilvl="0" w:tplc="95462B5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6C6096"/>
    <w:multiLevelType w:val="hybridMultilevel"/>
    <w:tmpl w:val="A4E44A3C"/>
    <w:lvl w:ilvl="0" w:tplc="CEE24328">
      <w:start w:val="1"/>
      <w:numFmt w:val="decimal"/>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15">
    <w:nsid w:val="2D7F175A"/>
    <w:multiLevelType w:val="hybridMultilevel"/>
    <w:tmpl w:val="02FE30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077EB9"/>
    <w:multiLevelType w:val="hybridMultilevel"/>
    <w:tmpl w:val="DF8E0BFE"/>
    <w:lvl w:ilvl="0" w:tplc="4FF83210">
      <w:start w:val="1"/>
      <w:numFmt w:val="decimal"/>
      <w:lvlText w:val="3.2.%1"/>
      <w:lvlJc w:val="left"/>
      <w:pPr>
        <w:ind w:left="720" w:hanging="360"/>
      </w:pPr>
      <w:rPr>
        <w:b w:val="0"/>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
    <w:nsid w:val="2E2744DE"/>
    <w:multiLevelType w:val="multilevel"/>
    <w:tmpl w:val="8B107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E9D03C7"/>
    <w:multiLevelType w:val="hybridMultilevel"/>
    <w:tmpl w:val="F45057B2"/>
    <w:lvl w:ilvl="0" w:tplc="A8C2992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EDD0822"/>
    <w:multiLevelType w:val="hybridMultilevel"/>
    <w:tmpl w:val="7486C1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F3F5323"/>
    <w:multiLevelType w:val="hybridMultilevel"/>
    <w:tmpl w:val="DECE0438"/>
    <w:lvl w:ilvl="0" w:tplc="37EEF5F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10B3D74"/>
    <w:multiLevelType w:val="hybridMultilevel"/>
    <w:tmpl w:val="1918310A"/>
    <w:lvl w:ilvl="0" w:tplc="C8FE2B5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4420BA5"/>
    <w:multiLevelType w:val="hybridMultilevel"/>
    <w:tmpl w:val="DE700D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60C2B9C"/>
    <w:multiLevelType w:val="hybridMultilevel"/>
    <w:tmpl w:val="52D41E64"/>
    <w:lvl w:ilvl="0" w:tplc="62F25FD0">
      <w:start w:val="1"/>
      <w:numFmt w:val="upperLetter"/>
      <w:lvlText w:val="%1."/>
      <w:lvlJc w:val="left"/>
      <w:pPr>
        <w:ind w:left="720" w:hanging="360"/>
      </w:pPr>
      <w:rPr>
        <w:rFonts w:ascii="Bookman Old Style" w:hAnsi="Bookman Old Style"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nsid w:val="37700055"/>
    <w:multiLevelType w:val="hybridMultilevel"/>
    <w:tmpl w:val="1C6840BC"/>
    <w:lvl w:ilvl="0" w:tplc="B726C202">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A7A1E28"/>
    <w:multiLevelType w:val="hybridMultilevel"/>
    <w:tmpl w:val="F022045A"/>
    <w:lvl w:ilvl="0" w:tplc="7074A7F6">
      <w:start w:val="1"/>
      <w:numFmt w:val="decimal"/>
      <w:lvlText w:val="3.1.%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6">
    <w:nsid w:val="3DD84EF6"/>
    <w:multiLevelType w:val="hybridMultilevel"/>
    <w:tmpl w:val="E286B3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F847C06"/>
    <w:multiLevelType w:val="hybridMultilevel"/>
    <w:tmpl w:val="B1046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0FA00A8"/>
    <w:multiLevelType w:val="hybridMultilevel"/>
    <w:tmpl w:val="DFEE500A"/>
    <w:lvl w:ilvl="0" w:tplc="356866CA">
      <w:start w:val="1"/>
      <w:numFmt w:val="bullet"/>
      <w:lvlText w:val="-"/>
      <w:lvlJc w:val="left"/>
      <w:pPr>
        <w:ind w:left="720" w:hanging="360"/>
      </w:pPr>
      <w:rPr>
        <w:rFonts w:ascii="Times New Roman" w:eastAsia="BatangChe"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9">
    <w:nsid w:val="42601350"/>
    <w:multiLevelType w:val="hybridMultilevel"/>
    <w:tmpl w:val="109C70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2C25FCF"/>
    <w:multiLevelType w:val="hybridMultilevel"/>
    <w:tmpl w:val="A22E4D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43D0E94"/>
    <w:multiLevelType w:val="hybridMultilevel"/>
    <w:tmpl w:val="FA96DC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78B708B"/>
    <w:multiLevelType w:val="hybridMultilevel"/>
    <w:tmpl w:val="92381688"/>
    <w:lvl w:ilvl="0" w:tplc="B93A53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9144A4D"/>
    <w:multiLevelType w:val="hybridMultilevel"/>
    <w:tmpl w:val="51DE46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9D41B96"/>
    <w:multiLevelType w:val="hybridMultilevel"/>
    <w:tmpl w:val="1A36E1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0226355"/>
    <w:multiLevelType w:val="hybridMultilevel"/>
    <w:tmpl w:val="DD080A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CEC0CFA"/>
    <w:multiLevelType w:val="hybridMultilevel"/>
    <w:tmpl w:val="AD3668E4"/>
    <w:lvl w:ilvl="0" w:tplc="70F0120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E467234"/>
    <w:multiLevelType w:val="hybridMultilevel"/>
    <w:tmpl w:val="8AF08158"/>
    <w:lvl w:ilvl="0" w:tplc="0DE0A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60C1B92"/>
    <w:multiLevelType w:val="hybridMultilevel"/>
    <w:tmpl w:val="C5BC3060"/>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39">
    <w:nsid w:val="66F10A02"/>
    <w:multiLevelType w:val="hybridMultilevel"/>
    <w:tmpl w:val="6466F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ABA321B"/>
    <w:multiLevelType w:val="hybridMultilevel"/>
    <w:tmpl w:val="9C4ECD7C"/>
    <w:lvl w:ilvl="0" w:tplc="9234771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62E117D"/>
    <w:multiLevelType w:val="hybridMultilevel"/>
    <w:tmpl w:val="3DAA08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F2879EA"/>
    <w:multiLevelType w:val="multilevel"/>
    <w:tmpl w:val="AE30DD2C"/>
    <w:lvl w:ilvl="0">
      <w:start w:val="1"/>
      <w:numFmt w:val="decimal"/>
      <w:lvlText w:val="%1."/>
      <w:lvlJc w:val="left"/>
      <w:pPr>
        <w:ind w:left="420" w:hanging="420"/>
      </w:pPr>
      <w:rPr>
        <w:rFonts w:hint="default"/>
      </w:rPr>
    </w:lvl>
    <w:lvl w:ilvl="1">
      <w:start w:val="1"/>
      <w:numFmt w:val="decimal"/>
      <w:lvlText w:val="%1.%2."/>
      <w:lvlJc w:val="left"/>
      <w:pPr>
        <w:ind w:left="3600" w:hanging="72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720" w:hanging="108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840" w:hanging="144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960" w:hanging="1800"/>
      </w:pPr>
      <w:rPr>
        <w:rFonts w:hint="default"/>
      </w:rPr>
    </w:lvl>
    <w:lvl w:ilvl="8">
      <w:start w:val="1"/>
      <w:numFmt w:val="decimal"/>
      <w:lvlText w:val="%1.%2.%3.%4.%5.%6.%7.%8.%9."/>
      <w:lvlJc w:val="left"/>
      <w:pPr>
        <w:ind w:left="25200" w:hanging="216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4"/>
  </w:num>
  <w:num w:numId="7">
    <w:abstractNumId w:val="28"/>
  </w:num>
  <w:num w:numId="8">
    <w:abstractNumId w:val="2"/>
  </w:num>
  <w:num w:numId="9">
    <w:abstractNumId w:val="0"/>
  </w:num>
  <w:num w:numId="10">
    <w:abstractNumId w:val="42"/>
  </w:num>
  <w:num w:numId="11">
    <w:abstractNumId w:val="30"/>
  </w:num>
  <w:num w:numId="12">
    <w:abstractNumId w:val="27"/>
  </w:num>
  <w:num w:numId="13">
    <w:abstractNumId w:val="39"/>
  </w:num>
  <w:num w:numId="14">
    <w:abstractNumId w:val="12"/>
  </w:num>
  <w:num w:numId="15">
    <w:abstractNumId w:val="6"/>
  </w:num>
  <w:num w:numId="16">
    <w:abstractNumId w:val="38"/>
  </w:num>
  <w:num w:numId="17">
    <w:abstractNumId w:val="1"/>
  </w:num>
  <w:num w:numId="18">
    <w:abstractNumId w:val="4"/>
  </w:num>
  <w:num w:numId="19">
    <w:abstractNumId w:val="37"/>
  </w:num>
  <w:num w:numId="20">
    <w:abstractNumId w:val="17"/>
  </w:num>
  <w:num w:numId="21">
    <w:abstractNumId w:val="23"/>
  </w:num>
  <w:num w:numId="22">
    <w:abstractNumId w:val="31"/>
  </w:num>
  <w:num w:numId="23">
    <w:abstractNumId w:val="5"/>
  </w:num>
  <w:num w:numId="24">
    <w:abstractNumId w:val="22"/>
  </w:num>
  <w:num w:numId="25">
    <w:abstractNumId w:val="19"/>
  </w:num>
  <w:num w:numId="26">
    <w:abstractNumId w:val="11"/>
  </w:num>
  <w:num w:numId="27">
    <w:abstractNumId w:val="41"/>
  </w:num>
  <w:num w:numId="28">
    <w:abstractNumId w:val="9"/>
  </w:num>
  <w:num w:numId="29">
    <w:abstractNumId w:val="15"/>
  </w:num>
  <w:num w:numId="30">
    <w:abstractNumId w:val="36"/>
  </w:num>
  <w:num w:numId="31">
    <w:abstractNumId w:val="18"/>
  </w:num>
  <w:num w:numId="32">
    <w:abstractNumId w:val="21"/>
  </w:num>
  <w:num w:numId="33">
    <w:abstractNumId w:val="3"/>
  </w:num>
  <w:num w:numId="34">
    <w:abstractNumId w:val="32"/>
  </w:num>
  <w:num w:numId="35">
    <w:abstractNumId w:val="13"/>
  </w:num>
  <w:num w:numId="36">
    <w:abstractNumId w:val="20"/>
  </w:num>
  <w:num w:numId="37">
    <w:abstractNumId w:val="33"/>
  </w:num>
  <w:num w:numId="38">
    <w:abstractNumId w:val="34"/>
  </w:num>
  <w:num w:numId="39">
    <w:abstractNumId w:val="35"/>
  </w:num>
  <w:num w:numId="40">
    <w:abstractNumId w:val="26"/>
  </w:num>
  <w:num w:numId="41">
    <w:abstractNumId w:val="29"/>
  </w:num>
  <w:num w:numId="42">
    <w:abstractNumId w:val="24"/>
  </w:num>
  <w:num w:numId="43">
    <w:abstractNumId w:val="7"/>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EwMjI1NzMwNbSwMDRV0lEKTi0uzszPAykwqQUAnmRdkCwAAAA="/>
  </w:docVars>
  <w:rsids>
    <w:rsidRoot w:val="00171AA2"/>
    <w:rsid w:val="00007B05"/>
    <w:rsid w:val="00012554"/>
    <w:rsid w:val="0001273D"/>
    <w:rsid w:val="000137A8"/>
    <w:rsid w:val="00016705"/>
    <w:rsid w:val="00052638"/>
    <w:rsid w:val="0005360C"/>
    <w:rsid w:val="00060257"/>
    <w:rsid w:val="00061CBD"/>
    <w:rsid w:val="000663B6"/>
    <w:rsid w:val="00094F1E"/>
    <w:rsid w:val="000A5E8D"/>
    <w:rsid w:val="000B0FFD"/>
    <w:rsid w:val="000C2422"/>
    <w:rsid w:val="000D0D4C"/>
    <w:rsid w:val="000E041A"/>
    <w:rsid w:val="000E7085"/>
    <w:rsid w:val="000F252C"/>
    <w:rsid w:val="00104409"/>
    <w:rsid w:val="001220D4"/>
    <w:rsid w:val="00126F95"/>
    <w:rsid w:val="001358E6"/>
    <w:rsid w:val="00135C28"/>
    <w:rsid w:val="001370A2"/>
    <w:rsid w:val="001542B1"/>
    <w:rsid w:val="0015496A"/>
    <w:rsid w:val="00162093"/>
    <w:rsid w:val="00163151"/>
    <w:rsid w:val="00171AA2"/>
    <w:rsid w:val="001735D9"/>
    <w:rsid w:val="00190782"/>
    <w:rsid w:val="001B1B0A"/>
    <w:rsid w:val="001D0903"/>
    <w:rsid w:val="001D25A3"/>
    <w:rsid w:val="001D52FA"/>
    <w:rsid w:val="001D73D8"/>
    <w:rsid w:val="001D7EDC"/>
    <w:rsid w:val="001E28D4"/>
    <w:rsid w:val="001E71D1"/>
    <w:rsid w:val="002169D2"/>
    <w:rsid w:val="00227EB6"/>
    <w:rsid w:val="00235E00"/>
    <w:rsid w:val="00236AE9"/>
    <w:rsid w:val="0024186A"/>
    <w:rsid w:val="00253A33"/>
    <w:rsid w:val="00255178"/>
    <w:rsid w:val="00267B7B"/>
    <w:rsid w:val="002716A4"/>
    <w:rsid w:val="002812E0"/>
    <w:rsid w:val="0028461B"/>
    <w:rsid w:val="00285732"/>
    <w:rsid w:val="002B2AEC"/>
    <w:rsid w:val="002C2ECA"/>
    <w:rsid w:val="002C363B"/>
    <w:rsid w:val="002C6371"/>
    <w:rsid w:val="002D2B05"/>
    <w:rsid w:val="002D5939"/>
    <w:rsid w:val="002D5A10"/>
    <w:rsid w:val="002E076E"/>
    <w:rsid w:val="002E45A0"/>
    <w:rsid w:val="002E4E47"/>
    <w:rsid w:val="002E5162"/>
    <w:rsid w:val="002E67AE"/>
    <w:rsid w:val="002F0D27"/>
    <w:rsid w:val="003004C8"/>
    <w:rsid w:val="003077CC"/>
    <w:rsid w:val="0031493F"/>
    <w:rsid w:val="00316A3D"/>
    <w:rsid w:val="00320378"/>
    <w:rsid w:val="00333F09"/>
    <w:rsid w:val="003415CA"/>
    <w:rsid w:val="00342895"/>
    <w:rsid w:val="0034499E"/>
    <w:rsid w:val="00345C43"/>
    <w:rsid w:val="00370905"/>
    <w:rsid w:val="00371857"/>
    <w:rsid w:val="003728F4"/>
    <w:rsid w:val="00374F6F"/>
    <w:rsid w:val="003750E9"/>
    <w:rsid w:val="00383DBC"/>
    <w:rsid w:val="00391D78"/>
    <w:rsid w:val="003A0C26"/>
    <w:rsid w:val="003A155D"/>
    <w:rsid w:val="003A533B"/>
    <w:rsid w:val="003A537A"/>
    <w:rsid w:val="003B44A4"/>
    <w:rsid w:val="003C61FF"/>
    <w:rsid w:val="003D2C40"/>
    <w:rsid w:val="003D7842"/>
    <w:rsid w:val="003E09B5"/>
    <w:rsid w:val="003E2242"/>
    <w:rsid w:val="003E7851"/>
    <w:rsid w:val="003F0938"/>
    <w:rsid w:val="00405D4C"/>
    <w:rsid w:val="00414CDE"/>
    <w:rsid w:val="00423817"/>
    <w:rsid w:val="00424788"/>
    <w:rsid w:val="00425306"/>
    <w:rsid w:val="00434F16"/>
    <w:rsid w:val="00441021"/>
    <w:rsid w:val="00441701"/>
    <w:rsid w:val="0044368D"/>
    <w:rsid w:val="00443D71"/>
    <w:rsid w:val="00455BFA"/>
    <w:rsid w:val="00472467"/>
    <w:rsid w:val="0048046F"/>
    <w:rsid w:val="00482CD3"/>
    <w:rsid w:val="004830E0"/>
    <w:rsid w:val="0048426F"/>
    <w:rsid w:val="00487D69"/>
    <w:rsid w:val="004923A6"/>
    <w:rsid w:val="0049296A"/>
    <w:rsid w:val="00492B70"/>
    <w:rsid w:val="00496615"/>
    <w:rsid w:val="00497E41"/>
    <w:rsid w:val="004A288C"/>
    <w:rsid w:val="004A2B13"/>
    <w:rsid w:val="004A72CC"/>
    <w:rsid w:val="004A7F6A"/>
    <w:rsid w:val="004B0058"/>
    <w:rsid w:val="004B297F"/>
    <w:rsid w:val="004B41A2"/>
    <w:rsid w:val="004B53AC"/>
    <w:rsid w:val="004C02C9"/>
    <w:rsid w:val="004C057B"/>
    <w:rsid w:val="004C0B7C"/>
    <w:rsid w:val="004C16EC"/>
    <w:rsid w:val="004C21CE"/>
    <w:rsid w:val="004D2910"/>
    <w:rsid w:val="004E1450"/>
    <w:rsid w:val="004E6FA4"/>
    <w:rsid w:val="004F0B22"/>
    <w:rsid w:val="004F1D13"/>
    <w:rsid w:val="004F38D2"/>
    <w:rsid w:val="00500B90"/>
    <w:rsid w:val="00500DA8"/>
    <w:rsid w:val="005129CA"/>
    <w:rsid w:val="00514FC1"/>
    <w:rsid w:val="00516E57"/>
    <w:rsid w:val="00521C4D"/>
    <w:rsid w:val="00536F71"/>
    <w:rsid w:val="00537106"/>
    <w:rsid w:val="00547CC6"/>
    <w:rsid w:val="00553F63"/>
    <w:rsid w:val="00554BBE"/>
    <w:rsid w:val="00556184"/>
    <w:rsid w:val="00563860"/>
    <w:rsid w:val="00564B85"/>
    <w:rsid w:val="00565D35"/>
    <w:rsid w:val="00573545"/>
    <w:rsid w:val="00577002"/>
    <w:rsid w:val="00583ED4"/>
    <w:rsid w:val="005865B7"/>
    <w:rsid w:val="00596281"/>
    <w:rsid w:val="005A0ECB"/>
    <w:rsid w:val="005A25A1"/>
    <w:rsid w:val="005B3625"/>
    <w:rsid w:val="005B4BF2"/>
    <w:rsid w:val="005C5A98"/>
    <w:rsid w:val="005D4CB1"/>
    <w:rsid w:val="005D67E5"/>
    <w:rsid w:val="005E2BD9"/>
    <w:rsid w:val="005E3DDE"/>
    <w:rsid w:val="005F5D21"/>
    <w:rsid w:val="00600CD3"/>
    <w:rsid w:val="00611BD3"/>
    <w:rsid w:val="00612C37"/>
    <w:rsid w:val="00616078"/>
    <w:rsid w:val="0063189C"/>
    <w:rsid w:val="00642B77"/>
    <w:rsid w:val="006443B0"/>
    <w:rsid w:val="00646634"/>
    <w:rsid w:val="00651447"/>
    <w:rsid w:val="00651E7D"/>
    <w:rsid w:val="00660DDB"/>
    <w:rsid w:val="006616C6"/>
    <w:rsid w:val="00663352"/>
    <w:rsid w:val="0066542C"/>
    <w:rsid w:val="00666BBF"/>
    <w:rsid w:val="006709CA"/>
    <w:rsid w:val="00674FA1"/>
    <w:rsid w:val="0069274E"/>
    <w:rsid w:val="006930B8"/>
    <w:rsid w:val="006A7A07"/>
    <w:rsid w:val="006B69C8"/>
    <w:rsid w:val="006C5914"/>
    <w:rsid w:val="006D5439"/>
    <w:rsid w:val="006D7D4F"/>
    <w:rsid w:val="006F3FF5"/>
    <w:rsid w:val="006F61F3"/>
    <w:rsid w:val="00700FF2"/>
    <w:rsid w:val="00712F67"/>
    <w:rsid w:val="00717085"/>
    <w:rsid w:val="00717C8E"/>
    <w:rsid w:val="00717DA4"/>
    <w:rsid w:val="00720381"/>
    <w:rsid w:val="007320AC"/>
    <w:rsid w:val="00735FF1"/>
    <w:rsid w:val="0074368E"/>
    <w:rsid w:val="00765BC6"/>
    <w:rsid w:val="007665D7"/>
    <w:rsid w:val="00774718"/>
    <w:rsid w:val="00782D5D"/>
    <w:rsid w:val="00784044"/>
    <w:rsid w:val="00785496"/>
    <w:rsid w:val="00795446"/>
    <w:rsid w:val="007A1C7F"/>
    <w:rsid w:val="007A5512"/>
    <w:rsid w:val="007B1C5F"/>
    <w:rsid w:val="007B1C81"/>
    <w:rsid w:val="007D3730"/>
    <w:rsid w:val="007D6588"/>
    <w:rsid w:val="007E2716"/>
    <w:rsid w:val="007E4126"/>
    <w:rsid w:val="007F3DCE"/>
    <w:rsid w:val="007F7642"/>
    <w:rsid w:val="008039B1"/>
    <w:rsid w:val="00805A96"/>
    <w:rsid w:val="00812828"/>
    <w:rsid w:val="008135FC"/>
    <w:rsid w:val="00815AAA"/>
    <w:rsid w:val="0081662D"/>
    <w:rsid w:val="00827FDB"/>
    <w:rsid w:val="00830028"/>
    <w:rsid w:val="0083240E"/>
    <w:rsid w:val="008612D9"/>
    <w:rsid w:val="00861A1B"/>
    <w:rsid w:val="008A56C5"/>
    <w:rsid w:val="008B25A9"/>
    <w:rsid w:val="008B5DBA"/>
    <w:rsid w:val="008C17BC"/>
    <w:rsid w:val="008C5207"/>
    <w:rsid w:val="008C5BA5"/>
    <w:rsid w:val="008C651B"/>
    <w:rsid w:val="008D1CBC"/>
    <w:rsid w:val="008E2658"/>
    <w:rsid w:val="008E413A"/>
    <w:rsid w:val="008F486B"/>
    <w:rsid w:val="00903EC4"/>
    <w:rsid w:val="00906576"/>
    <w:rsid w:val="00911E66"/>
    <w:rsid w:val="00911E72"/>
    <w:rsid w:val="009132E4"/>
    <w:rsid w:val="00930FD0"/>
    <w:rsid w:val="00933150"/>
    <w:rsid w:val="009333DC"/>
    <w:rsid w:val="00937975"/>
    <w:rsid w:val="009411D6"/>
    <w:rsid w:val="0095576E"/>
    <w:rsid w:val="009620C3"/>
    <w:rsid w:val="00965698"/>
    <w:rsid w:val="00972273"/>
    <w:rsid w:val="00973F3A"/>
    <w:rsid w:val="00980E78"/>
    <w:rsid w:val="00992228"/>
    <w:rsid w:val="00996F3E"/>
    <w:rsid w:val="009B4958"/>
    <w:rsid w:val="009C1672"/>
    <w:rsid w:val="009D16B1"/>
    <w:rsid w:val="009E0806"/>
    <w:rsid w:val="009E2CE2"/>
    <w:rsid w:val="009F4347"/>
    <w:rsid w:val="009F6D6D"/>
    <w:rsid w:val="00A059AD"/>
    <w:rsid w:val="00A079B0"/>
    <w:rsid w:val="00A1651E"/>
    <w:rsid w:val="00A219E1"/>
    <w:rsid w:val="00A242F3"/>
    <w:rsid w:val="00A30357"/>
    <w:rsid w:val="00A31119"/>
    <w:rsid w:val="00A31CD0"/>
    <w:rsid w:val="00A33968"/>
    <w:rsid w:val="00A45624"/>
    <w:rsid w:val="00A52B3C"/>
    <w:rsid w:val="00A64B3E"/>
    <w:rsid w:val="00A661E3"/>
    <w:rsid w:val="00A73FA1"/>
    <w:rsid w:val="00A77E5C"/>
    <w:rsid w:val="00A80B85"/>
    <w:rsid w:val="00A830A7"/>
    <w:rsid w:val="00A840A8"/>
    <w:rsid w:val="00A86AC4"/>
    <w:rsid w:val="00A966C0"/>
    <w:rsid w:val="00AB2ED0"/>
    <w:rsid w:val="00AB725F"/>
    <w:rsid w:val="00AC7C46"/>
    <w:rsid w:val="00AD0B06"/>
    <w:rsid w:val="00AE6841"/>
    <w:rsid w:val="00B03440"/>
    <w:rsid w:val="00B03451"/>
    <w:rsid w:val="00B1742B"/>
    <w:rsid w:val="00B32843"/>
    <w:rsid w:val="00B400A7"/>
    <w:rsid w:val="00B606BC"/>
    <w:rsid w:val="00B622BB"/>
    <w:rsid w:val="00B81974"/>
    <w:rsid w:val="00B9313C"/>
    <w:rsid w:val="00BA541A"/>
    <w:rsid w:val="00BC3DAD"/>
    <w:rsid w:val="00BC7233"/>
    <w:rsid w:val="00BD513B"/>
    <w:rsid w:val="00BE0EB5"/>
    <w:rsid w:val="00BE5ED7"/>
    <w:rsid w:val="00BF7BF6"/>
    <w:rsid w:val="00C03F5D"/>
    <w:rsid w:val="00C06DD3"/>
    <w:rsid w:val="00C13985"/>
    <w:rsid w:val="00C173CC"/>
    <w:rsid w:val="00C34AB7"/>
    <w:rsid w:val="00C449B3"/>
    <w:rsid w:val="00C46A18"/>
    <w:rsid w:val="00C55719"/>
    <w:rsid w:val="00C746BC"/>
    <w:rsid w:val="00C80C06"/>
    <w:rsid w:val="00C81E78"/>
    <w:rsid w:val="00C912D0"/>
    <w:rsid w:val="00C94822"/>
    <w:rsid w:val="00C954FF"/>
    <w:rsid w:val="00C9626B"/>
    <w:rsid w:val="00CA0BE2"/>
    <w:rsid w:val="00CA3CC4"/>
    <w:rsid w:val="00CA5AEC"/>
    <w:rsid w:val="00CC1C7F"/>
    <w:rsid w:val="00CC41D6"/>
    <w:rsid w:val="00CD084B"/>
    <w:rsid w:val="00CD1E74"/>
    <w:rsid w:val="00CF1A2B"/>
    <w:rsid w:val="00CF4803"/>
    <w:rsid w:val="00D3018B"/>
    <w:rsid w:val="00D31655"/>
    <w:rsid w:val="00D32F08"/>
    <w:rsid w:val="00D366A4"/>
    <w:rsid w:val="00D56712"/>
    <w:rsid w:val="00D6245F"/>
    <w:rsid w:val="00D6440B"/>
    <w:rsid w:val="00D71E63"/>
    <w:rsid w:val="00D72973"/>
    <w:rsid w:val="00D730A1"/>
    <w:rsid w:val="00D75C61"/>
    <w:rsid w:val="00D77B86"/>
    <w:rsid w:val="00D81B33"/>
    <w:rsid w:val="00D82F84"/>
    <w:rsid w:val="00D901A4"/>
    <w:rsid w:val="00D91E7D"/>
    <w:rsid w:val="00D92735"/>
    <w:rsid w:val="00D955CA"/>
    <w:rsid w:val="00DB1A42"/>
    <w:rsid w:val="00DB2984"/>
    <w:rsid w:val="00DB434B"/>
    <w:rsid w:val="00DB4B19"/>
    <w:rsid w:val="00DC05F4"/>
    <w:rsid w:val="00DC26C7"/>
    <w:rsid w:val="00DC521E"/>
    <w:rsid w:val="00DC5E04"/>
    <w:rsid w:val="00DD3D2A"/>
    <w:rsid w:val="00DD4E1C"/>
    <w:rsid w:val="00DD76D8"/>
    <w:rsid w:val="00DE40EA"/>
    <w:rsid w:val="00DE7406"/>
    <w:rsid w:val="00DF280D"/>
    <w:rsid w:val="00DF322C"/>
    <w:rsid w:val="00DF3EC3"/>
    <w:rsid w:val="00DF6AAB"/>
    <w:rsid w:val="00E02162"/>
    <w:rsid w:val="00E031C8"/>
    <w:rsid w:val="00E03D4A"/>
    <w:rsid w:val="00E1114C"/>
    <w:rsid w:val="00E113AD"/>
    <w:rsid w:val="00E72D0D"/>
    <w:rsid w:val="00E75A59"/>
    <w:rsid w:val="00E8650A"/>
    <w:rsid w:val="00E95FE6"/>
    <w:rsid w:val="00E9747E"/>
    <w:rsid w:val="00EA2618"/>
    <w:rsid w:val="00EB31D3"/>
    <w:rsid w:val="00EB3653"/>
    <w:rsid w:val="00EB3C89"/>
    <w:rsid w:val="00EB505C"/>
    <w:rsid w:val="00ED635A"/>
    <w:rsid w:val="00EE007E"/>
    <w:rsid w:val="00EE4AA0"/>
    <w:rsid w:val="00EE68ED"/>
    <w:rsid w:val="00EE6B0D"/>
    <w:rsid w:val="00EE7079"/>
    <w:rsid w:val="00F03E27"/>
    <w:rsid w:val="00F05752"/>
    <w:rsid w:val="00F11CC4"/>
    <w:rsid w:val="00F2390F"/>
    <w:rsid w:val="00F27751"/>
    <w:rsid w:val="00F41200"/>
    <w:rsid w:val="00F41D57"/>
    <w:rsid w:val="00F7320C"/>
    <w:rsid w:val="00F83A70"/>
    <w:rsid w:val="00F936A2"/>
    <w:rsid w:val="00F95E44"/>
    <w:rsid w:val="00F95EFB"/>
    <w:rsid w:val="00FA3DA9"/>
    <w:rsid w:val="00FA799F"/>
    <w:rsid w:val="00FB5E12"/>
    <w:rsid w:val="00FB6A75"/>
    <w:rsid w:val="00FD0AD6"/>
    <w:rsid w:val="00FD35D4"/>
    <w:rsid w:val="00FD4339"/>
    <w:rsid w:val="00FD5C18"/>
    <w:rsid w:val="00FE3B04"/>
    <w:rsid w:val="00FE43B6"/>
    <w:rsid w:val="00FF2BC6"/>
    <w:rsid w:val="00FF5F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4B5130-A439-447A-B45B-1FC26D26D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Batang"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3F63"/>
    <w:pPr>
      <w:spacing w:after="200" w:line="276" w:lineRule="auto"/>
    </w:pPr>
    <w:rPr>
      <w:sz w:val="22"/>
      <w:szCs w:val="22"/>
      <w:lang w:val="en-GB"/>
    </w:rPr>
  </w:style>
  <w:style w:type="paragraph" w:styleId="Heading1">
    <w:name w:val="heading 1"/>
    <w:basedOn w:val="Normal"/>
    <w:next w:val="Normal"/>
    <w:link w:val="Heading1Char"/>
    <w:uiPriority w:val="9"/>
    <w:qFormat/>
    <w:rsid w:val="00ED635A"/>
    <w:pPr>
      <w:keepNext/>
      <w:spacing w:after="0" w:line="480" w:lineRule="auto"/>
      <w:jc w:val="center"/>
      <w:outlineLvl w:val="0"/>
    </w:pPr>
    <w:rPr>
      <w:rFonts w:ascii="Times New Roman" w:eastAsia="Times New Roman" w:hAnsi="Times New Roman"/>
      <w:b/>
      <w:bCs/>
      <w:sz w:val="20"/>
      <w:szCs w:val="20"/>
      <w:lang w:val="en-US"/>
    </w:rPr>
  </w:style>
  <w:style w:type="paragraph" w:styleId="Heading2">
    <w:name w:val="heading 2"/>
    <w:basedOn w:val="Normal"/>
    <w:next w:val="Normal"/>
    <w:link w:val="Heading2Char"/>
    <w:unhideWhenUsed/>
    <w:qFormat/>
    <w:rsid w:val="00ED635A"/>
    <w:pPr>
      <w:keepNext/>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uiPriority w:val="9"/>
    <w:semiHidden/>
    <w:unhideWhenUsed/>
    <w:qFormat/>
    <w:rsid w:val="0049296A"/>
    <w:pPr>
      <w:keepNext/>
      <w:keepLines/>
      <w:spacing w:before="200" w:after="0"/>
      <w:outlineLvl w:val="2"/>
    </w:pPr>
    <w:rPr>
      <w:rFonts w:ascii="Cambria" w:eastAsia="Malgun Gothic"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D635A"/>
  </w:style>
  <w:style w:type="character" w:styleId="Emphasis">
    <w:name w:val="Emphasis"/>
    <w:basedOn w:val="DefaultParagraphFont"/>
    <w:uiPriority w:val="20"/>
    <w:qFormat/>
    <w:rsid w:val="00ED635A"/>
    <w:rPr>
      <w:i/>
      <w:iCs/>
    </w:rPr>
  </w:style>
  <w:style w:type="character" w:customStyle="1" w:styleId="Heading1Char">
    <w:name w:val="Heading 1 Char"/>
    <w:basedOn w:val="DefaultParagraphFont"/>
    <w:link w:val="Heading1"/>
    <w:uiPriority w:val="9"/>
    <w:rsid w:val="00ED635A"/>
    <w:rPr>
      <w:rFonts w:ascii="Times New Roman" w:eastAsia="Times New Roman" w:hAnsi="Times New Roman" w:cs="Times New Roman"/>
      <w:b/>
      <w:bCs/>
      <w:sz w:val="20"/>
      <w:szCs w:val="20"/>
      <w:lang w:val="en-US"/>
    </w:rPr>
  </w:style>
  <w:style w:type="character" w:customStyle="1" w:styleId="Heading2Char">
    <w:name w:val="Heading 2 Char"/>
    <w:basedOn w:val="DefaultParagraphFont"/>
    <w:link w:val="Heading2"/>
    <w:rsid w:val="00ED635A"/>
    <w:rPr>
      <w:rFonts w:ascii="Arial" w:eastAsia="Times New Roman" w:hAnsi="Arial" w:cs="Arial"/>
      <w:b/>
      <w:bCs/>
      <w:i/>
      <w:iCs/>
      <w:sz w:val="28"/>
      <w:szCs w:val="28"/>
      <w:lang w:val="en-US"/>
    </w:rPr>
  </w:style>
  <w:style w:type="character" w:styleId="Hyperlink">
    <w:name w:val="Hyperlink"/>
    <w:uiPriority w:val="99"/>
    <w:unhideWhenUsed/>
    <w:rsid w:val="00ED635A"/>
    <w:rPr>
      <w:color w:val="0000FF"/>
      <w:u w:val="single"/>
    </w:rPr>
  </w:style>
  <w:style w:type="paragraph" w:styleId="FootnoteText">
    <w:name w:val="footnote text"/>
    <w:basedOn w:val="Normal"/>
    <w:link w:val="FootnoteTextChar"/>
    <w:uiPriority w:val="99"/>
    <w:unhideWhenUsed/>
    <w:qFormat/>
    <w:rsid w:val="00ED635A"/>
    <w:pPr>
      <w:spacing w:after="0" w:line="240" w:lineRule="auto"/>
    </w:pPr>
    <w:rPr>
      <w:rFonts w:ascii="Times New Roman" w:eastAsia="Times New Roman" w:hAnsi="Times New Roman" w:cs="Traditional Arabic"/>
      <w:sz w:val="20"/>
      <w:szCs w:val="20"/>
      <w:lang w:val="en-US" w:eastAsia="ko-KR"/>
    </w:rPr>
  </w:style>
  <w:style w:type="character" w:customStyle="1" w:styleId="FootnoteTextChar">
    <w:name w:val="Footnote Text Char"/>
    <w:basedOn w:val="DefaultParagraphFont"/>
    <w:link w:val="FootnoteText"/>
    <w:uiPriority w:val="99"/>
    <w:qFormat/>
    <w:rsid w:val="00ED635A"/>
    <w:rPr>
      <w:rFonts w:ascii="Times New Roman" w:eastAsia="Times New Roman" w:hAnsi="Times New Roman" w:cs="Traditional Arabic"/>
      <w:sz w:val="20"/>
      <w:szCs w:val="20"/>
      <w:lang w:val="en-US" w:eastAsia="ko-KR"/>
    </w:rPr>
  </w:style>
  <w:style w:type="paragraph" w:styleId="Title">
    <w:name w:val="Title"/>
    <w:basedOn w:val="Normal"/>
    <w:link w:val="TitleChar"/>
    <w:uiPriority w:val="99"/>
    <w:qFormat/>
    <w:rsid w:val="00ED635A"/>
    <w:pPr>
      <w:spacing w:after="0" w:line="240" w:lineRule="auto"/>
      <w:jc w:val="center"/>
    </w:pPr>
    <w:rPr>
      <w:rFonts w:ascii="Times New Roman" w:eastAsia="Times New Roman" w:hAnsi="Times New Roman"/>
      <w:b/>
      <w:bCs/>
      <w:sz w:val="28"/>
      <w:szCs w:val="24"/>
      <w:lang w:val="id-ID"/>
    </w:rPr>
  </w:style>
  <w:style w:type="character" w:customStyle="1" w:styleId="TitleChar">
    <w:name w:val="Title Char"/>
    <w:basedOn w:val="DefaultParagraphFont"/>
    <w:link w:val="Title"/>
    <w:uiPriority w:val="99"/>
    <w:rsid w:val="00ED635A"/>
    <w:rPr>
      <w:rFonts w:ascii="Times New Roman" w:eastAsia="Times New Roman" w:hAnsi="Times New Roman" w:cs="Times New Roman"/>
      <w:b/>
      <w:bCs/>
      <w:sz w:val="28"/>
      <w:szCs w:val="24"/>
    </w:rPr>
  </w:style>
  <w:style w:type="paragraph" w:styleId="NoSpacing">
    <w:name w:val="No Spacing"/>
    <w:qFormat/>
    <w:rsid w:val="00ED635A"/>
    <w:rPr>
      <w:rFonts w:eastAsia="Calibri"/>
      <w:sz w:val="22"/>
      <w:szCs w:val="22"/>
    </w:rPr>
  </w:style>
  <w:style w:type="paragraph" w:customStyle="1" w:styleId="Reference">
    <w:name w:val="Reference"/>
    <w:basedOn w:val="Normal"/>
    <w:rsid w:val="00ED635A"/>
    <w:pPr>
      <w:widowControl w:val="0"/>
      <w:autoSpaceDE w:val="0"/>
      <w:autoSpaceDN w:val="0"/>
      <w:adjustRightInd w:val="0"/>
      <w:spacing w:before="60" w:after="60" w:line="240" w:lineRule="auto"/>
      <w:ind w:left="288" w:hanging="288"/>
      <w:jc w:val="both"/>
    </w:pPr>
    <w:rPr>
      <w:rFonts w:ascii="Times New Roman" w:eastAsia="BatangChe" w:hAnsi="Times New Roman"/>
      <w:sz w:val="20"/>
      <w:szCs w:val="20"/>
      <w:lang w:val="en-US" w:eastAsia="ko-KR"/>
    </w:rPr>
  </w:style>
  <w:style w:type="paragraph" w:customStyle="1" w:styleId="IEEEReferenceItem">
    <w:name w:val="IEEE Reference Item"/>
    <w:basedOn w:val="Normal"/>
    <w:rsid w:val="00ED635A"/>
    <w:pPr>
      <w:adjustRightInd w:val="0"/>
      <w:snapToGrid w:val="0"/>
      <w:spacing w:after="0" w:line="240" w:lineRule="auto"/>
      <w:ind w:left="360" w:hanging="360"/>
      <w:jc w:val="both"/>
    </w:pPr>
    <w:rPr>
      <w:rFonts w:ascii="Times New Roman" w:eastAsia="SimSun" w:hAnsi="Times New Roman"/>
      <w:sz w:val="16"/>
      <w:szCs w:val="24"/>
      <w:lang w:val="en-US" w:eastAsia="zh-CN"/>
    </w:rPr>
  </w:style>
  <w:style w:type="character" w:styleId="FootnoteReference">
    <w:name w:val="footnote reference"/>
    <w:uiPriority w:val="99"/>
    <w:semiHidden/>
    <w:unhideWhenUsed/>
    <w:rsid w:val="00ED635A"/>
    <w:rPr>
      <w:vertAlign w:val="superscript"/>
    </w:rPr>
  </w:style>
  <w:style w:type="character" w:customStyle="1" w:styleId="longtext">
    <w:name w:val="long_text"/>
    <w:basedOn w:val="DefaultParagraphFont"/>
    <w:rsid w:val="00ED635A"/>
  </w:style>
  <w:style w:type="character" w:customStyle="1" w:styleId="hps">
    <w:name w:val="hps"/>
    <w:basedOn w:val="DefaultParagraphFont"/>
    <w:rsid w:val="00ED635A"/>
  </w:style>
  <w:style w:type="character" w:customStyle="1" w:styleId="atn">
    <w:name w:val="atn"/>
    <w:basedOn w:val="DefaultParagraphFont"/>
    <w:rsid w:val="00ED635A"/>
  </w:style>
  <w:style w:type="paragraph" w:styleId="Header">
    <w:name w:val="header"/>
    <w:basedOn w:val="Normal"/>
    <w:link w:val="HeaderChar"/>
    <w:uiPriority w:val="99"/>
    <w:unhideWhenUsed/>
    <w:rsid w:val="00ED63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635A"/>
    <w:rPr>
      <w:lang w:val="en-GB"/>
    </w:rPr>
  </w:style>
  <w:style w:type="paragraph" w:styleId="Footer">
    <w:name w:val="footer"/>
    <w:basedOn w:val="Normal"/>
    <w:link w:val="FooterChar"/>
    <w:uiPriority w:val="99"/>
    <w:unhideWhenUsed/>
    <w:rsid w:val="00ED63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635A"/>
    <w:rPr>
      <w:lang w:val="en-GB"/>
    </w:rPr>
  </w:style>
  <w:style w:type="paragraph" w:styleId="BalloonText">
    <w:name w:val="Balloon Text"/>
    <w:basedOn w:val="Normal"/>
    <w:link w:val="BalloonTextChar"/>
    <w:uiPriority w:val="99"/>
    <w:semiHidden/>
    <w:unhideWhenUsed/>
    <w:rsid w:val="00ED63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35A"/>
    <w:rPr>
      <w:rFonts w:ascii="Tahoma" w:hAnsi="Tahoma" w:cs="Tahoma"/>
      <w:sz w:val="16"/>
      <w:szCs w:val="16"/>
      <w:lang w:val="en-GB"/>
    </w:rPr>
  </w:style>
  <w:style w:type="paragraph" w:customStyle="1" w:styleId="Default">
    <w:name w:val="Default"/>
    <w:rsid w:val="00646634"/>
    <w:pPr>
      <w:autoSpaceDE w:val="0"/>
      <w:autoSpaceDN w:val="0"/>
      <w:adjustRightInd w:val="0"/>
    </w:pPr>
    <w:rPr>
      <w:rFonts w:ascii="Times New Roman" w:eastAsia="Calibri" w:hAnsi="Times New Roman"/>
      <w:color w:val="000000"/>
      <w:sz w:val="24"/>
      <w:szCs w:val="24"/>
      <w:lang w:val="id-ID"/>
    </w:rPr>
  </w:style>
  <w:style w:type="paragraph" w:styleId="ListParagraph">
    <w:name w:val="List Paragraph"/>
    <w:basedOn w:val="Normal"/>
    <w:uiPriority w:val="34"/>
    <w:qFormat/>
    <w:rsid w:val="00646634"/>
    <w:pPr>
      <w:ind w:left="720"/>
      <w:contextualSpacing/>
    </w:pPr>
  </w:style>
  <w:style w:type="character" w:styleId="CommentReference">
    <w:name w:val="annotation reference"/>
    <w:basedOn w:val="DefaultParagraphFont"/>
    <w:uiPriority w:val="99"/>
    <w:semiHidden/>
    <w:unhideWhenUsed/>
    <w:rsid w:val="0015496A"/>
    <w:rPr>
      <w:sz w:val="16"/>
      <w:szCs w:val="16"/>
    </w:rPr>
  </w:style>
  <w:style w:type="paragraph" w:styleId="CommentText">
    <w:name w:val="annotation text"/>
    <w:basedOn w:val="Normal"/>
    <w:link w:val="CommentTextChar"/>
    <w:uiPriority w:val="99"/>
    <w:semiHidden/>
    <w:unhideWhenUsed/>
    <w:rsid w:val="0015496A"/>
    <w:pPr>
      <w:spacing w:line="240" w:lineRule="auto"/>
    </w:pPr>
    <w:rPr>
      <w:sz w:val="20"/>
      <w:szCs w:val="20"/>
    </w:rPr>
  </w:style>
  <w:style w:type="character" w:customStyle="1" w:styleId="CommentTextChar">
    <w:name w:val="Comment Text Char"/>
    <w:basedOn w:val="DefaultParagraphFont"/>
    <w:link w:val="CommentText"/>
    <w:uiPriority w:val="99"/>
    <w:semiHidden/>
    <w:rsid w:val="0015496A"/>
    <w:rPr>
      <w:sz w:val="20"/>
      <w:szCs w:val="20"/>
      <w:lang w:val="en-GB"/>
    </w:rPr>
  </w:style>
  <w:style w:type="paragraph" w:styleId="CommentSubject">
    <w:name w:val="annotation subject"/>
    <w:basedOn w:val="CommentText"/>
    <w:next w:val="CommentText"/>
    <w:link w:val="CommentSubjectChar"/>
    <w:uiPriority w:val="99"/>
    <w:semiHidden/>
    <w:unhideWhenUsed/>
    <w:rsid w:val="0015496A"/>
    <w:rPr>
      <w:b/>
      <w:bCs/>
    </w:rPr>
  </w:style>
  <w:style w:type="character" w:customStyle="1" w:styleId="CommentSubjectChar">
    <w:name w:val="Comment Subject Char"/>
    <w:basedOn w:val="CommentTextChar"/>
    <w:link w:val="CommentSubject"/>
    <w:uiPriority w:val="99"/>
    <w:semiHidden/>
    <w:rsid w:val="0015496A"/>
    <w:rPr>
      <w:b/>
      <w:bCs/>
      <w:sz w:val="20"/>
      <w:szCs w:val="20"/>
      <w:lang w:val="en-GB"/>
    </w:rPr>
  </w:style>
  <w:style w:type="table" w:styleId="TableGrid">
    <w:name w:val="Table Grid"/>
    <w:basedOn w:val="TableNormal"/>
    <w:uiPriority w:val="59"/>
    <w:rsid w:val="00600C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0">
    <w:name w:val="reference"/>
    <w:basedOn w:val="Normal"/>
    <w:rsid w:val="00C13985"/>
    <w:pPr>
      <w:spacing w:before="100" w:beforeAutospacing="1" w:after="100" w:afterAutospacing="1" w:line="240" w:lineRule="auto"/>
    </w:pPr>
    <w:rPr>
      <w:rFonts w:ascii="Times New Roman" w:eastAsia="Times New Roman" w:hAnsi="Times New Roman"/>
      <w:sz w:val="24"/>
      <w:szCs w:val="24"/>
      <w:lang w:val="id-ID" w:eastAsia="id-ID"/>
    </w:rPr>
  </w:style>
  <w:style w:type="character" w:styleId="Strong">
    <w:name w:val="Strong"/>
    <w:basedOn w:val="DefaultParagraphFont"/>
    <w:uiPriority w:val="22"/>
    <w:qFormat/>
    <w:rsid w:val="00C13985"/>
    <w:rPr>
      <w:b/>
      <w:bCs/>
    </w:rPr>
  </w:style>
  <w:style w:type="paragraph" w:styleId="NormalWeb">
    <w:name w:val="Normal (Web)"/>
    <w:basedOn w:val="Normal"/>
    <w:uiPriority w:val="99"/>
    <w:semiHidden/>
    <w:unhideWhenUsed/>
    <w:rsid w:val="00C13985"/>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Heading3Char">
    <w:name w:val="Heading 3 Char"/>
    <w:basedOn w:val="DefaultParagraphFont"/>
    <w:link w:val="Heading3"/>
    <w:uiPriority w:val="9"/>
    <w:semiHidden/>
    <w:rsid w:val="0049296A"/>
    <w:rPr>
      <w:rFonts w:ascii="Cambria" w:eastAsia="Malgun Gothic" w:hAnsi="Cambria" w:cs="Times New Roman"/>
      <w:b/>
      <w:bCs/>
      <w:color w:val="4F81BD"/>
      <w:lang w:val="en-GB"/>
    </w:rPr>
  </w:style>
  <w:style w:type="paragraph" w:customStyle="1" w:styleId="sb1f">
    <w:name w:val="sb1f"/>
    <w:basedOn w:val="Normal"/>
    <w:rsid w:val="0049296A"/>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i">
    <w:name w:val="i"/>
    <w:basedOn w:val="DefaultParagraphFont"/>
    <w:rsid w:val="0049296A"/>
  </w:style>
  <w:style w:type="paragraph" w:customStyle="1" w:styleId="sbulf">
    <w:name w:val="sbulf"/>
    <w:basedOn w:val="Normal"/>
    <w:rsid w:val="0049296A"/>
    <w:pPr>
      <w:spacing w:before="100" w:beforeAutospacing="1" w:after="100" w:afterAutospacing="1" w:line="240" w:lineRule="auto"/>
    </w:pPr>
    <w:rPr>
      <w:rFonts w:ascii="Times New Roman" w:eastAsia="Times New Roman" w:hAnsi="Times New Roman"/>
      <w:sz w:val="24"/>
      <w:szCs w:val="24"/>
      <w:lang w:val="id-ID" w:eastAsia="id-ID"/>
    </w:rPr>
  </w:style>
  <w:style w:type="paragraph" w:customStyle="1" w:styleId="footnotedescription">
    <w:name w:val="footnote description"/>
    <w:next w:val="Normal"/>
    <w:link w:val="footnotedescriptionChar"/>
    <w:hidden/>
    <w:rsid w:val="00C03F5D"/>
    <w:pPr>
      <w:spacing w:line="259" w:lineRule="auto"/>
    </w:pPr>
    <w:rPr>
      <w:rFonts w:ascii="Times New Roman" w:eastAsia="Times New Roman" w:hAnsi="Times New Roman"/>
      <w:color w:val="000000"/>
      <w:szCs w:val="22"/>
    </w:rPr>
  </w:style>
  <w:style w:type="character" w:customStyle="1" w:styleId="footnotedescriptionChar">
    <w:name w:val="footnote description Char"/>
    <w:link w:val="footnotedescription"/>
    <w:rsid w:val="00C03F5D"/>
    <w:rPr>
      <w:rFonts w:ascii="Times New Roman" w:eastAsia="Times New Roman" w:hAnsi="Times New Roman"/>
      <w:color w:val="000000"/>
      <w:szCs w:val="22"/>
    </w:rPr>
  </w:style>
  <w:style w:type="character" w:customStyle="1" w:styleId="markedcontent">
    <w:name w:val="markedcontent"/>
    <w:basedOn w:val="DefaultParagraphFont"/>
    <w:rsid w:val="0048426F"/>
  </w:style>
  <w:style w:type="character" w:customStyle="1" w:styleId="ezkurwreuab5ozgtqnkl">
    <w:name w:val="ezkurwreuab5ozgtqnkl"/>
    <w:basedOn w:val="DefaultParagraphFont"/>
    <w:rsid w:val="00973F3A"/>
  </w:style>
  <w:style w:type="paragraph" w:styleId="Bibliography">
    <w:name w:val="Bibliography"/>
    <w:basedOn w:val="Normal"/>
    <w:next w:val="Normal"/>
    <w:uiPriority w:val="37"/>
    <w:unhideWhenUsed/>
    <w:rsid w:val="00903EC4"/>
    <w:rPr>
      <w:rFonts w:asciiTheme="minorHAnsi" w:eastAsiaTheme="minorHAnsi" w:hAnsiTheme="minorHAnsi" w:cstheme="minorBidi"/>
      <w:lang w:val="en-US"/>
    </w:rPr>
  </w:style>
  <w:style w:type="character" w:customStyle="1" w:styleId="ypks7kbdpwfgdykd3qb9">
    <w:name w:val="ypks7kbdpwfgdykd3qb9"/>
    <w:basedOn w:val="DefaultParagraphFont"/>
    <w:rsid w:val="003B44A4"/>
  </w:style>
  <w:style w:type="paragraph" w:customStyle="1" w:styleId="CatatanKaki">
    <w:name w:val="Catatan Kaki"/>
    <w:basedOn w:val="Normal"/>
    <w:rsid w:val="00C954FF"/>
    <w:pPr>
      <w:widowControl w:val="0"/>
      <w:suppressLineNumbers/>
      <w:suppressAutoHyphens/>
      <w:spacing w:after="0" w:line="240" w:lineRule="auto"/>
      <w:ind w:left="339" w:hanging="339"/>
    </w:pPr>
    <w:rPr>
      <w:rFonts w:ascii="Liberation Serif" w:eastAsia="Droid Sans Fallback" w:hAnsi="Liberation Serif" w:cs="FreeSans"/>
      <w:sz w:val="20"/>
      <w:szCs w:val="20"/>
      <w:lang w:val="id-ID"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54358">
      <w:bodyDiv w:val="1"/>
      <w:marLeft w:val="0"/>
      <w:marRight w:val="0"/>
      <w:marTop w:val="0"/>
      <w:marBottom w:val="0"/>
      <w:divBdr>
        <w:top w:val="none" w:sz="0" w:space="0" w:color="auto"/>
        <w:left w:val="none" w:sz="0" w:space="0" w:color="auto"/>
        <w:bottom w:val="none" w:sz="0" w:space="0" w:color="auto"/>
        <w:right w:val="none" w:sz="0" w:space="0" w:color="auto"/>
      </w:divBdr>
      <w:divsChild>
        <w:div w:id="1356037869">
          <w:marLeft w:val="0"/>
          <w:marRight w:val="0"/>
          <w:marTop w:val="0"/>
          <w:marBottom w:val="0"/>
          <w:divBdr>
            <w:top w:val="none" w:sz="0" w:space="0" w:color="auto"/>
            <w:left w:val="none" w:sz="0" w:space="0" w:color="auto"/>
            <w:bottom w:val="none" w:sz="0" w:space="0" w:color="auto"/>
            <w:right w:val="none" w:sz="0" w:space="0" w:color="auto"/>
          </w:divBdr>
          <w:divsChild>
            <w:div w:id="127247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5963">
      <w:bodyDiv w:val="1"/>
      <w:marLeft w:val="0"/>
      <w:marRight w:val="0"/>
      <w:marTop w:val="0"/>
      <w:marBottom w:val="0"/>
      <w:divBdr>
        <w:top w:val="none" w:sz="0" w:space="0" w:color="auto"/>
        <w:left w:val="none" w:sz="0" w:space="0" w:color="auto"/>
        <w:bottom w:val="none" w:sz="0" w:space="0" w:color="auto"/>
        <w:right w:val="none" w:sz="0" w:space="0" w:color="auto"/>
      </w:divBdr>
    </w:div>
    <w:div w:id="72052940">
      <w:bodyDiv w:val="1"/>
      <w:marLeft w:val="0"/>
      <w:marRight w:val="0"/>
      <w:marTop w:val="0"/>
      <w:marBottom w:val="0"/>
      <w:divBdr>
        <w:top w:val="none" w:sz="0" w:space="0" w:color="auto"/>
        <w:left w:val="none" w:sz="0" w:space="0" w:color="auto"/>
        <w:bottom w:val="none" w:sz="0" w:space="0" w:color="auto"/>
        <w:right w:val="none" w:sz="0" w:space="0" w:color="auto"/>
      </w:divBdr>
      <w:divsChild>
        <w:div w:id="1509638058">
          <w:marLeft w:val="0"/>
          <w:marRight w:val="0"/>
          <w:marTop w:val="0"/>
          <w:marBottom w:val="0"/>
          <w:divBdr>
            <w:top w:val="none" w:sz="0" w:space="0" w:color="auto"/>
            <w:left w:val="none" w:sz="0" w:space="0" w:color="auto"/>
            <w:bottom w:val="none" w:sz="0" w:space="0" w:color="auto"/>
            <w:right w:val="none" w:sz="0" w:space="0" w:color="auto"/>
          </w:divBdr>
          <w:divsChild>
            <w:div w:id="612399041">
              <w:marLeft w:val="0"/>
              <w:marRight w:val="0"/>
              <w:marTop w:val="0"/>
              <w:marBottom w:val="0"/>
              <w:divBdr>
                <w:top w:val="none" w:sz="0" w:space="0" w:color="auto"/>
                <w:left w:val="none" w:sz="0" w:space="0" w:color="auto"/>
                <w:bottom w:val="none" w:sz="0" w:space="0" w:color="auto"/>
                <w:right w:val="none" w:sz="0" w:space="0" w:color="auto"/>
              </w:divBdr>
              <w:divsChild>
                <w:div w:id="99503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26355">
      <w:bodyDiv w:val="1"/>
      <w:marLeft w:val="0"/>
      <w:marRight w:val="0"/>
      <w:marTop w:val="0"/>
      <w:marBottom w:val="0"/>
      <w:divBdr>
        <w:top w:val="none" w:sz="0" w:space="0" w:color="auto"/>
        <w:left w:val="none" w:sz="0" w:space="0" w:color="auto"/>
        <w:bottom w:val="none" w:sz="0" w:space="0" w:color="auto"/>
        <w:right w:val="none" w:sz="0" w:space="0" w:color="auto"/>
      </w:divBdr>
      <w:divsChild>
        <w:div w:id="1086269540">
          <w:marLeft w:val="0"/>
          <w:marRight w:val="0"/>
          <w:marTop w:val="0"/>
          <w:marBottom w:val="0"/>
          <w:divBdr>
            <w:top w:val="none" w:sz="0" w:space="0" w:color="auto"/>
            <w:left w:val="none" w:sz="0" w:space="0" w:color="auto"/>
            <w:bottom w:val="none" w:sz="0" w:space="0" w:color="auto"/>
            <w:right w:val="none" w:sz="0" w:space="0" w:color="auto"/>
          </w:divBdr>
          <w:divsChild>
            <w:div w:id="1304846591">
              <w:marLeft w:val="0"/>
              <w:marRight w:val="0"/>
              <w:marTop w:val="0"/>
              <w:marBottom w:val="0"/>
              <w:divBdr>
                <w:top w:val="none" w:sz="0" w:space="0" w:color="auto"/>
                <w:left w:val="none" w:sz="0" w:space="0" w:color="auto"/>
                <w:bottom w:val="none" w:sz="0" w:space="0" w:color="auto"/>
                <w:right w:val="none" w:sz="0" w:space="0" w:color="auto"/>
              </w:divBdr>
              <w:divsChild>
                <w:div w:id="72182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14233">
      <w:bodyDiv w:val="1"/>
      <w:marLeft w:val="0"/>
      <w:marRight w:val="0"/>
      <w:marTop w:val="0"/>
      <w:marBottom w:val="0"/>
      <w:divBdr>
        <w:top w:val="none" w:sz="0" w:space="0" w:color="auto"/>
        <w:left w:val="none" w:sz="0" w:space="0" w:color="auto"/>
        <w:bottom w:val="none" w:sz="0" w:space="0" w:color="auto"/>
        <w:right w:val="none" w:sz="0" w:space="0" w:color="auto"/>
      </w:divBdr>
      <w:divsChild>
        <w:div w:id="1945531560">
          <w:marLeft w:val="0"/>
          <w:marRight w:val="0"/>
          <w:marTop w:val="0"/>
          <w:marBottom w:val="0"/>
          <w:divBdr>
            <w:top w:val="none" w:sz="0" w:space="0" w:color="auto"/>
            <w:left w:val="none" w:sz="0" w:space="0" w:color="auto"/>
            <w:bottom w:val="none" w:sz="0" w:space="0" w:color="auto"/>
            <w:right w:val="none" w:sz="0" w:space="0" w:color="auto"/>
          </w:divBdr>
          <w:divsChild>
            <w:div w:id="277026080">
              <w:marLeft w:val="0"/>
              <w:marRight w:val="0"/>
              <w:marTop w:val="0"/>
              <w:marBottom w:val="0"/>
              <w:divBdr>
                <w:top w:val="none" w:sz="0" w:space="0" w:color="auto"/>
                <w:left w:val="none" w:sz="0" w:space="0" w:color="auto"/>
                <w:bottom w:val="none" w:sz="0" w:space="0" w:color="auto"/>
                <w:right w:val="none" w:sz="0" w:space="0" w:color="auto"/>
              </w:divBdr>
              <w:divsChild>
                <w:div w:id="43478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742301">
      <w:bodyDiv w:val="1"/>
      <w:marLeft w:val="0"/>
      <w:marRight w:val="0"/>
      <w:marTop w:val="0"/>
      <w:marBottom w:val="0"/>
      <w:divBdr>
        <w:top w:val="none" w:sz="0" w:space="0" w:color="auto"/>
        <w:left w:val="none" w:sz="0" w:space="0" w:color="auto"/>
        <w:bottom w:val="none" w:sz="0" w:space="0" w:color="auto"/>
        <w:right w:val="none" w:sz="0" w:space="0" w:color="auto"/>
      </w:divBdr>
      <w:divsChild>
        <w:div w:id="983047200">
          <w:marLeft w:val="0"/>
          <w:marRight w:val="0"/>
          <w:marTop w:val="0"/>
          <w:marBottom w:val="0"/>
          <w:divBdr>
            <w:top w:val="none" w:sz="0" w:space="0" w:color="auto"/>
            <w:left w:val="none" w:sz="0" w:space="0" w:color="auto"/>
            <w:bottom w:val="none" w:sz="0" w:space="0" w:color="auto"/>
            <w:right w:val="none" w:sz="0" w:space="0" w:color="auto"/>
          </w:divBdr>
          <w:divsChild>
            <w:div w:id="1393037855">
              <w:marLeft w:val="0"/>
              <w:marRight w:val="0"/>
              <w:marTop w:val="0"/>
              <w:marBottom w:val="0"/>
              <w:divBdr>
                <w:top w:val="none" w:sz="0" w:space="0" w:color="auto"/>
                <w:left w:val="none" w:sz="0" w:space="0" w:color="auto"/>
                <w:bottom w:val="none" w:sz="0" w:space="0" w:color="auto"/>
                <w:right w:val="none" w:sz="0" w:space="0" w:color="auto"/>
              </w:divBdr>
              <w:divsChild>
                <w:div w:id="19700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581087">
      <w:bodyDiv w:val="1"/>
      <w:marLeft w:val="0"/>
      <w:marRight w:val="0"/>
      <w:marTop w:val="0"/>
      <w:marBottom w:val="0"/>
      <w:divBdr>
        <w:top w:val="none" w:sz="0" w:space="0" w:color="auto"/>
        <w:left w:val="none" w:sz="0" w:space="0" w:color="auto"/>
        <w:bottom w:val="none" w:sz="0" w:space="0" w:color="auto"/>
        <w:right w:val="none" w:sz="0" w:space="0" w:color="auto"/>
      </w:divBdr>
      <w:divsChild>
        <w:div w:id="642807129">
          <w:marLeft w:val="0"/>
          <w:marRight w:val="0"/>
          <w:marTop w:val="0"/>
          <w:marBottom w:val="0"/>
          <w:divBdr>
            <w:top w:val="none" w:sz="0" w:space="0" w:color="auto"/>
            <w:left w:val="none" w:sz="0" w:space="0" w:color="auto"/>
            <w:bottom w:val="none" w:sz="0" w:space="0" w:color="auto"/>
            <w:right w:val="none" w:sz="0" w:space="0" w:color="auto"/>
          </w:divBdr>
          <w:divsChild>
            <w:div w:id="204652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45189">
      <w:bodyDiv w:val="1"/>
      <w:marLeft w:val="0"/>
      <w:marRight w:val="0"/>
      <w:marTop w:val="0"/>
      <w:marBottom w:val="0"/>
      <w:divBdr>
        <w:top w:val="none" w:sz="0" w:space="0" w:color="auto"/>
        <w:left w:val="none" w:sz="0" w:space="0" w:color="auto"/>
        <w:bottom w:val="none" w:sz="0" w:space="0" w:color="auto"/>
        <w:right w:val="none" w:sz="0" w:space="0" w:color="auto"/>
      </w:divBdr>
      <w:divsChild>
        <w:div w:id="157502893">
          <w:marLeft w:val="0"/>
          <w:marRight w:val="0"/>
          <w:marTop w:val="0"/>
          <w:marBottom w:val="0"/>
          <w:divBdr>
            <w:top w:val="none" w:sz="0" w:space="0" w:color="auto"/>
            <w:left w:val="none" w:sz="0" w:space="0" w:color="auto"/>
            <w:bottom w:val="none" w:sz="0" w:space="0" w:color="auto"/>
            <w:right w:val="none" w:sz="0" w:space="0" w:color="auto"/>
          </w:divBdr>
          <w:divsChild>
            <w:div w:id="38398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126578">
      <w:bodyDiv w:val="1"/>
      <w:marLeft w:val="0"/>
      <w:marRight w:val="0"/>
      <w:marTop w:val="0"/>
      <w:marBottom w:val="0"/>
      <w:divBdr>
        <w:top w:val="none" w:sz="0" w:space="0" w:color="auto"/>
        <w:left w:val="none" w:sz="0" w:space="0" w:color="auto"/>
        <w:bottom w:val="none" w:sz="0" w:space="0" w:color="auto"/>
        <w:right w:val="none" w:sz="0" w:space="0" w:color="auto"/>
      </w:divBdr>
    </w:div>
    <w:div w:id="388653588">
      <w:bodyDiv w:val="1"/>
      <w:marLeft w:val="0"/>
      <w:marRight w:val="0"/>
      <w:marTop w:val="0"/>
      <w:marBottom w:val="0"/>
      <w:divBdr>
        <w:top w:val="none" w:sz="0" w:space="0" w:color="auto"/>
        <w:left w:val="none" w:sz="0" w:space="0" w:color="auto"/>
        <w:bottom w:val="none" w:sz="0" w:space="0" w:color="auto"/>
        <w:right w:val="none" w:sz="0" w:space="0" w:color="auto"/>
      </w:divBdr>
      <w:divsChild>
        <w:div w:id="1516074473">
          <w:marLeft w:val="0"/>
          <w:marRight w:val="0"/>
          <w:marTop w:val="0"/>
          <w:marBottom w:val="0"/>
          <w:divBdr>
            <w:top w:val="none" w:sz="0" w:space="0" w:color="auto"/>
            <w:left w:val="none" w:sz="0" w:space="0" w:color="auto"/>
            <w:bottom w:val="none" w:sz="0" w:space="0" w:color="auto"/>
            <w:right w:val="none" w:sz="0" w:space="0" w:color="auto"/>
          </w:divBdr>
          <w:divsChild>
            <w:div w:id="5788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070839">
      <w:bodyDiv w:val="1"/>
      <w:marLeft w:val="0"/>
      <w:marRight w:val="0"/>
      <w:marTop w:val="0"/>
      <w:marBottom w:val="0"/>
      <w:divBdr>
        <w:top w:val="none" w:sz="0" w:space="0" w:color="auto"/>
        <w:left w:val="none" w:sz="0" w:space="0" w:color="auto"/>
        <w:bottom w:val="none" w:sz="0" w:space="0" w:color="auto"/>
        <w:right w:val="none" w:sz="0" w:space="0" w:color="auto"/>
      </w:divBdr>
      <w:divsChild>
        <w:div w:id="1821190541">
          <w:marLeft w:val="0"/>
          <w:marRight w:val="0"/>
          <w:marTop w:val="0"/>
          <w:marBottom w:val="0"/>
          <w:divBdr>
            <w:top w:val="none" w:sz="0" w:space="0" w:color="auto"/>
            <w:left w:val="none" w:sz="0" w:space="0" w:color="auto"/>
            <w:bottom w:val="none" w:sz="0" w:space="0" w:color="auto"/>
            <w:right w:val="none" w:sz="0" w:space="0" w:color="auto"/>
          </w:divBdr>
          <w:divsChild>
            <w:div w:id="88271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271585">
      <w:bodyDiv w:val="1"/>
      <w:marLeft w:val="0"/>
      <w:marRight w:val="0"/>
      <w:marTop w:val="0"/>
      <w:marBottom w:val="0"/>
      <w:divBdr>
        <w:top w:val="none" w:sz="0" w:space="0" w:color="auto"/>
        <w:left w:val="none" w:sz="0" w:space="0" w:color="auto"/>
        <w:bottom w:val="none" w:sz="0" w:space="0" w:color="auto"/>
        <w:right w:val="none" w:sz="0" w:space="0" w:color="auto"/>
      </w:divBdr>
      <w:divsChild>
        <w:div w:id="1157113002">
          <w:marLeft w:val="0"/>
          <w:marRight w:val="0"/>
          <w:marTop w:val="0"/>
          <w:marBottom w:val="0"/>
          <w:divBdr>
            <w:top w:val="none" w:sz="0" w:space="0" w:color="auto"/>
            <w:left w:val="none" w:sz="0" w:space="0" w:color="auto"/>
            <w:bottom w:val="none" w:sz="0" w:space="0" w:color="auto"/>
            <w:right w:val="none" w:sz="0" w:space="0" w:color="auto"/>
          </w:divBdr>
          <w:divsChild>
            <w:div w:id="181456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651214">
      <w:bodyDiv w:val="1"/>
      <w:marLeft w:val="0"/>
      <w:marRight w:val="0"/>
      <w:marTop w:val="0"/>
      <w:marBottom w:val="0"/>
      <w:divBdr>
        <w:top w:val="none" w:sz="0" w:space="0" w:color="auto"/>
        <w:left w:val="none" w:sz="0" w:space="0" w:color="auto"/>
        <w:bottom w:val="none" w:sz="0" w:space="0" w:color="auto"/>
        <w:right w:val="none" w:sz="0" w:space="0" w:color="auto"/>
      </w:divBdr>
      <w:divsChild>
        <w:div w:id="209924904">
          <w:marLeft w:val="0"/>
          <w:marRight w:val="0"/>
          <w:marTop w:val="0"/>
          <w:marBottom w:val="0"/>
          <w:divBdr>
            <w:top w:val="none" w:sz="0" w:space="0" w:color="auto"/>
            <w:left w:val="none" w:sz="0" w:space="0" w:color="auto"/>
            <w:bottom w:val="none" w:sz="0" w:space="0" w:color="auto"/>
            <w:right w:val="none" w:sz="0" w:space="0" w:color="auto"/>
          </w:divBdr>
          <w:divsChild>
            <w:div w:id="163069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687544">
      <w:bodyDiv w:val="1"/>
      <w:marLeft w:val="0"/>
      <w:marRight w:val="0"/>
      <w:marTop w:val="0"/>
      <w:marBottom w:val="0"/>
      <w:divBdr>
        <w:top w:val="none" w:sz="0" w:space="0" w:color="auto"/>
        <w:left w:val="none" w:sz="0" w:space="0" w:color="auto"/>
        <w:bottom w:val="none" w:sz="0" w:space="0" w:color="auto"/>
        <w:right w:val="none" w:sz="0" w:space="0" w:color="auto"/>
      </w:divBdr>
    </w:div>
    <w:div w:id="610625667">
      <w:bodyDiv w:val="1"/>
      <w:marLeft w:val="0"/>
      <w:marRight w:val="0"/>
      <w:marTop w:val="0"/>
      <w:marBottom w:val="0"/>
      <w:divBdr>
        <w:top w:val="none" w:sz="0" w:space="0" w:color="auto"/>
        <w:left w:val="none" w:sz="0" w:space="0" w:color="auto"/>
        <w:bottom w:val="none" w:sz="0" w:space="0" w:color="auto"/>
        <w:right w:val="none" w:sz="0" w:space="0" w:color="auto"/>
      </w:divBdr>
    </w:div>
    <w:div w:id="618292687">
      <w:bodyDiv w:val="1"/>
      <w:marLeft w:val="0"/>
      <w:marRight w:val="0"/>
      <w:marTop w:val="0"/>
      <w:marBottom w:val="0"/>
      <w:divBdr>
        <w:top w:val="none" w:sz="0" w:space="0" w:color="auto"/>
        <w:left w:val="none" w:sz="0" w:space="0" w:color="auto"/>
        <w:bottom w:val="none" w:sz="0" w:space="0" w:color="auto"/>
        <w:right w:val="none" w:sz="0" w:space="0" w:color="auto"/>
      </w:divBdr>
      <w:divsChild>
        <w:div w:id="504050532">
          <w:marLeft w:val="0"/>
          <w:marRight w:val="0"/>
          <w:marTop w:val="0"/>
          <w:marBottom w:val="0"/>
          <w:divBdr>
            <w:top w:val="none" w:sz="0" w:space="0" w:color="auto"/>
            <w:left w:val="none" w:sz="0" w:space="0" w:color="auto"/>
            <w:bottom w:val="none" w:sz="0" w:space="0" w:color="auto"/>
            <w:right w:val="none" w:sz="0" w:space="0" w:color="auto"/>
          </w:divBdr>
          <w:divsChild>
            <w:div w:id="148670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66548">
      <w:bodyDiv w:val="1"/>
      <w:marLeft w:val="0"/>
      <w:marRight w:val="0"/>
      <w:marTop w:val="0"/>
      <w:marBottom w:val="0"/>
      <w:divBdr>
        <w:top w:val="none" w:sz="0" w:space="0" w:color="auto"/>
        <w:left w:val="none" w:sz="0" w:space="0" w:color="auto"/>
        <w:bottom w:val="none" w:sz="0" w:space="0" w:color="auto"/>
        <w:right w:val="none" w:sz="0" w:space="0" w:color="auto"/>
      </w:divBdr>
    </w:div>
    <w:div w:id="634262096">
      <w:bodyDiv w:val="1"/>
      <w:marLeft w:val="0"/>
      <w:marRight w:val="0"/>
      <w:marTop w:val="0"/>
      <w:marBottom w:val="0"/>
      <w:divBdr>
        <w:top w:val="none" w:sz="0" w:space="0" w:color="auto"/>
        <w:left w:val="none" w:sz="0" w:space="0" w:color="auto"/>
        <w:bottom w:val="none" w:sz="0" w:space="0" w:color="auto"/>
        <w:right w:val="none" w:sz="0" w:space="0" w:color="auto"/>
      </w:divBdr>
      <w:divsChild>
        <w:div w:id="1450583350">
          <w:marLeft w:val="0"/>
          <w:marRight w:val="0"/>
          <w:marTop w:val="0"/>
          <w:marBottom w:val="0"/>
          <w:divBdr>
            <w:top w:val="none" w:sz="0" w:space="0" w:color="auto"/>
            <w:left w:val="none" w:sz="0" w:space="0" w:color="auto"/>
            <w:bottom w:val="none" w:sz="0" w:space="0" w:color="auto"/>
            <w:right w:val="none" w:sz="0" w:space="0" w:color="auto"/>
          </w:divBdr>
          <w:divsChild>
            <w:div w:id="98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763524">
      <w:bodyDiv w:val="1"/>
      <w:marLeft w:val="0"/>
      <w:marRight w:val="0"/>
      <w:marTop w:val="0"/>
      <w:marBottom w:val="0"/>
      <w:divBdr>
        <w:top w:val="none" w:sz="0" w:space="0" w:color="auto"/>
        <w:left w:val="none" w:sz="0" w:space="0" w:color="auto"/>
        <w:bottom w:val="none" w:sz="0" w:space="0" w:color="auto"/>
        <w:right w:val="none" w:sz="0" w:space="0" w:color="auto"/>
      </w:divBdr>
      <w:divsChild>
        <w:div w:id="2062895911">
          <w:marLeft w:val="0"/>
          <w:marRight w:val="0"/>
          <w:marTop w:val="0"/>
          <w:marBottom w:val="0"/>
          <w:divBdr>
            <w:top w:val="none" w:sz="0" w:space="0" w:color="auto"/>
            <w:left w:val="none" w:sz="0" w:space="0" w:color="auto"/>
            <w:bottom w:val="none" w:sz="0" w:space="0" w:color="auto"/>
            <w:right w:val="none" w:sz="0" w:space="0" w:color="auto"/>
          </w:divBdr>
          <w:divsChild>
            <w:div w:id="8981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92823">
      <w:bodyDiv w:val="1"/>
      <w:marLeft w:val="0"/>
      <w:marRight w:val="0"/>
      <w:marTop w:val="0"/>
      <w:marBottom w:val="0"/>
      <w:divBdr>
        <w:top w:val="none" w:sz="0" w:space="0" w:color="auto"/>
        <w:left w:val="none" w:sz="0" w:space="0" w:color="auto"/>
        <w:bottom w:val="none" w:sz="0" w:space="0" w:color="auto"/>
        <w:right w:val="none" w:sz="0" w:space="0" w:color="auto"/>
      </w:divBdr>
      <w:divsChild>
        <w:div w:id="2077629383">
          <w:marLeft w:val="0"/>
          <w:marRight w:val="0"/>
          <w:marTop w:val="0"/>
          <w:marBottom w:val="0"/>
          <w:divBdr>
            <w:top w:val="none" w:sz="0" w:space="0" w:color="auto"/>
            <w:left w:val="none" w:sz="0" w:space="0" w:color="auto"/>
            <w:bottom w:val="none" w:sz="0" w:space="0" w:color="auto"/>
            <w:right w:val="none" w:sz="0" w:space="0" w:color="auto"/>
          </w:divBdr>
          <w:divsChild>
            <w:div w:id="8561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419971">
      <w:bodyDiv w:val="1"/>
      <w:marLeft w:val="0"/>
      <w:marRight w:val="0"/>
      <w:marTop w:val="0"/>
      <w:marBottom w:val="0"/>
      <w:divBdr>
        <w:top w:val="none" w:sz="0" w:space="0" w:color="auto"/>
        <w:left w:val="none" w:sz="0" w:space="0" w:color="auto"/>
        <w:bottom w:val="none" w:sz="0" w:space="0" w:color="auto"/>
        <w:right w:val="none" w:sz="0" w:space="0" w:color="auto"/>
      </w:divBdr>
      <w:divsChild>
        <w:div w:id="1014453302">
          <w:marLeft w:val="0"/>
          <w:marRight w:val="0"/>
          <w:marTop w:val="0"/>
          <w:marBottom w:val="0"/>
          <w:divBdr>
            <w:top w:val="none" w:sz="0" w:space="0" w:color="auto"/>
            <w:left w:val="none" w:sz="0" w:space="0" w:color="auto"/>
            <w:bottom w:val="none" w:sz="0" w:space="0" w:color="auto"/>
            <w:right w:val="none" w:sz="0" w:space="0" w:color="auto"/>
          </w:divBdr>
          <w:divsChild>
            <w:div w:id="1657032130">
              <w:marLeft w:val="0"/>
              <w:marRight w:val="0"/>
              <w:marTop w:val="0"/>
              <w:marBottom w:val="0"/>
              <w:divBdr>
                <w:top w:val="none" w:sz="0" w:space="0" w:color="auto"/>
                <w:left w:val="none" w:sz="0" w:space="0" w:color="auto"/>
                <w:bottom w:val="none" w:sz="0" w:space="0" w:color="auto"/>
                <w:right w:val="none" w:sz="0" w:space="0" w:color="auto"/>
              </w:divBdr>
              <w:divsChild>
                <w:div w:id="18055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67008">
      <w:bodyDiv w:val="1"/>
      <w:marLeft w:val="0"/>
      <w:marRight w:val="0"/>
      <w:marTop w:val="0"/>
      <w:marBottom w:val="0"/>
      <w:divBdr>
        <w:top w:val="none" w:sz="0" w:space="0" w:color="auto"/>
        <w:left w:val="none" w:sz="0" w:space="0" w:color="auto"/>
        <w:bottom w:val="none" w:sz="0" w:space="0" w:color="auto"/>
        <w:right w:val="none" w:sz="0" w:space="0" w:color="auto"/>
      </w:divBdr>
    </w:div>
    <w:div w:id="973100496">
      <w:bodyDiv w:val="1"/>
      <w:marLeft w:val="0"/>
      <w:marRight w:val="0"/>
      <w:marTop w:val="0"/>
      <w:marBottom w:val="0"/>
      <w:divBdr>
        <w:top w:val="none" w:sz="0" w:space="0" w:color="auto"/>
        <w:left w:val="none" w:sz="0" w:space="0" w:color="auto"/>
        <w:bottom w:val="none" w:sz="0" w:space="0" w:color="auto"/>
        <w:right w:val="none" w:sz="0" w:space="0" w:color="auto"/>
      </w:divBdr>
    </w:div>
    <w:div w:id="977491264">
      <w:bodyDiv w:val="1"/>
      <w:marLeft w:val="0"/>
      <w:marRight w:val="0"/>
      <w:marTop w:val="0"/>
      <w:marBottom w:val="0"/>
      <w:divBdr>
        <w:top w:val="none" w:sz="0" w:space="0" w:color="auto"/>
        <w:left w:val="none" w:sz="0" w:space="0" w:color="auto"/>
        <w:bottom w:val="none" w:sz="0" w:space="0" w:color="auto"/>
        <w:right w:val="none" w:sz="0" w:space="0" w:color="auto"/>
      </w:divBdr>
    </w:div>
    <w:div w:id="1082943982">
      <w:bodyDiv w:val="1"/>
      <w:marLeft w:val="0"/>
      <w:marRight w:val="0"/>
      <w:marTop w:val="0"/>
      <w:marBottom w:val="0"/>
      <w:divBdr>
        <w:top w:val="none" w:sz="0" w:space="0" w:color="auto"/>
        <w:left w:val="none" w:sz="0" w:space="0" w:color="auto"/>
        <w:bottom w:val="none" w:sz="0" w:space="0" w:color="auto"/>
        <w:right w:val="none" w:sz="0" w:space="0" w:color="auto"/>
      </w:divBdr>
      <w:divsChild>
        <w:div w:id="1219510155">
          <w:marLeft w:val="0"/>
          <w:marRight w:val="0"/>
          <w:marTop w:val="0"/>
          <w:marBottom w:val="0"/>
          <w:divBdr>
            <w:top w:val="none" w:sz="0" w:space="0" w:color="auto"/>
            <w:left w:val="none" w:sz="0" w:space="0" w:color="auto"/>
            <w:bottom w:val="none" w:sz="0" w:space="0" w:color="auto"/>
            <w:right w:val="none" w:sz="0" w:space="0" w:color="auto"/>
          </w:divBdr>
          <w:divsChild>
            <w:div w:id="99028274">
              <w:marLeft w:val="0"/>
              <w:marRight w:val="0"/>
              <w:marTop w:val="0"/>
              <w:marBottom w:val="0"/>
              <w:divBdr>
                <w:top w:val="none" w:sz="0" w:space="0" w:color="auto"/>
                <w:left w:val="none" w:sz="0" w:space="0" w:color="auto"/>
                <w:bottom w:val="none" w:sz="0" w:space="0" w:color="auto"/>
                <w:right w:val="none" w:sz="0" w:space="0" w:color="auto"/>
              </w:divBdr>
              <w:divsChild>
                <w:div w:id="86907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412726">
      <w:bodyDiv w:val="1"/>
      <w:marLeft w:val="0"/>
      <w:marRight w:val="0"/>
      <w:marTop w:val="0"/>
      <w:marBottom w:val="0"/>
      <w:divBdr>
        <w:top w:val="none" w:sz="0" w:space="0" w:color="auto"/>
        <w:left w:val="none" w:sz="0" w:space="0" w:color="auto"/>
        <w:bottom w:val="none" w:sz="0" w:space="0" w:color="auto"/>
        <w:right w:val="none" w:sz="0" w:space="0" w:color="auto"/>
      </w:divBdr>
      <w:divsChild>
        <w:div w:id="653098021">
          <w:marLeft w:val="0"/>
          <w:marRight w:val="0"/>
          <w:marTop w:val="0"/>
          <w:marBottom w:val="0"/>
          <w:divBdr>
            <w:top w:val="none" w:sz="0" w:space="0" w:color="auto"/>
            <w:left w:val="none" w:sz="0" w:space="0" w:color="auto"/>
            <w:bottom w:val="none" w:sz="0" w:space="0" w:color="auto"/>
            <w:right w:val="none" w:sz="0" w:space="0" w:color="auto"/>
          </w:divBdr>
          <w:divsChild>
            <w:div w:id="68243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459980">
      <w:bodyDiv w:val="1"/>
      <w:marLeft w:val="0"/>
      <w:marRight w:val="0"/>
      <w:marTop w:val="0"/>
      <w:marBottom w:val="0"/>
      <w:divBdr>
        <w:top w:val="none" w:sz="0" w:space="0" w:color="auto"/>
        <w:left w:val="none" w:sz="0" w:space="0" w:color="auto"/>
        <w:bottom w:val="none" w:sz="0" w:space="0" w:color="auto"/>
        <w:right w:val="none" w:sz="0" w:space="0" w:color="auto"/>
      </w:divBdr>
      <w:divsChild>
        <w:div w:id="1758821206">
          <w:marLeft w:val="0"/>
          <w:marRight w:val="0"/>
          <w:marTop w:val="0"/>
          <w:marBottom w:val="0"/>
          <w:divBdr>
            <w:top w:val="none" w:sz="0" w:space="0" w:color="auto"/>
            <w:left w:val="none" w:sz="0" w:space="0" w:color="auto"/>
            <w:bottom w:val="none" w:sz="0" w:space="0" w:color="auto"/>
            <w:right w:val="none" w:sz="0" w:space="0" w:color="auto"/>
          </w:divBdr>
          <w:divsChild>
            <w:div w:id="6424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24094">
      <w:bodyDiv w:val="1"/>
      <w:marLeft w:val="0"/>
      <w:marRight w:val="0"/>
      <w:marTop w:val="0"/>
      <w:marBottom w:val="0"/>
      <w:divBdr>
        <w:top w:val="none" w:sz="0" w:space="0" w:color="auto"/>
        <w:left w:val="none" w:sz="0" w:space="0" w:color="auto"/>
        <w:bottom w:val="none" w:sz="0" w:space="0" w:color="auto"/>
        <w:right w:val="none" w:sz="0" w:space="0" w:color="auto"/>
      </w:divBdr>
      <w:divsChild>
        <w:div w:id="1683777268">
          <w:marLeft w:val="0"/>
          <w:marRight w:val="0"/>
          <w:marTop w:val="0"/>
          <w:marBottom w:val="0"/>
          <w:divBdr>
            <w:top w:val="none" w:sz="0" w:space="0" w:color="auto"/>
            <w:left w:val="none" w:sz="0" w:space="0" w:color="auto"/>
            <w:bottom w:val="none" w:sz="0" w:space="0" w:color="auto"/>
            <w:right w:val="none" w:sz="0" w:space="0" w:color="auto"/>
          </w:divBdr>
          <w:divsChild>
            <w:div w:id="179663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86061">
      <w:bodyDiv w:val="1"/>
      <w:marLeft w:val="0"/>
      <w:marRight w:val="0"/>
      <w:marTop w:val="0"/>
      <w:marBottom w:val="0"/>
      <w:divBdr>
        <w:top w:val="none" w:sz="0" w:space="0" w:color="auto"/>
        <w:left w:val="none" w:sz="0" w:space="0" w:color="auto"/>
        <w:bottom w:val="none" w:sz="0" w:space="0" w:color="auto"/>
        <w:right w:val="none" w:sz="0" w:space="0" w:color="auto"/>
      </w:divBdr>
      <w:divsChild>
        <w:div w:id="1374425304">
          <w:marLeft w:val="0"/>
          <w:marRight w:val="0"/>
          <w:marTop w:val="0"/>
          <w:marBottom w:val="0"/>
          <w:divBdr>
            <w:top w:val="none" w:sz="0" w:space="0" w:color="auto"/>
            <w:left w:val="none" w:sz="0" w:space="0" w:color="auto"/>
            <w:bottom w:val="none" w:sz="0" w:space="0" w:color="auto"/>
            <w:right w:val="none" w:sz="0" w:space="0" w:color="auto"/>
          </w:divBdr>
          <w:divsChild>
            <w:div w:id="1878154265">
              <w:marLeft w:val="0"/>
              <w:marRight w:val="0"/>
              <w:marTop w:val="0"/>
              <w:marBottom w:val="0"/>
              <w:divBdr>
                <w:top w:val="none" w:sz="0" w:space="0" w:color="auto"/>
                <w:left w:val="none" w:sz="0" w:space="0" w:color="auto"/>
                <w:bottom w:val="none" w:sz="0" w:space="0" w:color="auto"/>
                <w:right w:val="none" w:sz="0" w:space="0" w:color="auto"/>
              </w:divBdr>
              <w:divsChild>
                <w:div w:id="201610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985368">
      <w:bodyDiv w:val="1"/>
      <w:marLeft w:val="0"/>
      <w:marRight w:val="0"/>
      <w:marTop w:val="0"/>
      <w:marBottom w:val="0"/>
      <w:divBdr>
        <w:top w:val="none" w:sz="0" w:space="0" w:color="auto"/>
        <w:left w:val="none" w:sz="0" w:space="0" w:color="auto"/>
        <w:bottom w:val="none" w:sz="0" w:space="0" w:color="auto"/>
        <w:right w:val="none" w:sz="0" w:space="0" w:color="auto"/>
      </w:divBdr>
      <w:divsChild>
        <w:div w:id="282811157">
          <w:marLeft w:val="0"/>
          <w:marRight w:val="0"/>
          <w:marTop w:val="0"/>
          <w:marBottom w:val="0"/>
          <w:divBdr>
            <w:top w:val="none" w:sz="0" w:space="0" w:color="auto"/>
            <w:left w:val="none" w:sz="0" w:space="0" w:color="auto"/>
            <w:bottom w:val="none" w:sz="0" w:space="0" w:color="auto"/>
            <w:right w:val="none" w:sz="0" w:space="0" w:color="auto"/>
          </w:divBdr>
          <w:divsChild>
            <w:div w:id="210962760">
              <w:marLeft w:val="0"/>
              <w:marRight w:val="0"/>
              <w:marTop w:val="0"/>
              <w:marBottom w:val="0"/>
              <w:divBdr>
                <w:top w:val="none" w:sz="0" w:space="0" w:color="auto"/>
                <w:left w:val="none" w:sz="0" w:space="0" w:color="auto"/>
                <w:bottom w:val="none" w:sz="0" w:space="0" w:color="auto"/>
                <w:right w:val="none" w:sz="0" w:space="0" w:color="auto"/>
              </w:divBdr>
              <w:divsChild>
                <w:div w:id="17639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988675">
      <w:bodyDiv w:val="1"/>
      <w:marLeft w:val="0"/>
      <w:marRight w:val="0"/>
      <w:marTop w:val="0"/>
      <w:marBottom w:val="0"/>
      <w:divBdr>
        <w:top w:val="none" w:sz="0" w:space="0" w:color="auto"/>
        <w:left w:val="none" w:sz="0" w:space="0" w:color="auto"/>
        <w:bottom w:val="none" w:sz="0" w:space="0" w:color="auto"/>
        <w:right w:val="none" w:sz="0" w:space="0" w:color="auto"/>
      </w:divBdr>
    </w:div>
    <w:div w:id="1521896435">
      <w:bodyDiv w:val="1"/>
      <w:marLeft w:val="0"/>
      <w:marRight w:val="0"/>
      <w:marTop w:val="0"/>
      <w:marBottom w:val="0"/>
      <w:divBdr>
        <w:top w:val="none" w:sz="0" w:space="0" w:color="auto"/>
        <w:left w:val="none" w:sz="0" w:space="0" w:color="auto"/>
        <w:bottom w:val="none" w:sz="0" w:space="0" w:color="auto"/>
        <w:right w:val="none" w:sz="0" w:space="0" w:color="auto"/>
      </w:divBdr>
    </w:div>
    <w:div w:id="1557354975">
      <w:bodyDiv w:val="1"/>
      <w:marLeft w:val="0"/>
      <w:marRight w:val="0"/>
      <w:marTop w:val="0"/>
      <w:marBottom w:val="0"/>
      <w:divBdr>
        <w:top w:val="none" w:sz="0" w:space="0" w:color="auto"/>
        <w:left w:val="none" w:sz="0" w:space="0" w:color="auto"/>
        <w:bottom w:val="none" w:sz="0" w:space="0" w:color="auto"/>
        <w:right w:val="none" w:sz="0" w:space="0" w:color="auto"/>
      </w:divBdr>
      <w:divsChild>
        <w:div w:id="382412465">
          <w:marLeft w:val="0"/>
          <w:marRight w:val="0"/>
          <w:marTop w:val="0"/>
          <w:marBottom w:val="0"/>
          <w:divBdr>
            <w:top w:val="none" w:sz="0" w:space="0" w:color="auto"/>
            <w:left w:val="none" w:sz="0" w:space="0" w:color="auto"/>
            <w:bottom w:val="none" w:sz="0" w:space="0" w:color="auto"/>
            <w:right w:val="none" w:sz="0" w:space="0" w:color="auto"/>
          </w:divBdr>
          <w:divsChild>
            <w:div w:id="617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935405">
      <w:bodyDiv w:val="1"/>
      <w:marLeft w:val="0"/>
      <w:marRight w:val="0"/>
      <w:marTop w:val="0"/>
      <w:marBottom w:val="0"/>
      <w:divBdr>
        <w:top w:val="none" w:sz="0" w:space="0" w:color="auto"/>
        <w:left w:val="none" w:sz="0" w:space="0" w:color="auto"/>
        <w:bottom w:val="none" w:sz="0" w:space="0" w:color="auto"/>
        <w:right w:val="none" w:sz="0" w:space="0" w:color="auto"/>
      </w:divBdr>
      <w:divsChild>
        <w:div w:id="1426413251">
          <w:marLeft w:val="0"/>
          <w:marRight w:val="0"/>
          <w:marTop w:val="227"/>
          <w:marBottom w:val="0"/>
          <w:divBdr>
            <w:top w:val="none" w:sz="0" w:space="0" w:color="auto"/>
            <w:left w:val="none" w:sz="0" w:space="0" w:color="auto"/>
            <w:bottom w:val="none" w:sz="0" w:space="0" w:color="auto"/>
            <w:right w:val="none" w:sz="0" w:space="0" w:color="auto"/>
          </w:divBdr>
        </w:div>
        <w:div w:id="475151759">
          <w:marLeft w:val="0"/>
          <w:marRight w:val="0"/>
          <w:marTop w:val="227"/>
          <w:marBottom w:val="0"/>
          <w:divBdr>
            <w:top w:val="none" w:sz="0" w:space="0" w:color="auto"/>
            <w:left w:val="none" w:sz="0" w:space="0" w:color="auto"/>
            <w:bottom w:val="none" w:sz="0" w:space="0" w:color="auto"/>
            <w:right w:val="none" w:sz="0" w:space="0" w:color="auto"/>
          </w:divBdr>
        </w:div>
        <w:div w:id="1043751832">
          <w:marLeft w:val="0"/>
          <w:marRight w:val="0"/>
          <w:marTop w:val="227"/>
          <w:marBottom w:val="0"/>
          <w:divBdr>
            <w:top w:val="none" w:sz="0" w:space="0" w:color="auto"/>
            <w:left w:val="none" w:sz="0" w:space="0" w:color="auto"/>
            <w:bottom w:val="none" w:sz="0" w:space="0" w:color="auto"/>
            <w:right w:val="none" w:sz="0" w:space="0" w:color="auto"/>
          </w:divBdr>
        </w:div>
      </w:divsChild>
    </w:div>
    <w:div w:id="1598516057">
      <w:bodyDiv w:val="1"/>
      <w:marLeft w:val="0"/>
      <w:marRight w:val="0"/>
      <w:marTop w:val="0"/>
      <w:marBottom w:val="0"/>
      <w:divBdr>
        <w:top w:val="none" w:sz="0" w:space="0" w:color="auto"/>
        <w:left w:val="none" w:sz="0" w:space="0" w:color="auto"/>
        <w:bottom w:val="none" w:sz="0" w:space="0" w:color="auto"/>
        <w:right w:val="none" w:sz="0" w:space="0" w:color="auto"/>
      </w:divBdr>
      <w:divsChild>
        <w:div w:id="1778210447">
          <w:marLeft w:val="0"/>
          <w:marRight w:val="0"/>
          <w:marTop w:val="0"/>
          <w:marBottom w:val="0"/>
          <w:divBdr>
            <w:top w:val="none" w:sz="0" w:space="0" w:color="auto"/>
            <w:left w:val="none" w:sz="0" w:space="0" w:color="auto"/>
            <w:bottom w:val="none" w:sz="0" w:space="0" w:color="auto"/>
            <w:right w:val="none" w:sz="0" w:space="0" w:color="auto"/>
          </w:divBdr>
          <w:divsChild>
            <w:div w:id="178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84659">
      <w:bodyDiv w:val="1"/>
      <w:marLeft w:val="0"/>
      <w:marRight w:val="0"/>
      <w:marTop w:val="0"/>
      <w:marBottom w:val="0"/>
      <w:divBdr>
        <w:top w:val="none" w:sz="0" w:space="0" w:color="auto"/>
        <w:left w:val="none" w:sz="0" w:space="0" w:color="auto"/>
        <w:bottom w:val="none" w:sz="0" w:space="0" w:color="auto"/>
        <w:right w:val="none" w:sz="0" w:space="0" w:color="auto"/>
      </w:divBdr>
    </w:div>
    <w:div w:id="1629436583">
      <w:bodyDiv w:val="1"/>
      <w:marLeft w:val="0"/>
      <w:marRight w:val="0"/>
      <w:marTop w:val="0"/>
      <w:marBottom w:val="0"/>
      <w:divBdr>
        <w:top w:val="none" w:sz="0" w:space="0" w:color="auto"/>
        <w:left w:val="none" w:sz="0" w:space="0" w:color="auto"/>
        <w:bottom w:val="none" w:sz="0" w:space="0" w:color="auto"/>
        <w:right w:val="none" w:sz="0" w:space="0" w:color="auto"/>
      </w:divBdr>
      <w:divsChild>
        <w:div w:id="655719262">
          <w:marLeft w:val="0"/>
          <w:marRight w:val="0"/>
          <w:marTop w:val="0"/>
          <w:marBottom w:val="0"/>
          <w:divBdr>
            <w:top w:val="none" w:sz="0" w:space="0" w:color="auto"/>
            <w:left w:val="none" w:sz="0" w:space="0" w:color="auto"/>
            <w:bottom w:val="none" w:sz="0" w:space="0" w:color="auto"/>
            <w:right w:val="none" w:sz="0" w:space="0" w:color="auto"/>
          </w:divBdr>
          <w:divsChild>
            <w:div w:id="413360833">
              <w:marLeft w:val="0"/>
              <w:marRight w:val="0"/>
              <w:marTop w:val="0"/>
              <w:marBottom w:val="0"/>
              <w:divBdr>
                <w:top w:val="none" w:sz="0" w:space="0" w:color="auto"/>
                <w:left w:val="none" w:sz="0" w:space="0" w:color="auto"/>
                <w:bottom w:val="none" w:sz="0" w:space="0" w:color="auto"/>
                <w:right w:val="none" w:sz="0" w:space="0" w:color="auto"/>
              </w:divBdr>
              <w:divsChild>
                <w:div w:id="198747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980150">
      <w:bodyDiv w:val="1"/>
      <w:marLeft w:val="0"/>
      <w:marRight w:val="0"/>
      <w:marTop w:val="0"/>
      <w:marBottom w:val="0"/>
      <w:divBdr>
        <w:top w:val="none" w:sz="0" w:space="0" w:color="auto"/>
        <w:left w:val="none" w:sz="0" w:space="0" w:color="auto"/>
        <w:bottom w:val="none" w:sz="0" w:space="0" w:color="auto"/>
        <w:right w:val="none" w:sz="0" w:space="0" w:color="auto"/>
      </w:divBdr>
      <w:divsChild>
        <w:div w:id="1253782728">
          <w:marLeft w:val="0"/>
          <w:marRight w:val="0"/>
          <w:marTop w:val="0"/>
          <w:marBottom w:val="0"/>
          <w:divBdr>
            <w:top w:val="none" w:sz="0" w:space="0" w:color="auto"/>
            <w:left w:val="none" w:sz="0" w:space="0" w:color="auto"/>
            <w:bottom w:val="none" w:sz="0" w:space="0" w:color="auto"/>
            <w:right w:val="none" w:sz="0" w:space="0" w:color="auto"/>
          </w:divBdr>
          <w:divsChild>
            <w:div w:id="196168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28250">
      <w:bodyDiv w:val="1"/>
      <w:marLeft w:val="0"/>
      <w:marRight w:val="0"/>
      <w:marTop w:val="0"/>
      <w:marBottom w:val="0"/>
      <w:divBdr>
        <w:top w:val="none" w:sz="0" w:space="0" w:color="auto"/>
        <w:left w:val="none" w:sz="0" w:space="0" w:color="auto"/>
        <w:bottom w:val="none" w:sz="0" w:space="0" w:color="auto"/>
        <w:right w:val="none" w:sz="0" w:space="0" w:color="auto"/>
      </w:divBdr>
      <w:divsChild>
        <w:div w:id="274989452">
          <w:marLeft w:val="0"/>
          <w:marRight w:val="0"/>
          <w:marTop w:val="0"/>
          <w:marBottom w:val="0"/>
          <w:divBdr>
            <w:top w:val="none" w:sz="0" w:space="0" w:color="auto"/>
            <w:left w:val="none" w:sz="0" w:space="0" w:color="auto"/>
            <w:bottom w:val="none" w:sz="0" w:space="0" w:color="auto"/>
            <w:right w:val="none" w:sz="0" w:space="0" w:color="auto"/>
          </w:divBdr>
          <w:divsChild>
            <w:div w:id="62308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379055">
      <w:bodyDiv w:val="1"/>
      <w:marLeft w:val="0"/>
      <w:marRight w:val="0"/>
      <w:marTop w:val="0"/>
      <w:marBottom w:val="0"/>
      <w:divBdr>
        <w:top w:val="none" w:sz="0" w:space="0" w:color="auto"/>
        <w:left w:val="none" w:sz="0" w:space="0" w:color="auto"/>
        <w:bottom w:val="none" w:sz="0" w:space="0" w:color="auto"/>
        <w:right w:val="none" w:sz="0" w:space="0" w:color="auto"/>
      </w:divBdr>
    </w:div>
    <w:div w:id="1724284073">
      <w:bodyDiv w:val="1"/>
      <w:marLeft w:val="0"/>
      <w:marRight w:val="0"/>
      <w:marTop w:val="0"/>
      <w:marBottom w:val="0"/>
      <w:divBdr>
        <w:top w:val="none" w:sz="0" w:space="0" w:color="auto"/>
        <w:left w:val="none" w:sz="0" w:space="0" w:color="auto"/>
        <w:bottom w:val="none" w:sz="0" w:space="0" w:color="auto"/>
        <w:right w:val="none" w:sz="0" w:space="0" w:color="auto"/>
      </w:divBdr>
      <w:divsChild>
        <w:div w:id="916985270">
          <w:marLeft w:val="0"/>
          <w:marRight w:val="0"/>
          <w:marTop w:val="0"/>
          <w:marBottom w:val="0"/>
          <w:divBdr>
            <w:top w:val="none" w:sz="0" w:space="0" w:color="auto"/>
            <w:left w:val="none" w:sz="0" w:space="0" w:color="auto"/>
            <w:bottom w:val="none" w:sz="0" w:space="0" w:color="auto"/>
            <w:right w:val="none" w:sz="0" w:space="0" w:color="auto"/>
          </w:divBdr>
          <w:divsChild>
            <w:div w:id="33916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0059">
      <w:bodyDiv w:val="1"/>
      <w:marLeft w:val="0"/>
      <w:marRight w:val="0"/>
      <w:marTop w:val="0"/>
      <w:marBottom w:val="0"/>
      <w:divBdr>
        <w:top w:val="none" w:sz="0" w:space="0" w:color="auto"/>
        <w:left w:val="none" w:sz="0" w:space="0" w:color="auto"/>
        <w:bottom w:val="none" w:sz="0" w:space="0" w:color="auto"/>
        <w:right w:val="none" w:sz="0" w:space="0" w:color="auto"/>
      </w:divBdr>
      <w:divsChild>
        <w:div w:id="849637009">
          <w:marLeft w:val="0"/>
          <w:marRight w:val="0"/>
          <w:marTop w:val="0"/>
          <w:marBottom w:val="0"/>
          <w:divBdr>
            <w:top w:val="none" w:sz="0" w:space="0" w:color="auto"/>
            <w:left w:val="none" w:sz="0" w:space="0" w:color="auto"/>
            <w:bottom w:val="none" w:sz="0" w:space="0" w:color="auto"/>
            <w:right w:val="none" w:sz="0" w:space="0" w:color="auto"/>
          </w:divBdr>
          <w:divsChild>
            <w:div w:id="148369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89217">
      <w:bodyDiv w:val="1"/>
      <w:marLeft w:val="0"/>
      <w:marRight w:val="0"/>
      <w:marTop w:val="0"/>
      <w:marBottom w:val="0"/>
      <w:divBdr>
        <w:top w:val="none" w:sz="0" w:space="0" w:color="auto"/>
        <w:left w:val="none" w:sz="0" w:space="0" w:color="auto"/>
        <w:bottom w:val="none" w:sz="0" w:space="0" w:color="auto"/>
        <w:right w:val="none" w:sz="0" w:space="0" w:color="auto"/>
      </w:divBdr>
      <w:divsChild>
        <w:div w:id="916552342">
          <w:marLeft w:val="0"/>
          <w:marRight w:val="0"/>
          <w:marTop w:val="0"/>
          <w:marBottom w:val="0"/>
          <w:divBdr>
            <w:top w:val="none" w:sz="0" w:space="0" w:color="auto"/>
            <w:left w:val="none" w:sz="0" w:space="0" w:color="auto"/>
            <w:bottom w:val="none" w:sz="0" w:space="0" w:color="auto"/>
            <w:right w:val="none" w:sz="0" w:space="0" w:color="auto"/>
          </w:divBdr>
          <w:divsChild>
            <w:div w:id="194761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40243">
      <w:bodyDiv w:val="1"/>
      <w:marLeft w:val="0"/>
      <w:marRight w:val="0"/>
      <w:marTop w:val="0"/>
      <w:marBottom w:val="0"/>
      <w:divBdr>
        <w:top w:val="none" w:sz="0" w:space="0" w:color="auto"/>
        <w:left w:val="none" w:sz="0" w:space="0" w:color="auto"/>
        <w:bottom w:val="none" w:sz="0" w:space="0" w:color="auto"/>
        <w:right w:val="none" w:sz="0" w:space="0" w:color="auto"/>
      </w:divBdr>
      <w:divsChild>
        <w:div w:id="220603561">
          <w:marLeft w:val="0"/>
          <w:marRight w:val="0"/>
          <w:marTop w:val="0"/>
          <w:marBottom w:val="0"/>
          <w:divBdr>
            <w:top w:val="none" w:sz="0" w:space="0" w:color="auto"/>
            <w:left w:val="none" w:sz="0" w:space="0" w:color="auto"/>
            <w:bottom w:val="none" w:sz="0" w:space="0" w:color="auto"/>
            <w:right w:val="none" w:sz="0" w:space="0" w:color="auto"/>
          </w:divBdr>
          <w:divsChild>
            <w:div w:id="177756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463547">
      <w:bodyDiv w:val="1"/>
      <w:marLeft w:val="0"/>
      <w:marRight w:val="0"/>
      <w:marTop w:val="0"/>
      <w:marBottom w:val="0"/>
      <w:divBdr>
        <w:top w:val="none" w:sz="0" w:space="0" w:color="auto"/>
        <w:left w:val="none" w:sz="0" w:space="0" w:color="auto"/>
        <w:bottom w:val="none" w:sz="0" w:space="0" w:color="auto"/>
        <w:right w:val="none" w:sz="0" w:space="0" w:color="auto"/>
      </w:divBdr>
      <w:divsChild>
        <w:div w:id="757137951">
          <w:marLeft w:val="0"/>
          <w:marRight w:val="0"/>
          <w:marTop w:val="0"/>
          <w:marBottom w:val="0"/>
          <w:divBdr>
            <w:top w:val="none" w:sz="0" w:space="0" w:color="auto"/>
            <w:left w:val="none" w:sz="0" w:space="0" w:color="auto"/>
            <w:bottom w:val="none" w:sz="0" w:space="0" w:color="auto"/>
            <w:right w:val="none" w:sz="0" w:space="0" w:color="auto"/>
          </w:divBdr>
          <w:divsChild>
            <w:div w:id="199251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092967">
      <w:bodyDiv w:val="1"/>
      <w:marLeft w:val="0"/>
      <w:marRight w:val="0"/>
      <w:marTop w:val="0"/>
      <w:marBottom w:val="0"/>
      <w:divBdr>
        <w:top w:val="none" w:sz="0" w:space="0" w:color="auto"/>
        <w:left w:val="none" w:sz="0" w:space="0" w:color="auto"/>
        <w:bottom w:val="none" w:sz="0" w:space="0" w:color="auto"/>
        <w:right w:val="none" w:sz="0" w:space="0" w:color="auto"/>
      </w:divBdr>
    </w:div>
    <w:div w:id="1892572046">
      <w:bodyDiv w:val="1"/>
      <w:marLeft w:val="0"/>
      <w:marRight w:val="0"/>
      <w:marTop w:val="0"/>
      <w:marBottom w:val="0"/>
      <w:divBdr>
        <w:top w:val="none" w:sz="0" w:space="0" w:color="auto"/>
        <w:left w:val="none" w:sz="0" w:space="0" w:color="auto"/>
        <w:bottom w:val="none" w:sz="0" w:space="0" w:color="auto"/>
        <w:right w:val="none" w:sz="0" w:space="0" w:color="auto"/>
      </w:divBdr>
      <w:divsChild>
        <w:div w:id="2068914131">
          <w:marLeft w:val="0"/>
          <w:marRight w:val="0"/>
          <w:marTop w:val="0"/>
          <w:marBottom w:val="0"/>
          <w:divBdr>
            <w:top w:val="none" w:sz="0" w:space="0" w:color="auto"/>
            <w:left w:val="none" w:sz="0" w:space="0" w:color="auto"/>
            <w:bottom w:val="none" w:sz="0" w:space="0" w:color="auto"/>
            <w:right w:val="none" w:sz="0" w:space="0" w:color="auto"/>
          </w:divBdr>
          <w:divsChild>
            <w:div w:id="1683361422">
              <w:marLeft w:val="0"/>
              <w:marRight w:val="0"/>
              <w:marTop w:val="0"/>
              <w:marBottom w:val="0"/>
              <w:divBdr>
                <w:top w:val="none" w:sz="0" w:space="0" w:color="auto"/>
                <w:left w:val="none" w:sz="0" w:space="0" w:color="auto"/>
                <w:bottom w:val="none" w:sz="0" w:space="0" w:color="auto"/>
                <w:right w:val="none" w:sz="0" w:space="0" w:color="auto"/>
              </w:divBdr>
              <w:divsChild>
                <w:div w:id="161941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419795">
      <w:bodyDiv w:val="1"/>
      <w:marLeft w:val="0"/>
      <w:marRight w:val="0"/>
      <w:marTop w:val="0"/>
      <w:marBottom w:val="0"/>
      <w:divBdr>
        <w:top w:val="none" w:sz="0" w:space="0" w:color="auto"/>
        <w:left w:val="none" w:sz="0" w:space="0" w:color="auto"/>
        <w:bottom w:val="none" w:sz="0" w:space="0" w:color="auto"/>
        <w:right w:val="none" w:sz="0" w:space="0" w:color="auto"/>
      </w:divBdr>
      <w:divsChild>
        <w:div w:id="1443110914">
          <w:marLeft w:val="0"/>
          <w:marRight w:val="0"/>
          <w:marTop w:val="0"/>
          <w:marBottom w:val="0"/>
          <w:divBdr>
            <w:top w:val="none" w:sz="0" w:space="0" w:color="auto"/>
            <w:left w:val="none" w:sz="0" w:space="0" w:color="auto"/>
            <w:bottom w:val="none" w:sz="0" w:space="0" w:color="auto"/>
            <w:right w:val="none" w:sz="0" w:space="0" w:color="auto"/>
          </w:divBdr>
          <w:divsChild>
            <w:div w:id="124132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m/citations?view_op=view_citation&amp;hl=en&amp;user=o6ripa8AAAAJ&amp;cstart=20&amp;pagesize=80&amp;citation_for_view=o6ripa8AAAAJ:blknAaTinKkC"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scholar.google.com/citations?view_op=view_citation&amp;hl=en&amp;user=o6ripa8AAAAJ&amp;cstart=20&amp;pagesize=80&amp;sortby=pubdate&amp;citation_for_view=o6ripa8AAAAJ:O3NaXMp0MMsC" TargetMode="External"/><Relationship Id="rId4" Type="http://schemas.openxmlformats.org/officeDocument/2006/relationships/settings" Target="settings.xml"/><Relationship Id="rId9" Type="http://schemas.openxmlformats.org/officeDocument/2006/relationships/hyperlink" Target="http://www.putusan.mahkamahagung.go.id"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mailto:hhasbisimanjuntak@gmail.com" TargetMode="External"/><Relationship Id="rId1" Type="http://schemas.openxmlformats.org/officeDocument/2006/relationships/hyperlink" Target="mailto:"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ownloads\UJL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Ros19</b:Tag>
    <b:SourceType>JournalArticle</b:SourceType>
    <b:Guid>{718D8290-75E7-4742-938A-AD490F66C07C}</b:Guid>
    <b:Author>
      <b:Author>
        <b:NameList>
          <b:Person>
            <b:Last>Rosady</b:Last>
            <b:First>R.</b:First>
            <b:Middle>S. R.</b:Middle>
          </b:Person>
        </b:NameList>
      </b:Author>
    </b:Author>
    <b:Title>Tindak Pidana dan Pertanggungjawaban Pidana Pelaku Penyalahgunaan Senjata Tajam</b:Title>
    <b:Year>2019</b:Year>
    <b:Pages>1-7</b:Pages>
    <b:RefOrder>2</b:RefOrder>
  </b:Source>
  <b:Source>
    <b:Tag>Ars22</b:Tag>
    <b:SourceType>JournalArticle</b:SourceType>
    <b:Guid>{47D31714-26FB-49F4-941C-F072E1E6313C}</b:Guid>
    <b:Author>
      <b:Author>
        <b:NameList>
          <b:Person>
            <b:Last>Arsad</b:Last>
            <b:First>A.</b:First>
            <b:Middle>N. ,</b:Middle>
          </b:Person>
        </b:NameList>
      </b:Author>
    </b:Author>
    <b:Title>Faktor Kriminogen Penyalahgunaan Senjata Tajam Di Muka Umum</b:Title>
    <b:JournalName>Journal Justiciabellen</b:JournalName>
    <b:Year>2022</b:Year>
    <b:Pages>1</b:Pages>
    <b:RefOrder>3</b:RefOrder>
  </b:Source>
  <b:Source>
    <b:Tag>Har23</b:Tag>
    <b:SourceType>JournalArticle</b:SourceType>
    <b:Guid>{C23FD389-1D2E-4478-A5B3-8F9ED9F6761F}</b:Guid>
    <b:Author>
      <b:Author>
        <b:NameList>
          <b:Person>
            <b:Last>Haris</b:Last>
            <b:First>O.</b:First>
            <b:Middle>K., Hidayat, S., Sinapoy, M. S., &amp; Rahmat, N.</b:Middle>
          </b:Person>
        </b:NameList>
      </b:Author>
    </b:Author>
    <b:Title>Penegakan Hukum Pidana terhadap Penyalahgunaan Senjata Tajam Tradisional.</b:Title>
    <b:JournalName>Oleo Legal Research</b:JournalName>
    <b:Year>2023</b:Year>
    <b:Pages>374</b:Pages>
    <b:RefOrder>4</b:RefOrder>
  </b:Source>
  <b:Source>
    <b:Tag>Wij21</b:Tag>
    <b:SourceType>JournalArticle</b:SourceType>
    <b:Guid>{80CF9BDF-C210-46B7-8B3E-5F44651151B7}</b:Guid>
    <b:Author>
      <b:Author>
        <b:NameList>
          <b:Person>
            <b:Last>Wijaya</b:Last>
            <b:First>H.,</b:First>
            <b:Middle>Arsyad, N., &amp; Mappaselleng, N. F.</b:Middle>
          </b:Person>
        </b:NameList>
      </b:Author>
    </b:Author>
    <b:Title>Tinjauan Yuridis Terhadap Pelaku Tindak Pidana Kepemilikan Senjata Tajam</b:Title>
    <b:JournalName>Qawanin Jurnal Ilmu Hukum</b:JournalName>
    <b:Year>2021</b:Year>
    <b:Pages>1</b:Pages>
    <b:RefOrder>5</b:RefOrder>
  </b:Source>
  <b:Source>
    <b:Tag>Azm17</b:Tag>
    <b:SourceType>JournalArticle</b:SourceType>
    <b:Guid>{A58F8DD3-5881-45BC-AC06-C2514D7083D8}</b:Guid>
    <b:Author>
      <b:Author>
        <b:NameList>
          <b:Person>
            <b:Last>Azmi</b:Last>
            <b:First>D.</b:First>
            <b:Middle>S.</b:Middle>
          </b:Person>
        </b:NameList>
      </b:Author>
    </b:Author>
    <b:Title>PENEGAKAN HUKUM PIDANA TERHADAP PENGGUNAAN SENJATA TAJAM UNTUK MENUNJANG PEKERJAAN DIHUBUNGKAN DENGAN ASAS MANFAAT DAN UU DARURAT NO. 12 TAHUN 1951 TENTANG SENJATA TAJAM</b:Title>
    <b:Year>2017</b:Year>
    <b:Pages>1</b:Pages>
    <b:RefOrder>6</b:RefOrder>
  </b:Source>
  <b:Source>
    <b:Tag>PRA20</b:Tag>
    <b:SourceType>JournalArticle</b:SourceType>
    <b:Guid>{B7C39AEC-F4F6-4531-8A4D-56FC0EEED766}</b:Guid>
    <b:Author>
      <b:Author>
        <b:NameList>
          <b:Person>
            <b:Last>PRAMUDIA</b:Last>
            <b:First>G.</b:First>
          </b:Person>
        </b:NameList>
      </b:Author>
    </b:Author>
    <b:Title>Analisa Hukum Terhadap Tindak Pidana Penyalahgunaan Senjata Tajam Tradisional</b:Title>
    <b:Year>2020</b:Year>
    <b:Pages>4</b:Pages>
    <b:RefOrder>1</b:RefOrder>
  </b:Source>
</b:Sources>
</file>

<file path=customXml/itemProps1.xml><?xml version="1.0" encoding="utf-8"?>
<ds:datastoreItem xmlns:ds="http://schemas.openxmlformats.org/officeDocument/2006/customXml" ds:itemID="{5C969238-AD7F-4DBF-AB46-CC0608B73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UJLC Template</Template>
  <TotalTime>549</TotalTime>
  <Pages>7</Pages>
  <Words>2544</Words>
  <Characters>14506</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user</cp:lastModifiedBy>
  <cp:revision>175</cp:revision>
  <cp:lastPrinted>2022-12-21T01:28:00Z</cp:lastPrinted>
  <dcterms:created xsi:type="dcterms:W3CDTF">2022-11-02T02:16:00Z</dcterms:created>
  <dcterms:modified xsi:type="dcterms:W3CDTF">2025-11-16T14:31:00Z</dcterms:modified>
</cp:coreProperties>
</file>